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10-Q</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3" w:lineRule="exact"/>
        <w:rPr>
          <w:sz w:val="24"/>
          <w:szCs w:val="24"/>
          <w:color w:val="auto"/>
        </w:rPr>
      </w:pPr>
    </w:p>
    <w:p>
      <w:pPr>
        <w:ind w:left="660" w:hanging="652"/>
        <w:spacing w:after="0"/>
        <w:tabs>
          <w:tab w:leader="none" w:pos="660" w:val="left"/>
        </w:tabs>
        <w:numPr>
          <w:ilvl w:val="0"/>
          <w:numId w:val="1"/>
        </w:numPr>
        <w:rPr>
          <w:rFonts w:ascii="Arial" w:cs="Arial" w:eastAsia="Arial" w:hAnsi="Arial"/>
          <w:sz w:val="17"/>
          <w:szCs w:val="17"/>
          <w:color w:val="auto"/>
        </w:rPr>
      </w:pPr>
      <w:r>
        <w:rPr>
          <w:rFonts w:ascii="Arial" w:cs="Arial" w:eastAsia="Arial" w:hAnsi="Arial"/>
          <w:sz w:val="17"/>
          <w:szCs w:val="17"/>
          <w:color w:val="auto"/>
        </w:rPr>
        <w:t>QUARTERLY REPORT PURSUANT TO SECTION 13 OR 15(D) OF THE SECURITIES EXCHANGE ACT OF 1934</w:t>
      </w:r>
    </w:p>
    <w:p>
      <w:pPr>
        <w:spacing w:after="0" w:line="218" w:lineRule="exact"/>
        <w:rPr>
          <w:rFonts w:ascii="Arial" w:cs="Arial" w:eastAsia="Arial" w:hAnsi="Arial"/>
          <w:sz w:val="17"/>
          <w:szCs w:val="17"/>
          <w:color w:val="auto"/>
        </w:rPr>
      </w:pPr>
    </w:p>
    <w:p>
      <w:pPr>
        <w:ind w:left="3980"/>
        <w:spacing w:after="0"/>
        <w:rPr>
          <w:rFonts w:ascii="Arial" w:cs="Arial" w:eastAsia="Arial" w:hAnsi="Arial"/>
          <w:sz w:val="17"/>
          <w:szCs w:val="17"/>
          <w:color w:val="auto"/>
        </w:rPr>
      </w:pPr>
      <w:r>
        <w:rPr>
          <w:rFonts w:ascii="Arial" w:cs="Arial" w:eastAsia="Arial" w:hAnsi="Arial"/>
          <w:sz w:val="18"/>
          <w:szCs w:val="18"/>
          <w:b w:val="1"/>
          <w:bCs w:val="1"/>
          <w:color w:val="auto"/>
        </w:rPr>
        <w:t>For the quarterly period ended June 30, 2018</w:t>
      </w:r>
    </w:p>
    <w:p>
      <w:pPr>
        <w:spacing w:after="0" w:line="22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OR</w:t>
      </w:r>
    </w:p>
    <w:p>
      <w:pPr>
        <w:spacing w:after="0" w:line="23" w:lineRule="exact"/>
        <w:rPr>
          <w:sz w:val="24"/>
          <w:szCs w:val="24"/>
          <w:color w:val="auto"/>
        </w:rPr>
      </w:pPr>
    </w:p>
    <w:p>
      <w:pPr>
        <w:ind w:right="2060" w:firstLine="8"/>
        <w:spacing w:after="0" w:line="521" w:lineRule="auto"/>
        <w:tabs>
          <w:tab w:leader="none" w:pos="150" w:val="left"/>
        </w:tabs>
        <w:numPr>
          <w:ilvl w:val="0"/>
          <w:numId w:val="2"/>
        </w:numPr>
        <w:rPr>
          <w:rFonts w:ascii="Arial" w:cs="Arial" w:eastAsia="Arial" w:hAnsi="Arial"/>
          <w:sz w:val="17"/>
          <w:szCs w:val="17"/>
          <w:color w:val="auto"/>
        </w:rPr>
      </w:pPr>
      <w:r>
        <w:rPr>
          <w:rFonts w:ascii="Arial" w:cs="Arial" w:eastAsia="Arial" w:hAnsi="Arial"/>
          <w:sz w:val="17"/>
          <w:szCs w:val="17"/>
          <w:color w:val="auto"/>
        </w:rPr>
        <w:t>) TRANSITION REPORT PURSUANT TO SECTION 13 OR 15(d) OF THE SECURITIES EXCHANGE ACT OF 1934 For the transition period from ___________________________ to ____________________________________________</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Commission File Number 0-20797</w:t>
      </w:r>
    </w:p>
    <w:p>
      <w:pPr>
        <w:spacing w:after="0" w:line="200" w:lineRule="exact"/>
        <w:rPr>
          <w:sz w:val="24"/>
          <w:szCs w:val="24"/>
          <w:color w:val="auto"/>
        </w:rPr>
      </w:pPr>
    </w:p>
    <w:p>
      <w:pPr>
        <w:spacing w:after="0" w:line="23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RUSH ENTERPRISES, INC.</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692" w:right="239" w:bottom="63" w:gutter="0" w:footer="0" w:header="0"/>
        </w:sectPr>
      </w:pPr>
    </w:p>
    <w:p>
      <w:pPr>
        <w:spacing w:after="0" w:line="9" w:lineRule="exact"/>
        <w:rPr>
          <w:sz w:val="24"/>
          <w:szCs w:val="24"/>
          <w:color w:val="auto"/>
        </w:rPr>
      </w:pPr>
    </w:p>
    <w:p>
      <w:pPr>
        <w:ind w:left="1580"/>
        <w:spacing w:after="0"/>
        <w:rPr>
          <w:sz w:val="20"/>
          <w:szCs w:val="20"/>
          <w:color w:val="auto"/>
        </w:rPr>
      </w:pPr>
      <w:r>
        <w:rPr>
          <w:rFonts w:ascii="Arial" w:cs="Arial" w:eastAsia="Arial" w:hAnsi="Arial"/>
          <w:sz w:val="18"/>
          <w:szCs w:val="18"/>
          <w:color w:val="auto"/>
        </w:rPr>
        <w:t>Texas</w:t>
      </w:r>
    </w:p>
    <w:p>
      <w:pPr>
        <w:spacing w:after="0" w:line="9" w:lineRule="exact"/>
        <w:rPr>
          <w:sz w:val="24"/>
          <w:szCs w:val="24"/>
          <w:color w:val="auto"/>
        </w:rPr>
      </w:pPr>
    </w:p>
    <w:p>
      <w:pPr>
        <w:ind w:left="820"/>
        <w:spacing w:after="0"/>
        <w:rPr>
          <w:sz w:val="20"/>
          <w:szCs w:val="20"/>
          <w:color w:val="auto"/>
        </w:rPr>
      </w:pPr>
      <w:r>
        <w:rPr>
          <w:rFonts w:ascii="Arial" w:cs="Arial" w:eastAsia="Arial" w:hAnsi="Arial"/>
          <w:sz w:val="17"/>
          <w:szCs w:val="17"/>
          <w:color w:val="auto"/>
        </w:rPr>
        <w:t>(State or other jurisdiction of</w:t>
      </w:r>
    </w:p>
    <w:p>
      <w:pPr>
        <w:spacing w:after="0" w:line="21" w:lineRule="exact"/>
        <w:rPr>
          <w:sz w:val="24"/>
          <w:szCs w:val="24"/>
          <w:color w:val="auto"/>
        </w:rPr>
      </w:pPr>
    </w:p>
    <w:p>
      <w:pPr>
        <w:ind w:left="820"/>
        <w:spacing w:after="0"/>
        <w:rPr>
          <w:sz w:val="20"/>
          <w:szCs w:val="20"/>
          <w:color w:val="auto"/>
        </w:rPr>
      </w:pPr>
      <w:r>
        <w:rPr>
          <w:rFonts w:ascii="Arial" w:cs="Arial" w:eastAsia="Arial" w:hAnsi="Arial"/>
          <w:sz w:val="16"/>
          <w:szCs w:val="16"/>
          <w:color w:val="auto"/>
        </w:rPr>
        <w:t>incorporation or organization)</w:t>
      </w:r>
    </w:p>
    <w:p>
      <w:pPr>
        <w:spacing w:after="0" w:line="20" w:lineRule="exact"/>
        <w:rPr>
          <w:sz w:val="24"/>
          <w:szCs w:val="24"/>
          <w:color w:val="auto"/>
        </w:rPr>
      </w:pPr>
      <w:r>
        <w:rPr>
          <w:sz w:val="24"/>
          <w:szCs w:val="24"/>
          <w:color w:val="auto"/>
        </w:rPr>
        <w:br w:type="column"/>
      </w:r>
    </w:p>
    <w:p>
      <w:pPr>
        <w:jc w:val="center"/>
        <w:ind w:right="600"/>
        <w:spacing w:after="0"/>
        <w:rPr>
          <w:sz w:val="20"/>
          <w:szCs w:val="20"/>
          <w:color w:val="auto"/>
        </w:rPr>
      </w:pPr>
      <w:r>
        <w:rPr>
          <w:rFonts w:ascii="Arial" w:cs="Arial" w:eastAsia="Arial" w:hAnsi="Arial"/>
          <w:sz w:val="18"/>
          <w:szCs w:val="18"/>
          <w:color w:val="auto"/>
        </w:rPr>
        <w:t>74-1733016</w:t>
      </w:r>
    </w:p>
    <w:p>
      <w:pPr>
        <w:spacing w:after="0" w:line="9" w:lineRule="exact"/>
        <w:rPr>
          <w:sz w:val="24"/>
          <w:szCs w:val="24"/>
          <w:color w:val="auto"/>
        </w:rPr>
      </w:pPr>
    </w:p>
    <w:p>
      <w:pPr>
        <w:jc w:val="center"/>
        <w:ind w:right="600"/>
        <w:spacing w:after="0"/>
        <w:rPr>
          <w:sz w:val="20"/>
          <w:szCs w:val="20"/>
          <w:color w:val="auto"/>
        </w:rPr>
      </w:pPr>
      <w:r>
        <w:rPr>
          <w:rFonts w:ascii="Arial" w:cs="Arial" w:eastAsia="Arial" w:hAnsi="Arial"/>
          <w:sz w:val="17"/>
          <w:szCs w:val="17"/>
          <w:color w:val="auto"/>
        </w:rPr>
        <w:t>(I.R.S. Employer Identification No.)</w:t>
      </w:r>
    </w:p>
    <w:p>
      <w:pPr>
        <w:spacing w:after="0" w:line="404" w:lineRule="exact"/>
        <w:rPr>
          <w:sz w:val="24"/>
          <w:szCs w:val="24"/>
          <w:color w:val="auto"/>
        </w:rPr>
      </w:pPr>
    </w:p>
    <w:p>
      <w:pPr>
        <w:sectPr>
          <w:pgSz w:w="11900" w:h="16838" w:orient="portrait"/>
          <w:cols w:equalWidth="0" w:num="2">
            <w:col w:w="7480" w:space="720"/>
            <w:col w:w="3220"/>
          </w:cols>
          <w:pgMar w:left="240" w:top="692" w:right="239" w:bottom="63" w:gutter="0" w:footer="0" w:header="0"/>
          <w:type w:val="continuous"/>
        </w:sectPr>
      </w:pP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555 I.H. 35 South, Suite 500</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New Braunfels, Texas 78130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(Zip Code)</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(830) 302-5200</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(Registrant’s telephone number, including area code)</w:t>
      </w:r>
    </w:p>
    <w:p>
      <w:pPr>
        <w:sectPr>
          <w:pgSz w:w="11900" w:h="16838" w:orient="portrait"/>
          <w:cols w:equalWidth="0" w:num="1">
            <w:col w:w="11420"/>
          </w:cols>
          <w:pgMar w:left="240" w:top="692" w:right="239" w:bottom="63" w:gutter="0" w:footer="0" w:header="0"/>
          <w:type w:val="continuous"/>
        </w:sectPr>
      </w:pPr>
    </w:p>
    <w:p>
      <w:pPr>
        <w:spacing w:after="0" w:line="200" w:lineRule="exact"/>
        <w:rPr>
          <w:sz w:val="24"/>
          <w:szCs w:val="24"/>
          <w:color w:val="auto"/>
        </w:rPr>
      </w:pPr>
    </w:p>
    <w:p>
      <w:pPr>
        <w:spacing w:after="0" w:line="250" w:lineRule="exact"/>
        <w:rPr>
          <w:sz w:val="24"/>
          <w:szCs w:val="24"/>
          <w:color w:val="auto"/>
        </w:rPr>
      </w:pPr>
    </w:p>
    <w:p>
      <w:pPr>
        <w:jc w:val="both"/>
        <w:ind w:firstLine="972"/>
        <w:spacing w:after="0" w:line="256"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ind w:left="4920"/>
        <w:spacing w:after="0"/>
        <w:tabs>
          <w:tab w:leader="none" w:pos="6300" w:val="left"/>
        </w:tabs>
        <w:rPr>
          <w:sz w:val="20"/>
          <w:szCs w:val="20"/>
          <w:color w:val="auto"/>
        </w:rPr>
      </w:pPr>
      <w:r>
        <w:rPr>
          <w:rFonts w:ascii="Arial" w:cs="Arial" w:eastAsia="Arial" w:hAnsi="Arial"/>
          <w:sz w:val="18"/>
          <w:szCs w:val="18"/>
          <w:color w:val="auto"/>
        </w:rPr>
        <w:t>Yes [X]</w:t>
      </w:r>
      <w:r>
        <w:rPr>
          <w:sz w:val="20"/>
          <w:szCs w:val="20"/>
          <w:color w:val="auto"/>
        </w:rPr>
        <w:tab/>
      </w:r>
      <w:r>
        <w:rPr>
          <w:rFonts w:ascii="Arial" w:cs="Arial" w:eastAsia="Arial" w:hAnsi="Arial"/>
          <w:sz w:val="18"/>
          <w:szCs w:val="18"/>
          <w:color w:val="auto"/>
        </w:rPr>
        <w:t>No [  ]</w:t>
      </w:r>
    </w:p>
    <w:p>
      <w:pPr>
        <w:spacing w:after="0" w:line="211" w:lineRule="exact"/>
        <w:rPr>
          <w:sz w:val="24"/>
          <w:szCs w:val="24"/>
          <w:color w:val="auto"/>
        </w:rPr>
      </w:pPr>
    </w:p>
    <w:p>
      <w:pPr>
        <w:jc w:val="both"/>
        <w:ind w:right="260" w:firstLine="648"/>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w:t>
      </w:r>
    </w:p>
    <w:p>
      <w:pPr>
        <w:spacing w:after="0" w:line="181" w:lineRule="exact"/>
        <w:rPr>
          <w:sz w:val="24"/>
          <w:szCs w:val="24"/>
          <w:color w:val="auto"/>
        </w:rPr>
      </w:pPr>
    </w:p>
    <w:p>
      <w:pPr>
        <w:ind w:left="4920"/>
        <w:spacing w:after="0"/>
        <w:tabs>
          <w:tab w:leader="none" w:pos="6300" w:val="left"/>
        </w:tabs>
        <w:rPr>
          <w:sz w:val="20"/>
          <w:szCs w:val="20"/>
          <w:color w:val="auto"/>
        </w:rPr>
      </w:pPr>
      <w:r>
        <w:rPr>
          <w:rFonts w:ascii="Arial" w:cs="Arial" w:eastAsia="Arial" w:hAnsi="Arial"/>
          <w:sz w:val="18"/>
          <w:szCs w:val="18"/>
          <w:color w:val="auto"/>
        </w:rPr>
        <w:t>Yes [X]</w:t>
      </w:r>
      <w:r>
        <w:rPr>
          <w:sz w:val="20"/>
          <w:szCs w:val="20"/>
          <w:color w:val="auto"/>
        </w:rPr>
        <w:tab/>
      </w:r>
      <w:r>
        <w:rPr>
          <w:rFonts w:ascii="Arial" w:cs="Arial" w:eastAsia="Arial" w:hAnsi="Arial"/>
          <w:sz w:val="18"/>
          <w:szCs w:val="18"/>
          <w:color w:val="auto"/>
        </w:rPr>
        <w:t>No [  ]</w:t>
      </w:r>
    </w:p>
    <w:p>
      <w:pPr>
        <w:spacing w:after="0" w:line="225" w:lineRule="exact"/>
        <w:rPr>
          <w:sz w:val="24"/>
          <w:szCs w:val="24"/>
          <w:color w:val="auto"/>
        </w:rPr>
      </w:pPr>
    </w:p>
    <w:p>
      <w:pPr>
        <w:ind w:right="60" w:firstLine="648"/>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9" w:lineRule="exact"/>
        <w:rPr>
          <w:sz w:val="24"/>
          <w:szCs w:val="24"/>
          <w:color w:val="auto"/>
        </w:rPr>
      </w:pPr>
    </w:p>
    <w:tbl>
      <w:tblPr>
        <w:tblLayout w:type="fixed"/>
        <w:tblInd w:w="580" w:type="dxa"/>
        <w:tblCellMar>
          <w:top w:w="0" w:type="dxa"/>
          <w:left w:w="0" w:type="dxa"/>
          <w:bottom w:w="0" w:type="dxa"/>
          <w:right w:w="0" w:type="dxa"/>
        </w:tblCellMar>
      </w:tblPr>
      <w:tr>
        <w:trPr>
          <w:trHeight w:val="283"/>
        </w:trPr>
        <w:tc>
          <w:tcPr>
            <w:tcW w:w="4820" w:type="dxa"/>
            <w:vAlign w:val="bottom"/>
          </w:tcPr>
          <w:p>
            <w:pPr>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p>
        </w:tc>
        <w:tc>
          <w:tcPr>
            <w:tcW w:w="3640" w:type="dxa"/>
            <w:vAlign w:val="bottom"/>
          </w:tcPr>
          <w:p>
            <w:pPr>
              <w:ind w:left="1460"/>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98"/>
        </w:trPr>
        <w:tc>
          <w:tcPr>
            <w:tcW w:w="4820" w:type="dxa"/>
            <w:vAlign w:val="bottom"/>
          </w:tcPr>
          <w:p>
            <w:pPr>
              <w:spacing w:after="0" w:line="207"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p>
        </w:tc>
        <w:tc>
          <w:tcPr>
            <w:tcW w:w="3640" w:type="dxa"/>
            <w:vAlign w:val="bottom"/>
          </w:tcPr>
          <w:p>
            <w:pPr>
              <w:ind w:left="1460"/>
              <w:spacing w:after="0" w:line="207" w:lineRule="exact"/>
              <w:rPr>
                <w:sz w:val="20"/>
                <w:szCs w:val="20"/>
                <w:color w:val="auto"/>
              </w:rPr>
            </w:pPr>
            <w:r>
              <w:rPr>
                <w:rFonts w:ascii="Arial" w:cs="Arial" w:eastAsia="Arial" w:hAnsi="Arial"/>
                <w:sz w:val="18"/>
                <w:szCs w:val="18"/>
                <w:color w:val="auto"/>
                <w:w w:val="90"/>
              </w:rPr>
              <w:t xml:space="preserve">Smaller reporting company </w:t>
            </w:r>
            <w:r>
              <w:rPr>
                <w:rFonts w:ascii="MS PGothic" w:cs="MS PGothic" w:eastAsia="MS PGothic" w:hAnsi="MS PGothic"/>
                <w:sz w:val="18"/>
                <w:szCs w:val="18"/>
                <w:color w:val="auto"/>
                <w:w w:val="90"/>
              </w:rPr>
              <w:t>☐</w:t>
            </w:r>
          </w:p>
        </w:tc>
        <w:tc>
          <w:tcPr>
            <w:tcW w:w="0" w:type="dxa"/>
            <w:vAlign w:val="bottom"/>
          </w:tcPr>
          <w:p>
            <w:pPr>
              <w:spacing w:after="0"/>
              <w:rPr>
                <w:sz w:val="1"/>
                <w:szCs w:val="1"/>
                <w:color w:val="auto"/>
              </w:rPr>
            </w:pPr>
          </w:p>
        </w:tc>
      </w:tr>
      <w:tr>
        <w:trPr>
          <w:trHeight w:val="230"/>
        </w:trPr>
        <w:tc>
          <w:tcPr>
            <w:tcW w:w="4820" w:type="dxa"/>
            <w:vAlign w:val="bottom"/>
          </w:tcPr>
          <w:p>
            <w:pPr>
              <w:spacing w:after="0"/>
              <w:rPr>
                <w:sz w:val="20"/>
                <w:szCs w:val="20"/>
                <w:color w:val="auto"/>
              </w:rPr>
            </w:pPr>
            <w:r>
              <w:rPr>
                <w:rFonts w:ascii="Arial" w:cs="Arial" w:eastAsia="Arial" w:hAnsi="Arial"/>
                <w:sz w:val="18"/>
                <w:szCs w:val="18"/>
                <w:color w:val="auto"/>
              </w:rPr>
              <w:t>(Do not check if a smaller reporting company)</w:t>
            </w:r>
          </w:p>
        </w:tc>
        <w:tc>
          <w:tcPr>
            <w:tcW w:w="3640" w:type="dxa"/>
            <w:vAlign w:val="bottom"/>
            <w:vMerge w:val="restart"/>
          </w:tcPr>
          <w:p>
            <w:pPr>
              <w:ind w:left="1460"/>
              <w:spacing w:after="0" w:line="207" w:lineRule="exact"/>
              <w:rPr>
                <w:sz w:val="20"/>
                <w:szCs w:val="20"/>
                <w:color w:val="auto"/>
              </w:rPr>
            </w:pPr>
            <w:r>
              <w:rPr>
                <w:rFonts w:ascii="Arial" w:cs="Arial" w:eastAsia="Arial" w:hAnsi="Arial"/>
                <w:sz w:val="18"/>
                <w:szCs w:val="18"/>
                <w:color w:val="auto"/>
                <w:w w:val="91"/>
              </w:rPr>
              <w:t xml:space="preserve">Emerging growth company </w:t>
            </w:r>
            <w:r>
              <w:rPr>
                <w:rFonts w:ascii="MS PGothic" w:cs="MS PGothic" w:eastAsia="MS PGothic" w:hAnsi="MS PGothic"/>
                <w:sz w:val="18"/>
                <w:szCs w:val="18"/>
                <w:color w:val="auto"/>
                <w:w w:val="91"/>
              </w:rPr>
              <w:t>☐</w:t>
            </w:r>
          </w:p>
        </w:tc>
        <w:tc>
          <w:tcPr>
            <w:tcW w:w="0" w:type="dxa"/>
            <w:vAlign w:val="bottom"/>
          </w:tcPr>
          <w:p>
            <w:pPr>
              <w:spacing w:after="0"/>
              <w:rPr>
                <w:sz w:val="1"/>
                <w:szCs w:val="1"/>
                <w:color w:val="auto"/>
              </w:rPr>
            </w:pPr>
          </w:p>
        </w:tc>
      </w:tr>
      <w:tr>
        <w:trPr>
          <w:trHeight w:val="236"/>
        </w:trPr>
        <w:tc>
          <w:tcPr>
            <w:tcW w:w="4820" w:type="dxa"/>
            <w:vAlign w:val="bottom"/>
          </w:tcPr>
          <w:p>
            <w:pPr>
              <w:spacing w:after="0"/>
              <w:rPr>
                <w:sz w:val="20"/>
                <w:szCs w:val="20"/>
                <w:color w:val="auto"/>
              </w:rPr>
            </w:pPr>
          </w:p>
        </w:tc>
        <w:tc>
          <w:tcPr>
            <w:tcW w:w="36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182" w:lineRule="exact"/>
        <w:rPr>
          <w:sz w:val="24"/>
          <w:szCs w:val="24"/>
          <w:color w:val="auto"/>
        </w:rPr>
      </w:pPr>
    </w:p>
    <w:p>
      <w:pPr>
        <w:ind w:right="40" w:firstLine="648"/>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3" w:lineRule="exact"/>
        <w:rPr>
          <w:sz w:val="24"/>
          <w:szCs w:val="24"/>
          <w:color w:val="auto"/>
        </w:rPr>
      </w:pPr>
    </w:p>
    <w:p>
      <w:pPr>
        <w:ind w:left="66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23" w:lineRule="exact"/>
        <w:rPr>
          <w:sz w:val="24"/>
          <w:szCs w:val="24"/>
          <w:color w:val="auto"/>
        </w:rPr>
      </w:pPr>
    </w:p>
    <w:p>
      <w:pPr>
        <w:ind w:left="4920"/>
        <w:spacing w:after="0"/>
        <w:tabs>
          <w:tab w:leader="none" w:pos="6300" w:val="left"/>
        </w:tabs>
        <w:rPr>
          <w:sz w:val="20"/>
          <w:szCs w:val="20"/>
          <w:color w:val="auto"/>
        </w:rPr>
      </w:pPr>
      <w:r>
        <w:rPr>
          <w:rFonts w:ascii="Arial" w:cs="Arial" w:eastAsia="Arial" w:hAnsi="Arial"/>
          <w:sz w:val="18"/>
          <w:szCs w:val="18"/>
          <w:color w:val="auto"/>
        </w:rPr>
        <w:t>Yes [  ]</w:t>
      </w:r>
      <w:r>
        <w:rPr>
          <w:sz w:val="20"/>
          <w:szCs w:val="20"/>
          <w:color w:val="auto"/>
        </w:rPr>
        <w:tab/>
      </w:r>
      <w:r>
        <w:rPr>
          <w:rFonts w:ascii="Arial" w:cs="Arial" w:eastAsia="Arial" w:hAnsi="Arial"/>
          <w:sz w:val="18"/>
          <w:szCs w:val="18"/>
          <w:color w:val="auto"/>
        </w:rPr>
        <w:t>No [X]</w:t>
      </w:r>
    </w:p>
    <w:p>
      <w:pPr>
        <w:spacing w:after="0" w:line="211" w:lineRule="exact"/>
        <w:rPr>
          <w:sz w:val="24"/>
          <w:szCs w:val="24"/>
          <w:color w:val="auto"/>
        </w:rPr>
      </w:pPr>
    </w:p>
    <w:p>
      <w:pPr>
        <w:ind w:left="660"/>
        <w:spacing w:after="0"/>
        <w:rPr>
          <w:sz w:val="20"/>
          <w:szCs w:val="20"/>
          <w:color w:val="auto"/>
        </w:rPr>
      </w:pPr>
      <w:r>
        <w:rPr>
          <w:rFonts w:ascii="Arial" w:cs="Arial" w:eastAsia="Arial" w:hAnsi="Arial"/>
          <w:sz w:val="18"/>
          <w:szCs w:val="18"/>
          <w:color w:val="auto"/>
        </w:rPr>
        <w:t>Indicated below is the number of shares outstanding of each of the issuer’s classes of common stock, as of July 31, 2018.</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480" w:type="dxa"/>
            <w:vAlign w:val="bottom"/>
          </w:tcPr>
          <w:p>
            <w:pPr>
              <w:spacing w:after="0"/>
              <w:rPr>
                <w:sz w:val="18"/>
                <w:szCs w:val="18"/>
                <w:color w:val="auto"/>
              </w:rPr>
            </w:pPr>
          </w:p>
        </w:tc>
        <w:tc>
          <w:tcPr>
            <w:tcW w:w="2640" w:type="dxa"/>
            <w:vAlign w:val="bottom"/>
            <w:gridSpan w:val="2"/>
          </w:tcPr>
          <w:p>
            <w:pPr>
              <w:jc w:val="center"/>
              <w:ind w:right="1800"/>
              <w:spacing w:after="0"/>
              <w:rPr>
                <w:sz w:val="20"/>
                <w:szCs w:val="20"/>
                <w:color w:val="auto"/>
              </w:rPr>
            </w:pPr>
            <w:r>
              <w:rPr>
                <w:rFonts w:ascii="Arial" w:cs="Arial" w:eastAsia="Arial" w:hAnsi="Arial"/>
                <w:sz w:val="18"/>
                <w:szCs w:val="18"/>
                <w:color w:val="auto"/>
                <w:w w:val="95"/>
              </w:rPr>
              <w:t>Number of</w:t>
            </w:r>
          </w:p>
        </w:tc>
      </w:tr>
      <w:tr>
        <w:trPr>
          <w:trHeight w:val="216"/>
        </w:trPr>
        <w:tc>
          <w:tcPr>
            <w:tcW w:w="1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480" w:type="dxa"/>
            <w:vAlign w:val="bottom"/>
          </w:tcPr>
          <w:p>
            <w:pPr>
              <w:spacing w:after="0"/>
              <w:rPr>
                <w:sz w:val="18"/>
                <w:szCs w:val="18"/>
                <w:color w:val="auto"/>
              </w:rPr>
            </w:pPr>
          </w:p>
        </w:tc>
        <w:tc>
          <w:tcPr>
            <w:tcW w:w="2640" w:type="dxa"/>
            <w:vAlign w:val="bottom"/>
            <w:gridSpan w:val="2"/>
          </w:tcPr>
          <w:p>
            <w:pPr>
              <w:jc w:val="center"/>
              <w:ind w:right="1800"/>
              <w:spacing w:after="0"/>
              <w:rPr>
                <w:sz w:val="20"/>
                <w:szCs w:val="20"/>
                <w:color w:val="auto"/>
              </w:rPr>
            </w:pPr>
            <w:r>
              <w:rPr>
                <w:rFonts w:ascii="Arial" w:cs="Arial" w:eastAsia="Arial" w:hAnsi="Arial"/>
                <w:sz w:val="18"/>
                <w:szCs w:val="18"/>
                <w:color w:val="auto"/>
                <w:w w:val="84"/>
              </w:rPr>
              <w:t>Shares</w:t>
            </w:r>
          </w:p>
        </w:tc>
      </w:tr>
      <w:tr>
        <w:trPr>
          <w:trHeight w:val="190"/>
        </w:trPr>
        <w:tc>
          <w:tcPr>
            <w:tcW w:w="1340" w:type="dxa"/>
            <w:vAlign w:val="bottom"/>
          </w:tcPr>
          <w:p>
            <w:pPr>
              <w:spacing w:after="0"/>
              <w:rPr>
                <w:sz w:val="16"/>
                <w:szCs w:val="16"/>
                <w:color w:val="auto"/>
              </w:rPr>
            </w:pPr>
          </w:p>
        </w:tc>
        <w:tc>
          <w:tcPr>
            <w:tcW w:w="7440" w:type="dxa"/>
            <w:vAlign w:val="bottom"/>
            <w:gridSpan w:val="2"/>
          </w:tcPr>
          <w:p>
            <w:pPr>
              <w:spacing w:after="0" w:line="190" w:lineRule="exact"/>
              <w:rPr>
                <w:sz w:val="20"/>
                <w:szCs w:val="20"/>
                <w:color w:val="auto"/>
              </w:rPr>
            </w:pPr>
            <w:r>
              <w:rPr>
                <w:rFonts w:ascii="Arial" w:cs="Arial" w:eastAsia="Arial" w:hAnsi="Arial"/>
                <w:sz w:val="18"/>
                <w:szCs w:val="18"/>
                <w:color w:val="auto"/>
              </w:rPr>
              <w:t>Title of Class</w:t>
            </w:r>
          </w:p>
        </w:tc>
        <w:tc>
          <w:tcPr>
            <w:tcW w:w="2640" w:type="dxa"/>
            <w:vAlign w:val="bottom"/>
            <w:gridSpan w:val="2"/>
          </w:tcPr>
          <w:p>
            <w:pPr>
              <w:jc w:val="center"/>
              <w:ind w:right="1760"/>
              <w:spacing w:after="0" w:line="190" w:lineRule="exact"/>
              <w:rPr>
                <w:sz w:val="20"/>
                <w:szCs w:val="20"/>
                <w:color w:val="auto"/>
              </w:rPr>
            </w:pPr>
            <w:r>
              <w:rPr>
                <w:rFonts w:ascii="Arial" w:cs="Arial" w:eastAsia="Arial" w:hAnsi="Arial"/>
                <w:sz w:val="18"/>
                <w:szCs w:val="18"/>
                <w:color w:val="auto"/>
                <w:w w:val="90"/>
              </w:rPr>
              <w:t>Outstanding</w:t>
            </w:r>
          </w:p>
        </w:tc>
      </w:tr>
      <w:tr>
        <w:trPr>
          <w:trHeight w:val="20"/>
        </w:trPr>
        <w:tc>
          <w:tcPr>
            <w:tcW w:w="13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222"/>
        </w:trPr>
        <w:tc>
          <w:tcPr>
            <w:tcW w:w="8780" w:type="dxa"/>
            <w:vAlign w:val="bottom"/>
            <w:gridSpan w:val="3"/>
          </w:tcPr>
          <w:p>
            <w:pPr>
              <w:ind w:left="420"/>
              <w:spacing w:after="0"/>
              <w:rPr>
                <w:sz w:val="20"/>
                <w:szCs w:val="20"/>
                <w:color w:val="auto"/>
              </w:rPr>
            </w:pPr>
            <w:r>
              <w:rPr>
                <w:rFonts w:ascii="Arial" w:cs="Arial" w:eastAsia="Arial" w:hAnsi="Arial"/>
                <w:sz w:val="18"/>
                <w:szCs w:val="18"/>
                <w:color w:val="auto"/>
              </w:rPr>
              <w:t>Class A Common Stock, $.01 Par Value</w:t>
            </w:r>
          </w:p>
        </w:tc>
        <w:tc>
          <w:tcPr>
            <w:tcW w:w="880" w:type="dxa"/>
            <w:vAlign w:val="bottom"/>
          </w:tcPr>
          <w:p>
            <w:pPr>
              <w:jc w:val="right"/>
              <w:spacing w:after="0"/>
              <w:rPr>
                <w:sz w:val="20"/>
                <w:szCs w:val="20"/>
                <w:color w:val="auto"/>
              </w:rPr>
            </w:pPr>
            <w:r>
              <w:rPr>
                <w:rFonts w:ascii="Arial" w:cs="Arial" w:eastAsia="Arial" w:hAnsi="Arial"/>
                <w:sz w:val="18"/>
                <w:szCs w:val="18"/>
                <w:color w:val="auto"/>
                <w:w w:val="88"/>
              </w:rPr>
              <w:t>30,695,861</w:t>
            </w:r>
          </w:p>
        </w:tc>
        <w:tc>
          <w:tcPr>
            <w:tcW w:w="1760" w:type="dxa"/>
            <w:vAlign w:val="bottom"/>
          </w:tcPr>
          <w:p>
            <w:pPr>
              <w:spacing w:after="0"/>
              <w:rPr>
                <w:sz w:val="19"/>
                <w:szCs w:val="19"/>
                <w:color w:val="auto"/>
              </w:rPr>
            </w:pPr>
          </w:p>
        </w:tc>
      </w:tr>
      <w:tr>
        <w:trPr>
          <w:trHeight w:val="230"/>
        </w:trPr>
        <w:tc>
          <w:tcPr>
            <w:tcW w:w="8780" w:type="dxa"/>
            <w:vAlign w:val="bottom"/>
            <w:gridSpan w:val="3"/>
          </w:tcPr>
          <w:p>
            <w:pPr>
              <w:ind w:left="440"/>
              <w:spacing w:after="0"/>
              <w:rPr>
                <w:sz w:val="20"/>
                <w:szCs w:val="20"/>
                <w:color w:val="auto"/>
              </w:rPr>
            </w:pPr>
            <w:r>
              <w:rPr>
                <w:rFonts w:ascii="Arial" w:cs="Arial" w:eastAsia="Arial" w:hAnsi="Arial"/>
                <w:sz w:val="18"/>
                <w:szCs w:val="18"/>
                <w:color w:val="auto"/>
              </w:rPr>
              <w:t>Class B Common Stock, $.01 Par Value</w:t>
            </w:r>
          </w:p>
        </w:tc>
        <w:tc>
          <w:tcPr>
            <w:tcW w:w="880" w:type="dxa"/>
            <w:vAlign w:val="bottom"/>
          </w:tcPr>
          <w:p>
            <w:pPr>
              <w:jc w:val="right"/>
              <w:spacing w:after="0"/>
              <w:rPr>
                <w:sz w:val="20"/>
                <w:szCs w:val="20"/>
                <w:color w:val="auto"/>
              </w:rPr>
            </w:pPr>
            <w:r>
              <w:rPr>
                <w:rFonts w:ascii="Arial" w:cs="Arial" w:eastAsia="Arial" w:hAnsi="Arial"/>
                <w:sz w:val="18"/>
                <w:szCs w:val="18"/>
                <w:color w:val="auto"/>
                <w:w w:val="99"/>
              </w:rPr>
              <w:t>8,414,568</w:t>
            </w:r>
          </w:p>
        </w:tc>
        <w:tc>
          <w:tcPr>
            <w:tcW w:w="1760" w:type="dxa"/>
            <w:vAlign w:val="bottom"/>
          </w:tcPr>
          <w:p>
            <w:pPr>
              <w:spacing w:after="0"/>
              <w:rPr>
                <w:sz w:val="20"/>
                <w:szCs w:val="20"/>
                <w:color w:val="auto"/>
              </w:rPr>
            </w:pPr>
          </w:p>
        </w:tc>
      </w:tr>
      <w:tr>
        <w:trPr>
          <w:trHeight w:val="574"/>
        </w:trPr>
        <w:tc>
          <w:tcPr>
            <w:tcW w:w="13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64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92" w:right="239" w:bottom="63" w:gutter="0" w:footer="0" w:header="0"/>
          <w:type w:val="continuous"/>
        </w:sectPr>
      </w:pPr>
    </w:p>
    <w:bookmarkStart w:id="1" w:name="page2"/>
    <w:bookmarkEnd w:id="1"/>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RUSH ENTERPRISES,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140" w:type="dxa"/>
            <w:vAlign w:val="bottom"/>
            <w:gridSpan w:val="9"/>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FINANCIAL INFORMATION</w:t>
              </w:r>
            </w:hyperlink>
          </w:p>
        </w:tc>
        <w:tc>
          <w:tcPr>
            <w:tcW w:w="7480" w:type="dxa"/>
            <w:vAlign w:val="bottom"/>
            <w:gridSpan w:val="10"/>
          </w:tcPr>
          <w:p>
            <w:pPr>
              <w:spacing w:after="0"/>
              <w:rPr>
                <w:sz w:val="17"/>
                <w:szCs w:val="17"/>
                <w:color w:val="auto"/>
              </w:rPr>
            </w:pPr>
          </w:p>
        </w:tc>
        <w:tc>
          <w:tcPr>
            <w:tcW w:w="800" w:type="dxa"/>
            <w:vAlign w:val="bottom"/>
            <w:gridSpan w:val="3"/>
          </w:tcPr>
          <w:p>
            <w:pPr>
              <w:ind w:left="220"/>
              <w:spacing w:after="0"/>
              <w:rPr>
                <w:sz w:val="20"/>
                <w:szCs w:val="20"/>
                <w:color w:val="auto"/>
              </w:rPr>
            </w:pPr>
            <w:r>
              <w:rPr>
                <w:rFonts w:ascii="Arial" w:cs="Arial" w:eastAsia="Arial" w:hAnsi="Arial"/>
                <w:sz w:val="18"/>
                <w:szCs w:val="18"/>
                <w:b w:val="1"/>
                <w:bCs w:val="1"/>
                <w:color w:val="auto"/>
              </w:rPr>
              <w:t>Page</w:t>
            </w:r>
          </w:p>
        </w:tc>
      </w:tr>
      <w:tr>
        <w:trPr>
          <w:trHeight w:val="412"/>
        </w:trPr>
        <w:tc>
          <w:tcPr>
            <w:tcW w:w="1620" w:type="dxa"/>
            <w:vAlign w:val="bottom"/>
            <w:tcBorders>
              <w:top w:val="single" w:sz="8" w:color="0000EE"/>
            </w:tcBorders>
            <w:gridSpan w:val="2"/>
          </w:tcPr>
          <w:p>
            <w:pPr>
              <w:ind w:left="820"/>
              <w:spacing w:after="0"/>
              <w:rPr>
                <w:sz w:val="20"/>
                <w:szCs w:val="20"/>
                <w:color w:val="auto"/>
              </w:rPr>
            </w:pPr>
            <w:r>
              <w:rPr>
                <w:rFonts w:ascii="Arial" w:cs="Arial" w:eastAsia="Arial" w:hAnsi="Arial"/>
                <w:sz w:val="18"/>
                <w:szCs w:val="18"/>
                <w:color w:val="auto"/>
              </w:rPr>
              <w:t>Item 1.</w:t>
            </w:r>
          </w:p>
        </w:tc>
        <w:tc>
          <w:tcPr>
            <w:tcW w:w="150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Financial Statements</w:t>
              </w:r>
            </w:hyperlink>
          </w:p>
        </w:tc>
        <w:tc>
          <w:tcPr>
            <w:tcW w:w="20" w:type="dxa"/>
            <w:vAlign w:val="bottom"/>
            <w:tcBorders>
              <w:top w:val="single" w:sz="8" w:color="0000EE"/>
            </w:tcBorders>
          </w:tcPr>
          <w:p>
            <w:pPr>
              <w:spacing w:after="0"/>
              <w:rPr>
                <w:sz w:val="24"/>
                <w:szCs w:val="24"/>
                <w:color w:val="auto"/>
              </w:rPr>
            </w:pPr>
          </w:p>
        </w:tc>
        <w:tc>
          <w:tcPr>
            <w:tcW w:w="7480" w:type="dxa"/>
            <w:vAlign w:val="bottom"/>
            <w:gridSpan w:val="10"/>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r>
      <w:tr>
        <w:trPr>
          <w:trHeight w:val="412"/>
        </w:trPr>
        <w:tc>
          <w:tcPr>
            <w:tcW w:w="1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80" w:type="dxa"/>
            <w:vAlign w:val="bottom"/>
            <w:tcBorders>
              <w:bottom w:val="single" w:sz="8" w:color="0000EE"/>
            </w:tcBorders>
            <w:gridSpan w:val="13"/>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Consolidated Balance Sheets - June 30, 2018 (unaudited) and December 31, 2017</w:t>
              </w:r>
            </w:hyperlink>
          </w:p>
        </w:tc>
        <w:tc>
          <w:tcPr>
            <w:tcW w:w="3120" w:type="dxa"/>
            <w:vAlign w:val="bottom"/>
            <w:gridSpan w:val="4"/>
          </w:tcPr>
          <w:p>
            <w:pPr>
              <w:spacing w:after="0"/>
              <w:rPr>
                <w:sz w:val="24"/>
                <w:szCs w:val="24"/>
                <w:color w:val="auto"/>
              </w:rPr>
            </w:pPr>
          </w:p>
        </w:tc>
        <w:tc>
          <w:tcPr>
            <w:tcW w:w="580" w:type="dxa"/>
            <w:vAlign w:val="bottom"/>
            <w:gridSpan w:val="2"/>
          </w:tcPr>
          <w:p>
            <w:pPr>
              <w:jc w:val="center"/>
              <w:ind w:left="130"/>
              <w:spacing w:after="0"/>
              <w:rPr>
                <w:sz w:val="20"/>
                <w:szCs w:val="20"/>
                <w:color w:val="auto"/>
              </w:rPr>
            </w:pPr>
            <w:r>
              <w:rPr>
                <w:rFonts w:ascii="Arial" w:cs="Arial" w:eastAsia="Arial" w:hAnsi="Arial"/>
                <w:sz w:val="18"/>
                <w:szCs w:val="18"/>
                <w:color w:val="auto"/>
                <w:w w:val="79"/>
              </w:rPr>
              <w:t>3</w:t>
            </w:r>
          </w:p>
        </w:tc>
        <w:tc>
          <w:tcPr>
            <w:tcW w:w="220" w:type="dxa"/>
            <w:vAlign w:val="bottom"/>
          </w:tcPr>
          <w:p>
            <w:pPr>
              <w:spacing w:after="0"/>
              <w:rPr>
                <w:sz w:val="24"/>
                <w:szCs w:val="24"/>
                <w:color w:val="auto"/>
              </w:rPr>
            </w:pPr>
          </w:p>
        </w:tc>
      </w:tr>
      <w:tr>
        <w:trPr>
          <w:trHeight w:val="412"/>
        </w:trPr>
        <w:tc>
          <w:tcPr>
            <w:tcW w:w="1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0" w:type="dxa"/>
            <w:vAlign w:val="bottom"/>
            <w:tcBorders>
              <w:bottom w:val="single" w:sz="8" w:color="0000EE"/>
            </w:tcBorders>
            <w:gridSpan w:val="16"/>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Consolidated Statements of Income and Comprehensive Income - For the Three and Six Months Ended June 30, 2018 and</w:t>
              </w:r>
            </w:hyperlink>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0" w:type="dxa"/>
            <w:vAlign w:val="bottom"/>
            <w:gridSpan w:val="17"/>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2017 (unaudited)</w:t>
              </w:r>
            </w:hyperlink>
          </w:p>
        </w:tc>
        <w:tc>
          <w:tcPr>
            <w:tcW w:w="580" w:type="dxa"/>
            <w:vAlign w:val="bottom"/>
            <w:gridSpan w:val="2"/>
          </w:tcPr>
          <w:p>
            <w:pPr>
              <w:jc w:val="center"/>
              <w:ind w:left="130"/>
              <w:spacing w:after="0" w:line="196" w:lineRule="exact"/>
              <w:rPr>
                <w:sz w:val="20"/>
                <w:szCs w:val="20"/>
                <w:color w:val="auto"/>
              </w:rPr>
            </w:pPr>
            <w:r>
              <w:rPr>
                <w:rFonts w:ascii="Arial" w:cs="Arial" w:eastAsia="Arial" w:hAnsi="Arial"/>
                <w:sz w:val="18"/>
                <w:szCs w:val="18"/>
                <w:color w:val="auto"/>
                <w:w w:val="79"/>
              </w:rPr>
              <w:t>4</w:t>
            </w:r>
          </w:p>
        </w:tc>
        <w:tc>
          <w:tcPr>
            <w:tcW w:w="220" w:type="dxa"/>
            <w:vAlign w:val="bottom"/>
          </w:tcPr>
          <w:p>
            <w:pPr>
              <w:spacing w:after="0"/>
              <w:rPr>
                <w:sz w:val="17"/>
                <w:szCs w:val="17"/>
                <w:color w:val="auto"/>
              </w:rPr>
            </w:pPr>
          </w:p>
        </w:tc>
      </w:tr>
      <w:tr>
        <w:trPr>
          <w:trHeight w:val="20"/>
        </w:trPr>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412"/>
        </w:trPr>
        <w:tc>
          <w:tcPr>
            <w:tcW w:w="1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0" w:type="dxa"/>
            <w:vAlign w:val="bottom"/>
            <w:gridSpan w:val="17"/>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Consolidated Statements of Cash Flows - For the Six Months Ended June 30, 2018 and 2017 (unaudited)</w:t>
              </w:r>
            </w:hyperlink>
          </w:p>
        </w:tc>
        <w:tc>
          <w:tcPr>
            <w:tcW w:w="580" w:type="dxa"/>
            <w:vAlign w:val="bottom"/>
            <w:gridSpan w:val="2"/>
          </w:tcPr>
          <w:p>
            <w:pPr>
              <w:jc w:val="center"/>
              <w:ind w:left="130"/>
              <w:spacing w:after="0"/>
              <w:rPr>
                <w:sz w:val="20"/>
                <w:szCs w:val="20"/>
                <w:color w:val="auto"/>
              </w:rPr>
            </w:pPr>
            <w:r>
              <w:rPr>
                <w:rFonts w:ascii="Arial" w:cs="Arial" w:eastAsia="Arial" w:hAnsi="Arial"/>
                <w:sz w:val="18"/>
                <w:szCs w:val="18"/>
                <w:color w:val="auto"/>
                <w:w w:val="79"/>
              </w:rPr>
              <w:t>5</w:t>
            </w:r>
          </w:p>
        </w:tc>
        <w:tc>
          <w:tcPr>
            <w:tcW w:w="220" w:type="dxa"/>
            <w:vAlign w:val="bottom"/>
          </w:tcPr>
          <w:p>
            <w:pPr>
              <w:spacing w:after="0"/>
              <w:rPr>
                <w:sz w:val="24"/>
                <w:szCs w:val="24"/>
                <w:color w:val="auto"/>
              </w:rPr>
            </w:pPr>
          </w:p>
        </w:tc>
      </w:tr>
      <w:tr>
        <w:trPr>
          <w:trHeight w:val="412"/>
        </w:trPr>
        <w:tc>
          <w:tcPr>
            <w:tcW w:w="1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20" w:type="dxa"/>
            <w:vAlign w:val="bottom"/>
            <w:tcBorders>
              <w:top w:val="single" w:sz="8" w:color="0000EE"/>
              <w:bottom w:val="single" w:sz="8" w:color="0000EE"/>
            </w:tcBorders>
            <w:gridSpan w:val="10"/>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Notes to Consolidated Financial Statements (unaudited)</w:t>
              </w:r>
            </w:hyperlink>
          </w:p>
        </w:tc>
        <w:tc>
          <w:tcPr>
            <w:tcW w:w="3520" w:type="dxa"/>
            <w:vAlign w:val="bottom"/>
            <w:tcBorders>
              <w:top w:val="single" w:sz="8" w:color="0000EE"/>
            </w:tcBorders>
            <w:gridSpan w:val="5"/>
          </w:tcPr>
          <w:p>
            <w:pPr>
              <w:spacing w:after="0"/>
              <w:rPr>
                <w:sz w:val="24"/>
                <w:szCs w:val="24"/>
                <w:color w:val="auto"/>
              </w:rPr>
            </w:pPr>
          </w:p>
        </w:tc>
        <w:tc>
          <w:tcPr>
            <w:tcW w:w="1460" w:type="dxa"/>
            <w:vAlign w:val="bottom"/>
            <w:gridSpan w:val="2"/>
          </w:tcPr>
          <w:p>
            <w:pPr>
              <w:spacing w:after="0"/>
              <w:rPr>
                <w:sz w:val="24"/>
                <w:szCs w:val="24"/>
                <w:color w:val="auto"/>
              </w:rPr>
            </w:pPr>
          </w:p>
        </w:tc>
        <w:tc>
          <w:tcPr>
            <w:tcW w:w="580" w:type="dxa"/>
            <w:vAlign w:val="bottom"/>
            <w:gridSpan w:val="2"/>
          </w:tcPr>
          <w:p>
            <w:pPr>
              <w:jc w:val="center"/>
              <w:ind w:left="130"/>
              <w:spacing w:after="0"/>
              <w:rPr>
                <w:sz w:val="20"/>
                <w:szCs w:val="20"/>
                <w:color w:val="auto"/>
              </w:rPr>
            </w:pPr>
            <w:r>
              <w:rPr>
                <w:rFonts w:ascii="Arial" w:cs="Arial" w:eastAsia="Arial" w:hAnsi="Arial"/>
                <w:sz w:val="18"/>
                <w:szCs w:val="18"/>
                <w:color w:val="auto"/>
                <w:w w:val="79"/>
              </w:rPr>
              <w:t>6</w:t>
            </w:r>
          </w:p>
        </w:tc>
        <w:tc>
          <w:tcPr>
            <w:tcW w:w="220" w:type="dxa"/>
            <w:vAlign w:val="bottom"/>
          </w:tcPr>
          <w:p>
            <w:pPr>
              <w:spacing w:after="0"/>
              <w:rPr>
                <w:sz w:val="24"/>
                <w:szCs w:val="24"/>
                <w:color w:val="auto"/>
              </w:rPr>
            </w:pPr>
          </w:p>
        </w:tc>
      </w:tr>
      <w:tr>
        <w:trPr>
          <w:trHeight w:val="412"/>
        </w:trPr>
        <w:tc>
          <w:tcPr>
            <w:tcW w:w="1620" w:type="dxa"/>
            <w:vAlign w:val="bottom"/>
            <w:gridSpan w:val="2"/>
          </w:tcPr>
          <w:p>
            <w:pPr>
              <w:ind w:left="820"/>
              <w:spacing w:after="0"/>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EE"/>
            </w:tcBorders>
            <w:gridSpan w:val="14"/>
          </w:tcPr>
          <w:p>
            <w:pPr>
              <w:spacing w:after="0"/>
              <w:rPr>
                <w:rFonts w:ascii="Arial" w:cs="Arial" w:eastAsia="Arial" w:hAnsi="Arial"/>
                <w:sz w:val="18"/>
                <w:szCs w:val="18"/>
                <w:color w:val="0000EE"/>
                <w:w w:val="90"/>
              </w:rPr>
            </w:pPr>
            <w:hyperlink w:anchor="page14">
              <w:r>
                <w:rPr>
                  <w:rFonts w:ascii="Arial" w:cs="Arial" w:eastAsia="Arial" w:hAnsi="Arial"/>
                  <w:sz w:val="18"/>
                  <w:szCs w:val="18"/>
                  <w:color w:val="0000EE"/>
                  <w:w w:val="90"/>
                </w:rPr>
                <w:t>Management’s Discussion and Analysis of Financial Condition and Results of Operations</w:t>
              </w:r>
            </w:hyperlink>
          </w:p>
        </w:tc>
        <w:tc>
          <w:tcPr>
            <w:tcW w:w="2540" w:type="dxa"/>
            <w:vAlign w:val="bottom"/>
            <w:gridSpan w:val="3"/>
          </w:tcPr>
          <w:p>
            <w:pPr>
              <w:spacing w:after="0"/>
              <w:rPr>
                <w:sz w:val="24"/>
                <w:szCs w:val="24"/>
                <w:color w:val="auto"/>
              </w:rPr>
            </w:pPr>
          </w:p>
        </w:tc>
        <w:tc>
          <w:tcPr>
            <w:tcW w:w="580" w:type="dxa"/>
            <w:vAlign w:val="bottom"/>
            <w:gridSpan w:val="2"/>
          </w:tcPr>
          <w:p>
            <w:pPr>
              <w:jc w:val="center"/>
              <w:ind w:left="150"/>
              <w:spacing w:after="0"/>
              <w:rPr>
                <w:sz w:val="20"/>
                <w:szCs w:val="20"/>
                <w:color w:val="auto"/>
              </w:rPr>
            </w:pPr>
            <w:r>
              <w:rPr>
                <w:rFonts w:ascii="Arial" w:cs="Arial" w:eastAsia="Arial" w:hAnsi="Arial"/>
                <w:sz w:val="18"/>
                <w:szCs w:val="18"/>
                <w:color w:val="auto"/>
                <w:w w:val="89"/>
              </w:rPr>
              <w:t>14</w:t>
            </w:r>
          </w:p>
        </w:tc>
        <w:tc>
          <w:tcPr>
            <w:tcW w:w="220" w:type="dxa"/>
            <w:vAlign w:val="bottom"/>
          </w:tcPr>
          <w:p>
            <w:pPr>
              <w:spacing w:after="0"/>
              <w:rPr>
                <w:sz w:val="24"/>
                <w:szCs w:val="24"/>
                <w:color w:val="auto"/>
              </w:rPr>
            </w:pPr>
          </w:p>
        </w:tc>
      </w:tr>
      <w:tr>
        <w:trPr>
          <w:trHeight w:val="412"/>
        </w:trPr>
        <w:tc>
          <w:tcPr>
            <w:tcW w:w="1620" w:type="dxa"/>
            <w:vAlign w:val="bottom"/>
            <w:gridSpan w:val="2"/>
          </w:tcPr>
          <w:p>
            <w:pPr>
              <w:ind w:left="820"/>
              <w:spacing w:after="0"/>
              <w:rPr>
                <w:sz w:val="20"/>
                <w:szCs w:val="20"/>
                <w:color w:val="auto"/>
              </w:rPr>
            </w:pPr>
            <w:r>
              <w:rPr>
                <w:rFonts w:ascii="Arial" w:cs="Arial" w:eastAsia="Arial" w:hAnsi="Arial"/>
                <w:sz w:val="18"/>
                <w:szCs w:val="18"/>
                <w:color w:val="auto"/>
              </w:rPr>
              <w:t>Item 3.</w:t>
            </w:r>
          </w:p>
        </w:tc>
        <w:tc>
          <w:tcPr>
            <w:tcW w:w="4360" w:type="dxa"/>
            <w:vAlign w:val="bottom"/>
            <w:tcBorders>
              <w:bottom w:val="single" w:sz="8" w:color="0000EE"/>
            </w:tcBorders>
            <w:gridSpan w:val="12"/>
          </w:tcPr>
          <w:p>
            <w:pPr>
              <w:spacing w:after="0"/>
              <w:rPr>
                <w:rFonts w:ascii="Arial" w:cs="Arial" w:eastAsia="Arial" w:hAnsi="Arial"/>
                <w:sz w:val="18"/>
                <w:szCs w:val="18"/>
                <w:color w:val="0000EE"/>
                <w:w w:val="92"/>
              </w:rPr>
            </w:pPr>
            <w:hyperlink w:anchor="page27">
              <w:r>
                <w:rPr>
                  <w:rFonts w:ascii="Arial" w:cs="Arial" w:eastAsia="Arial" w:hAnsi="Arial"/>
                  <w:sz w:val="18"/>
                  <w:szCs w:val="18"/>
                  <w:color w:val="0000EE"/>
                  <w:w w:val="92"/>
                </w:rPr>
                <w:t>Quantitative and Qualitative Disclosures About Market Risk</w:t>
              </w:r>
            </w:hyperlink>
          </w:p>
        </w:tc>
        <w:tc>
          <w:tcPr>
            <w:tcW w:w="4640" w:type="dxa"/>
            <w:vAlign w:val="bottom"/>
            <w:gridSpan w:val="5"/>
          </w:tcPr>
          <w:p>
            <w:pPr>
              <w:spacing w:after="0"/>
              <w:rPr>
                <w:sz w:val="24"/>
                <w:szCs w:val="24"/>
                <w:color w:val="auto"/>
              </w:rPr>
            </w:pPr>
          </w:p>
        </w:tc>
        <w:tc>
          <w:tcPr>
            <w:tcW w:w="580" w:type="dxa"/>
            <w:vAlign w:val="bottom"/>
            <w:gridSpan w:val="2"/>
          </w:tcPr>
          <w:p>
            <w:pPr>
              <w:jc w:val="center"/>
              <w:ind w:left="150"/>
              <w:spacing w:after="0"/>
              <w:rPr>
                <w:sz w:val="20"/>
                <w:szCs w:val="20"/>
                <w:color w:val="auto"/>
              </w:rPr>
            </w:pPr>
            <w:r>
              <w:rPr>
                <w:rFonts w:ascii="Arial" w:cs="Arial" w:eastAsia="Arial" w:hAnsi="Arial"/>
                <w:sz w:val="18"/>
                <w:szCs w:val="18"/>
                <w:color w:val="auto"/>
                <w:w w:val="89"/>
              </w:rPr>
              <w:t>27</w:t>
            </w:r>
          </w:p>
        </w:tc>
        <w:tc>
          <w:tcPr>
            <w:tcW w:w="220" w:type="dxa"/>
            <w:vAlign w:val="bottom"/>
          </w:tcPr>
          <w:p>
            <w:pPr>
              <w:spacing w:after="0"/>
              <w:rPr>
                <w:sz w:val="24"/>
                <w:szCs w:val="24"/>
                <w:color w:val="auto"/>
              </w:rPr>
            </w:pPr>
          </w:p>
        </w:tc>
      </w:tr>
      <w:tr>
        <w:trPr>
          <w:trHeight w:val="412"/>
        </w:trPr>
        <w:tc>
          <w:tcPr>
            <w:tcW w:w="1620" w:type="dxa"/>
            <w:vAlign w:val="bottom"/>
            <w:gridSpan w:val="2"/>
          </w:tcPr>
          <w:p>
            <w:pPr>
              <w:ind w:left="820"/>
              <w:spacing w:after="0"/>
              <w:rPr>
                <w:sz w:val="20"/>
                <w:szCs w:val="20"/>
                <w:color w:val="auto"/>
              </w:rPr>
            </w:pPr>
            <w:r>
              <w:rPr>
                <w:rFonts w:ascii="Arial" w:cs="Arial" w:eastAsia="Arial" w:hAnsi="Arial"/>
                <w:sz w:val="18"/>
                <w:szCs w:val="18"/>
                <w:color w:val="auto"/>
              </w:rPr>
              <w:t>Item 4.</w:t>
            </w:r>
          </w:p>
        </w:tc>
        <w:tc>
          <w:tcPr>
            <w:tcW w:w="9000" w:type="dxa"/>
            <w:vAlign w:val="bottom"/>
            <w:gridSpan w:val="17"/>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Controls and Procedures</w:t>
              </w:r>
            </w:hyperlink>
          </w:p>
        </w:tc>
        <w:tc>
          <w:tcPr>
            <w:tcW w:w="580" w:type="dxa"/>
            <w:vAlign w:val="bottom"/>
            <w:gridSpan w:val="2"/>
          </w:tcPr>
          <w:p>
            <w:pPr>
              <w:jc w:val="center"/>
              <w:ind w:left="150"/>
              <w:spacing w:after="0"/>
              <w:rPr>
                <w:sz w:val="20"/>
                <w:szCs w:val="20"/>
                <w:color w:val="auto"/>
              </w:rPr>
            </w:pPr>
            <w:r>
              <w:rPr>
                <w:rFonts w:ascii="Arial" w:cs="Arial" w:eastAsia="Arial" w:hAnsi="Arial"/>
                <w:sz w:val="18"/>
                <w:szCs w:val="18"/>
                <w:color w:val="auto"/>
                <w:w w:val="89"/>
              </w:rPr>
              <w:t>27</w:t>
            </w:r>
          </w:p>
        </w:tc>
        <w:tc>
          <w:tcPr>
            <w:tcW w:w="220" w:type="dxa"/>
            <w:vAlign w:val="bottom"/>
          </w:tcPr>
          <w:p>
            <w:pPr>
              <w:spacing w:after="0"/>
              <w:rPr>
                <w:sz w:val="24"/>
                <w:szCs w:val="24"/>
                <w:color w:val="auto"/>
              </w:rPr>
            </w:pPr>
          </w:p>
        </w:tc>
      </w:tr>
      <w:tr>
        <w:trPr>
          <w:trHeight w:val="20"/>
        </w:trPr>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660" w:type="dxa"/>
            <w:vAlign w:val="bottom"/>
            <w:gridSpan w:val="6"/>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844"/>
        </w:trPr>
        <w:tc>
          <w:tcPr>
            <w:tcW w:w="10620" w:type="dxa"/>
            <w:vAlign w:val="bottom"/>
            <w:gridSpan w:val="19"/>
          </w:tcPr>
          <w:p>
            <w:pPr>
              <w:spacing w:after="0"/>
              <w:rPr>
                <w:rFonts w:ascii="Arial" w:cs="Arial" w:eastAsia="Arial" w:hAnsi="Arial"/>
                <w:sz w:val="18"/>
                <w:szCs w:val="18"/>
                <w:b w:val="1"/>
                <w:bCs w:val="1"/>
                <w:color w:val="0000EE"/>
              </w:rPr>
            </w:pPr>
            <w:hyperlink w:anchor="page28">
              <w:r>
                <w:rPr>
                  <w:rFonts w:ascii="Arial" w:cs="Arial" w:eastAsia="Arial" w:hAnsi="Arial"/>
                  <w:sz w:val="18"/>
                  <w:szCs w:val="18"/>
                  <w:b w:val="1"/>
                  <w:bCs w:val="1"/>
                  <w:color w:val="0000EE"/>
                </w:rPr>
                <w:t>PART II. OTHER INFORMATION</w:t>
              </w:r>
            </w:hyperlink>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0"/>
        </w:trPr>
        <w:tc>
          <w:tcPr>
            <w:tcW w:w="11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660" w:type="dxa"/>
            <w:vAlign w:val="bottom"/>
            <w:gridSpan w:val="6"/>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412"/>
        </w:trPr>
        <w:tc>
          <w:tcPr>
            <w:tcW w:w="1620" w:type="dxa"/>
            <w:vAlign w:val="bottom"/>
            <w:gridSpan w:val="2"/>
          </w:tcPr>
          <w:p>
            <w:pPr>
              <w:ind w:left="820"/>
              <w:spacing w:after="0"/>
              <w:rPr>
                <w:sz w:val="20"/>
                <w:szCs w:val="20"/>
                <w:color w:val="auto"/>
              </w:rPr>
            </w:pPr>
            <w:r>
              <w:rPr>
                <w:rFonts w:ascii="Arial" w:cs="Arial" w:eastAsia="Arial" w:hAnsi="Arial"/>
                <w:sz w:val="18"/>
                <w:szCs w:val="18"/>
                <w:color w:val="auto"/>
              </w:rPr>
              <w:t>Item 1.</w:t>
            </w:r>
          </w:p>
        </w:tc>
        <w:tc>
          <w:tcPr>
            <w:tcW w:w="9000" w:type="dxa"/>
            <w:vAlign w:val="bottom"/>
            <w:gridSpan w:val="17"/>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Legal Proceedings</w:t>
              </w:r>
            </w:hyperlink>
          </w:p>
        </w:tc>
        <w:tc>
          <w:tcPr>
            <w:tcW w:w="580" w:type="dxa"/>
            <w:vAlign w:val="bottom"/>
            <w:gridSpan w:val="2"/>
          </w:tcPr>
          <w:p>
            <w:pPr>
              <w:jc w:val="center"/>
              <w:ind w:left="150"/>
              <w:spacing w:after="0"/>
              <w:rPr>
                <w:sz w:val="20"/>
                <w:szCs w:val="20"/>
                <w:color w:val="auto"/>
              </w:rPr>
            </w:pPr>
            <w:r>
              <w:rPr>
                <w:rFonts w:ascii="Arial" w:cs="Arial" w:eastAsia="Arial" w:hAnsi="Arial"/>
                <w:sz w:val="18"/>
                <w:szCs w:val="18"/>
                <w:color w:val="auto"/>
                <w:w w:val="89"/>
              </w:rPr>
              <w:t>28</w:t>
            </w:r>
          </w:p>
        </w:tc>
        <w:tc>
          <w:tcPr>
            <w:tcW w:w="220" w:type="dxa"/>
            <w:vAlign w:val="bottom"/>
          </w:tcPr>
          <w:p>
            <w:pPr>
              <w:spacing w:after="0"/>
              <w:rPr>
                <w:sz w:val="24"/>
                <w:szCs w:val="24"/>
                <w:color w:val="auto"/>
              </w:rPr>
            </w:pPr>
          </w:p>
        </w:tc>
      </w:tr>
      <w:tr>
        <w:trPr>
          <w:trHeight w:val="412"/>
        </w:trPr>
        <w:tc>
          <w:tcPr>
            <w:tcW w:w="1620" w:type="dxa"/>
            <w:vAlign w:val="bottom"/>
            <w:gridSpan w:val="2"/>
          </w:tcPr>
          <w:p>
            <w:pPr>
              <w:ind w:left="820"/>
              <w:spacing w:after="0"/>
              <w:rPr>
                <w:sz w:val="20"/>
                <w:szCs w:val="20"/>
                <w:color w:val="auto"/>
              </w:rPr>
            </w:pPr>
            <w:r>
              <w:rPr>
                <w:rFonts w:ascii="Arial" w:cs="Arial" w:eastAsia="Arial" w:hAnsi="Arial"/>
                <w:sz w:val="18"/>
                <w:szCs w:val="18"/>
                <w:color w:val="auto"/>
              </w:rPr>
              <w:t>Item 1A.</w:t>
            </w:r>
          </w:p>
        </w:tc>
        <w:tc>
          <w:tcPr>
            <w:tcW w:w="1320" w:type="dxa"/>
            <w:vAlign w:val="bottom"/>
            <w:tcBorders>
              <w:top w:val="single" w:sz="8" w:color="0000EE"/>
            </w:tcBorders>
            <w:gridSpan w:val="5"/>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Risk Factors</w:t>
              </w:r>
            </w:hyperlink>
          </w:p>
        </w:tc>
        <w:tc>
          <w:tcPr>
            <w:tcW w:w="7680" w:type="dxa"/>
            <w:vAlign w:val="bottom"/>
            <w:gridSpan w:val="12"/>
          </w:tcPr>
          <w:p>
            <w:pPr>
              <w:spacing w:after="0"/>
              <w:rPr>
                <w:sz w:val="24"/>
                <w:szCs w:val="24"/>
                <w:color w:val="auto"/>
              </w:rPr>
            </w:pPr>
          </w:p>
        </w:tc>
        <w:tc>
          <w:tcPr>
            <w:tcW w:w="580" w:type="dxa"/>
            <w:vAlign w:val="bottom"/>
            <w:gridSpan w:val="2"/>
          </w:tcPr>
          <w:p>
            <w:pPr>
              <w:jc w:val="center"/>
              <w:ind w:left="150"/>
              <w:spacing w:after="0"/>
              <w:rPr>
                <w:sz w:val="20"/>
                <w:szCs w:val="20"/>
                <w:color w:val="auto"/>
              </w:rPr>
            </w:pPr>
            <w:r>
              <w:rPr>
                <w:rFonts w:ascii="Arial" w:cs="Arial" w:eastAsia="Arial" w:hAnsi="Arial"/>
                <w:sz w:val="18"/>
                <w:szCs w:val="18"/>
                <w:color w:val="auto"/>
                <w:w w:val="89"/>
              </w:rPr>
              <w:t>28</w:t>
            </w:r>
          </w:p>
        </w:tc>
        <w:tc>
          <w:tcPr>
            <w:tcW w:w="220" w:type="dxa"/>
            <w:vAlign w:val="bottom"/>
          </w:tcPr>
          <w:p>
            <w:pPr>
              <w:spacing w:after="0"/>
              <w:rPr>
                <w:sz w:val="24"/>
                <w:szCs w:val="24"/>
                <w:color w:val="auto"/>
              </w:rPr>
            </w:pPr>
          </w:p>
        </w:tc>
      </w:tr>
      <w:tr>
        <w:trPr>
          <w:trHeight w:val="20"/>
        </w:trPr>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660" w:type="dxa"/>
            <w:vAlign w:val="bottom"/>
            <w:gridSpan w:val="6"/>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412"/>
        </w:trPr>
        <w:tc>
          <w:tcPr>
            <w:tcW w:w="1620" w:type="dxa"/>
            <w:vAlign w:val="bottom"/>
            <w:gridSpan w:val="2"/>
          </w:tcPr>
          <w:p>
            <w:pPr>
              <w:ind w:left="820"/>
              <w:spacing w:after="0"/>
              <w:rPr>
                <w:sz w:val="20"/>
                <w:szCs w:val="20"/>
                <w:color w:val="auto"/>
              </w:rPr>
            </w:pPr>
            <w:r>
              <w:rPr>
                <w:rFonts w:ascii="Arial" w:cs="Arial" w:eastAsia="Arial" w:hAnsi="Arial"/>
                <w:sz w:val="18"/>
                <w:szCs w:val="18"/>
                <w:color w:val="auto"/>
              </w:rPr>
              <w:t>Item 2.</w:t>
            </w:r>
          </w:p>
        </w:tc>
        <w:tc>
          <w:tcPr>
            <w:tcW w:w="9000" w:type="dxa"/>
            <w:vAlign w:val="bottom"/>
            <w:gridSpan w:val="17"/>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Unregistered Sales of Equity Securities and Use of Proceeds</w:t>
              </w:r>
            </w:hyperlink>
          </w:p>
        </w:tc>
        <w:tc>
          <w:tcPr>
            <w:tcW w:w="580" w:type="dxa"/>
            <w:vAlign w:val="bottom"/>
            <w:gridSpan w:val="2"/>
          </w:tcPr>
          <w:p>
            <w:pPr>
              <w:jc w:val="center"/>
              <w:ind w:left="150"/>
              <w:spacing w:after="0"/>
              <w:rPr>
                <w:sz w:val="20"/>
                <w:szCs w:val="20"/>
                <w:color w:val="auto"/>
              </w:rPr>
            </w:pPr>
            <w:r>
              <w:rPr>
                <w:rFonts w:ascii="Arial" w:cs="Arial" w:eastAsia="Arial" w:hAnsi="Arial"/>
                <w:sz w:val="18"/>
                <w:szCs w:val="18"/>
                <w:color w:val="auto"/>
                <w:w w:val="89"/>
              </w:rPr>
              <w:t>28</w:t>
            </w:r>
          </w:p>
        </w:tc>
        <w:tc>
          <w:tcPr>
            <w:tcW w:w="220" w:type="dxa"/>
            <w:vAlign w:val="bottom"/>
          </w:tcPr>
          <w:p>
            <w:pPr>
              <w:spacing w:after="0"/>
              <w:rPr>
                <w:sz w:val="24"/>
                <w:szCs w:val="24"/>
                <w:color w:val="auto"/>
              </w:rPr>
            </w:pPr>
          </w:p>
        </w:tc>
      </w:tr>
      <w:tr>
        <w:trPr>
          <w:trHeight w:val="412"/>
        </w:trPr>
        <w:tc>
          <w:tcPr>
            <w:tcW w:w="1620" w:type="dxa"/>
            <w:vAlign w:val="bottom"/>
            <w:gridSpan w:val="2"/>
          </w:tcPr>
          <w:p>
            <w:pPr>
              <w:ind w:left="820"/>
              <w:spacing w:after="0"/>
              <w:rPr>
                <w:sz w:val="20"/>
                <w:szCs w:val="20"/>
                <w:color w:val="auto"/>
              </w:rPr>
            </w:pPr>
            <w:r>
              <w:rPr>
                <w:rFonts w:ascii="Arial" w:cs="Arial" w:eastAsia="Arial" w:hAnsi="Arial"/>
                <w:sz w:val="18"/>
                <w:szCs w:val="18"/>
                <w:color w:val="auto"/>
              </w:rPr>
              <w:t>Item 3.</w:t>
            </w:r>
          </w:p>
        </w:tc>
        <w:tc>
          <w:tcPr>
            <w:tcW w:w="232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90"/>
              </w:rPr>
            </w:pPr>
            <w:hyperlink w:anchor="page28">
              <w:r>
                <w:rPr>
                  <w:rFonts w:ascii="Arial" w:cs="Arial" w:eastAsia="Arial" w:hAnsi="Arial"/>
                  <w:sz w:val="18"/>
                  <w:szCs w:val="18"/>
                  <w:color w:val="0000EE"/>
                  <w:w w:val="90"/>
                </w:rPr>
                <w:t>Defaults Upon Senior Securities</w:t>
              </w:r>
            </w:hyperlink>
          </w:p>
        </w:tc>
        <w:tc>
          <w:tcPr>
            <w:tcW w:w="2020" w:type="dxa"/>
            <w:vAlign w:val="bottom"/>
            <w:tcBorders>
              <w:top w:val="single" w:sz="8" w:color="0000EE"/>
            </w:tcBorders>
            <w:gridSpan w:val="2"/>
          </w:tcPr>
          <w:p>
            <w:pPr>
              <w:spacing w:after="0"/>
              <w:rPr>
                <w:sz w:val="24"/>
                <w:szCs w:val="24"/>
                <w:color w:val="auto"/>
              </w:rPr>
            </w:pPr>
          </w:p>
        </w:tc>
        <w:tc>
          <w:tcPr>
            <w:tcW w:w="4660" w:type="dxa"/>
            <w:vAlign w:val="bottom"/>
            <w:gridSpan w:val="6"/>
          </w:tcPr>
          <w:p>
            <w:pPr>
              <w:spacing w:after="0"/>
              <w:rPr>
                <w:sz w:val="24"/>
                <w:szCs w:val="24"/>
                <w:color w:val="auto"/>
              </w:rPr>
            </w:pPr>
          </w:p>
        </w:tc>
        <w:tc>
          <w:tcPr>
            <w:tcW w:w="580" w:type="dxa"/>
            <w:vAlign w:val="bottom"/>
            <w:gridSpan w:val="2"/>
          </w:tcPr>
          <w:p>
            <w:pPr>
              <w:jc w:val="center"/>
              <w:ind w:left="150"/>
              <w:spacing w:after="0"/>
              <w:rPr>
                <w:sz w:val="20"/>
                <w:szCs w:val="20"/>
                <w:color w:val="auto"/>
              </w:rPr>
            </w:pPr>
            <w:r>
              <w:rPr>
                <w:rFonts w:ascii="Arial" w:cs="Arial" w:eastAsia="Arial" w:hAnsi="Arial"/>
                <w:sz w:val="18"/>
                <w:szCs w:val="18"/>
                <w:color w:val="auto"/>
                <w:w w:val="89"/>
              </w:rPr>
              <w:t>28</w:t>
            </w:r>
          </w:p>
        </w:tc>
        <w:tc>
          <w:tcPr>
            <w:tcW w:w="220" w:type="dxa"/>
            <w:vAlign w:val="bottom"/>
          </w:tcPr>
          <w:p>
            <w:pPr>
              <w:spacing w:after="0"/>
              <w:rPr>
                <w:sz w:val="24"/>
                <w:szCs w:val="24"/>
                <w:color w:val="auto"/>
              </w:rPr>
            </w:pPr>
          </w:p>
        </w:tc>
      </w:tr>
      <w:tr>
        <w:trPr>
          <w:trHeight w:val="412"/>
        </w:trPr>
        <w:tc>
          <w:tcPr>
            <w:tcW w:w="1620" w:type="dxa"/>
            <w:vAlign w:val="bottom"/>
            <w:gridSpan w:val="2"/>
          </w:tcPr>
          <w:p>
            <w:pPr>
              <w:ind w:left="820"/>
              <w:spacing w:after="0"/>
              <w:rPr>
                <w:sz w:val="20"/>
                <w:szCs w:val="20"/>
                <w:color w:val="auto"/>
              </w:rPr>
            </w:pPr>
            <w:r>
              <w:rPr>
                <w:rFonts w:ascii="Arial" w:cs="Arial" w:eastAsia="Arial" w:hAnsi="Arial"/>
                <w:sz w:val="18"/>
                <w:szCs w:val="18"/>
                <w:color w:val="auto"/>
              </w:rPr>
              <w:t>Item 4.</w:t>
            </w:r>
          </w:p>
        </w:tc>
        <w:tc>
          <w:tcPr>
            <w:tcW w:w="9000" w:type="dxa"/>
            <w:vAlign w:val="bottom"/>
            <w:gridSpan w:val="17"/>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Mine Safety Disclosures</w:t>
              </w:r>
            </w:hyperlink>
          </w:p>
        </w:tc>
        <w:tc>
          <w:tcPr>
            <w:tcW w:w="580" w:type="dxa"/>
            <w:vAlign w:val="bottom"/>
            <w:gridSpan w:val="2"/>
          </w:tcPr>
          <w:p>
            <w:pPr>
              <w:jc w:val="center"/>
              <w:ind w:left="150"/>
              <w:spacing w:after="0"/>
              <w:rPr>
                <w:sz w:val="20"/>
                <w:szCs w:val="20"/>
                <w:color w:val="auto"/>
              </w:rPr>
            </w:pPr>
            <w:r>
              <w:rPr>
                <w:rFonts w:ascii="Arial" w:cs="Arial" w:eastAsia="Arial" w:hAnsi="Arial"/>
                <w:sz w:val="18"/>
                <w:szCs w:val="18"/>
                <w:color w:val="auto"/>
                <w:w w:val="89"/>
              </w:rPr>
              <w:t>29</w:t>
            </w:r>
          </w:p>
        </w:tc>
        <w:tc>
          <w:tcPr>
            <w:tcW w:w="220" w:type="dxa"/>
            <w:vAlign w:val="bottom"/>
          </w:tcPr>
          <w:p>
            <w:pPr>
              <w:spacing w:after="0"/>
              <w:rPr>
                <w:sz w:val="24"/>
                <w:szCs w:val="24"/>
                <w:color w:val="auto"/>
              </w:rPr>
            </w:pPr>
          </w:p>
        </w:tc>
      </w:tr>
      <w:tr>
        <w:trPr>
          <w:trHeight w:val="412"/>
        </w:trPr>
        <w:tc>
          <w:tcPr>
            <w:tcW w:w="1620" w:type="dxa"/>
            <w:vAlign w:val="bottom"/>
            <w:gridSpan w:val="2"/>
          </w:tcPr>
          <w:p>
            <w:pPr>
              <w:ind w:left="820"/>
              <w:spacing w:after="0"/>
              <w:rPr>
                <w:sz w:val="20"/>
                <w:szCs w:val="20"/>
                <w:color w:val="auto"/>
              </w:rPr>
            </w:pPr>
            <w:r>
              <w:rPr>
                <w:rFonts w:ascii="Arial" w:cs="Arial" w:eastAsia="Arial" w:hAnsi="Arial"/>
                <w:sz w:val="18"/>
                <w:szCs w:val="18"/>
                <w:color w:val="auto"/>
              </w:rPr>
              <w:t>Item 5.</w:t>
            </w:r>
          </w:p>
        </w:tc>
        <w:tc>
          <w:tcPr>
            <w:tcW w:w="1760" w:type="dxa"/>
            <w:vAlign w:val="bottom"/>
            <w:tcBorders>
              <w:top w:val="single" w:sz="8" w:color="0000EE"/>
            </w:tcBorders>
            <w:gridSpan w:val="8"/>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Other Information</w:t>
              </w:r>
            </w:hyperlink>
          </w:p>
        </w:tc>
        <w:tc>
          <w:tcPr>
            <w:tcW w:w="7240" w:type="dxa"/>
            <w:vAlign w:val="bottom"/>
            <w:gridSpan w:val="9"/>
          </w:tcPr>
          <w:p>
            <w:pPr>
              <w:spacing w:after="0"/>
              <w:rPr>
                <w:sz w:val="24"/>
                <w:szCs w:val="24"/>
                <w:color w:val="auto"/>
              </w:rPr>
            </w:pPr>
          </w:p>
        </w:tc>
        <w:tc>
          <w:tcPr>
            <w:tcW w:w="580" w:type="dxa"/>
            <w:vAlign w:val="bottom"/>
            <w:gridSpan w:val="2"/>
          </w:tcPr>
          <w:p>
            <w:pPr>
              <w:jc w:val="center"/>
              <w:ind w:left="150"/>
              <w:spacing w:after="0"/>
              <w:rPr>
                <w:sz w:val="20"/>
                <w:szCs w:val="20"/>
                <w:color w:val="auto"/>
              </w:rPr>
            </w:pPr>
            <w:r>
              <w:rPr>
                <w:rFonts w:ascii="Arial" w:cs="Arial" w:eastAsia="Arial" w:hAnsi="Arial"/>
                <w:sz w:val="18"/>
                <w:szCs w:val="18"/>
                <w:color w:val="auto"/>
                <w:w w:val="89"/>
              </w:rPr>
              <w:t>29</w:t>
            </w:r>
          </w:p>
        </w:tc>
        <w:tc>
          <w:tcPr>
            <w:tcW w:w="220" w:type="dxa"/>
            <w:vAlign w:val="bottom"/>
          </w:tcPr>
          <w:p>
            <w:pPr>
              <w:spacing w:after="0"/>
              <w:rPr>
                <w:sz w:val="24"/>
                <w:szCs w:val="24"/>
                <w:color w:val="auto"/>
              </w:rPr>
            </w:pPr>
          </w:p>
        </w:tc>
      </w:tr>
      <w:tr>
        <w:trPr>
          <w:trHeight w:val="412"/>
        </w:trPr>
        <w:tc>
          <w:tcPr>
            <w:tcW w:w="1620" w:type="dxa"/>
            <w:vAlign w:val="bottom"/>
            <w:gridSpan w:val="2"/>
          </w:tcPr>
          <w:p>
            <w:pPr>
              <w:ind w:left="820"/>
              <w:spacing w:after="0"/>
              <w:rPr>
                <w:sz w:val="20"/>
                <w:szCs w:val="20"/>
                <w:color w:val="auto"/>
              </w:rPr>
            </w:pPr>
            <w:r>
              <w:rPr>
                <w:rFonts w:ascii="Arial" w:cs="Arial" w:eastAsia="Arial" w:hAnsi="Arial"/>
                <w:sz w:val="18"/>
                <w:szCs w:val="18"/>
                <w:color w:val="auto"/>
              </w:rPr>
              <w:t>Item 6.</w:t>
            </w:r>
          </w:p>
        </w:tc>
        <w:tc>
          <w:tcPr>
            <w:tcW w:w="1300" w:type="dxa"/>
            <w:vAlign w:val="bottom"/>
            <w:tcBorders>
              <w:top w:val="single" w:sz="8" w:color="0000EE"/>
            </w:tcBorders>
            <w:gridSpan w:val="4"/>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Exhibits</w:t>
              </w:r>
            </w:hyperlink>
          </w:p>
        </w:tc>
        <w:tc>
          <w:tcPr>
            <w:tcW w:w="7700" w:type="dxa"/>
            <w:vAlign w:val="bottom"/>
            <w:gridSpan w:val="13"/>
          </w:tcPr>
          <w:p>
            <w:pPr>
              <w:spacing w:after="0"/>
              <w:rPr>
                <w:sz w:val="24"/>
                <w:szCs w:val="24"/>
                <w:color w:val="auto"/>
              </w:rPr>
            </w:pPr>
          </w:p>
        </w:tc>
        <w:tc>
          <w:tcPr>
            <w:tcW w:w="580" w:type="dxa"/>
            <w:vAlign w:val="bottom"/>
            <w:gridSpan w:val="2"/>
          </w:tcPr>
          <w:p>
            <w:pPr>
              <w:jc w:val="center"/>
              <w:ind w:left="150"/>
              <w:spacing w:after="0"/>
              <w:rPr>
                <w:sz w:val="20"/>
                <w:szCs w:val="20"/>
                <w:color w:val="auto"/>
              </w:rPr>
            </w:pPr>
            <w:r>
              <w:rPr>
                <w:rFonts w:ascii="Arial" w:cs="Arial" w:eastAsia="Arial" w:hAnsi="Arial"/>
                <w:sz w:val="18"/>
                <w:szCs w:val="18"/>
                <w:color w:val="auto"/>
                <w:w w:val="89"/>
              </w:rPr>
              <w:t>29</w:t>
            </w:r>
          </w:p>
        </w:tc>
        <w:tc>
          <w:tcPr>
            <w:tcW w:w="220" w:type="dxa"/>
            <w:vAlign w:val="bottom"/>
          </w:tcPr>
          <w:p>
            <w:pPr>
              <w:spacing w:after="0"/>
              <w:rPr>
                <w:sz w:val="24"/>
                <w:szCs w:val="24"/>
                <w:color w:val="auto"/>
              </w:rPr>
            </w:pPr>
          </w:p>
        </w:tc>
      </w:tr>
      <w:tr>
        <w:trPr>
          <w:trHeight w:val="412"/>
        </w:trPr>
        <w:tc>
          <w:tcPr>
            <w:tcW w:w="1620" w:type="dxa"/>
            <w:vAlign w:val="bottom"/>
            <w:gridSpan w:val="2"/>
          </w:tcPr>
          <w:p>
            <w:pPr>
              <w:spacing w:after="0"/>
              <w:rPr>
                <w:rFonts w:ascii="Arial" w:cs="Arial" w:eastAsia="Arial" w:hAnsi="Arial"/>
                <w:sz w:val="18"/>
                <w:szCs w:val="18"/>
                <w:b w:val="1"/>
                <w:bCs w:val="1"/>
                <w:color w:val="0000EE"/>
              </w:rPr>
            </w:pPr>
            <w:hyperlink w:anchor="page30">
              <w:r>
                <w:rPr>
                  <w:rFonts w:ascii="Arial" w:cs="Arial" w:eastAsia="Arial" w:hAnsi="Arial"/>
                  <w:sz w:val="18"/>
                  <w:szCs w:val="18"/>
                  <w:b w:val="1"/>
                  <w:bCs w:val="1"/>
                  <w:color w:val="0000EE"/>
                </w:rPr>
                <w:t>SIGNATURES</w:t>
              </w:r>
            </w:hyperlink>
          </w:p>
        </w:tc>
        <w:tc>
          <w:tcPr>
            <w:tcW w:w="60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gridSpan w:val="2"/>
          </w:tcPr>
          <w:p>
            <w:pPr>
              <w:jc w:val="center"/>
              <w:ind w:left="150"/>
              <w:spacing w:after="0"/>
              <w:rPr>
                <w:sz w:val="20"/>
                <w:szCs w:val="20"/>
                <w:color w:val="auto"/>
              </w:rPr>
            </w:pPr>
            <w:r>
              <w:rPr>
                <w:rFonts w:ascii="Arial" w:cs="Arial" w:eastAsia="Arial" w:hAnsi="Arial"/>
                <w:sz w:val="18"/>
                <w:szCs w:val="18"/>
                <w:color w:val="auto"/>
                <w:w w:val="89"/>
              </w:rPr>
              <w:t>30</w:t>
            </w:r>
          </w:p>
        </w:tc>
        <w:tc>
          <w:tcPr>
            <w:tcW w:w="220" w:type="dxa"/>
            <w:vAlign w:val="bottom"/>
          </w:tcPr>
          <w:p>
            <w:pPr>
              <w:spacing w:after="0"/>
              <w:rPr>
                <w:sz w:val="24"/>
                <w:szCs w:val="24"/>
                <w:color w:val="auto"/>
              </w:rPr>
            </w:pPr>
          </w:p>
        </w:tc>
      </w:tr>
      <w:tr>
        <w:trPr>
          <w:trHeight w:val="453"/>
        </w:trPr>
        <w:tc>
          <w:tcPr>
            <w:tcW w:w="1160" w:type="dxa"/>
            <w:vAlign w:val="bottom"/>
            <w:tcBorders>
              <w:top w:val="single" w:sz="8" w:color="0000EE"/>
            </w:tcBorders>
          </w:tcPr>
          <w:p>
            <w:pPr>
              <w:spacing w:after="0"/>
              <w:rPr>
                <w:sz w:val="24"/>
                <w:szCs w:val="24"/>
                <w:color w:val="auto"/>
              </w:rPr>
            </w:pPr>
          </w:p>
        </w:tc>
        <w:tc>
          <w:tcPr>
            <w:tcW w:w="460" w:type="dxa"/>
            <w:vAlign w:val="bottom"/>
          </w:tcPr>
          <w:p>
            <w:pPr>
              <w:spacing w:after="0"/>
              <w:rPr>
                <w:sz w:val="24"/>
                <w:szCs w:val="24"/>
                <w:color w:val="auto"/>
              </w:rPr>
            </w:pPr>
          </w:p>
        </w:tc>
        <w:tc>
          <w:tcPr>
            <w:tcW w:w="4340" w:type="dxa"/>
            <w:vAlign w:val="bottom"/>
            <w:gridSpan w:val="11"/>
          </w:tcPr>
          <w:p>
            <w:pPr>
              <w:ind w:left="404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115"/>
        </w:trPr>
        <w:tc>
          <w:tcPr>
            <w:tcW w:w="116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7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52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118" w:right="239" w:bottom="1440" w:gutter="0" w:footer="0" w:header="0"/>
        </w:sectPr>
      </w:pPr>
    </w:p>
    <w:bookmarkStart w:id="2" w:name="page3"/>
    <w:bookmarkEnd w:id="2"/>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RUSH ENTERPRISES,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JUNE 30, 2018 AND DECEMBER 31,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Shares)</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June 30,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2"/>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9"/>
              </w:rPr>
              <w:t>2018</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center"/>
              <w:ind w:right="150"/>
              <w:spacing w:after="0"/>
              <w:rPr>
                <w:sz w:val="20"/>
                <w:szCs w:val="20"/>
                <w:color w:val="auto"/>
              </w:rPr>
            </w:pPr>
            <w:r>
              <w:rPr>
                <w:rFonts w:ascii="Arial" w:cs="Arial" w:eastAsia="Arial" w:hAnsi="Arial"/>
                <w:sz w:val="18"/>
                <w:szCs w:val="18"/>
                <w:color w:val="auto"/>
                <w:w w:val="90"/>
              </w:rPr>
              <w:t>(unaudited)</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right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148,316</w:t>
            </w: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124,541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Accounts receivable, net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201,197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183,875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Note receivable affiliate</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17,368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Inventories, net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1,126,613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1,033,294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Prepaid expenses and other</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12,494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Assets held for sale</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6,622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1,512,610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1,375,098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Investments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6,025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6,375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1,166,814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1,159,595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Goodwill, net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291,391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291,391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Other assets, net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39,623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57,680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0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00" w:type="dxa"/>
            <w:vAlign w:val="bottom"/>
            <w:gridSpan w:val="2"/>
          </w:tcPr>
          <w:p>
            <w:pPr>
              <w:spacing w:after="0"/>
              <w:rPr>
                <w:sz w:val="20"/>
                <w:szCs w:val="20"/>
                <w:color w:val="auto"/>
              </w:rPr>
            </w:pPr>
            <w:r>
              <w:rPr>
                <w:rFonts w:ascii="Arial" w:cs="Arial" w:eastAsia="Arial" w:hAnsi="Arial"/>
                <w:sz w:val="18"/>
                <w:szCs w:val="18"/>
                <w:b w:val="1"/>
                <w:bCs w:val="1"/>
                <w:color w:val="auto"/>
              </w:rPr>
              <w:t>Total assets</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3,016,463</w:t>
            </w:r>
          </w:p>
        </w:tc>
        <w:tc>
          <w:tcPr>
            <w:tcW w:w="120" w:type="dxa"/>
            <w:vAlign w:val="bottom"/>
          </w:tcPr>
          <w:p>
            <w:pPr>
              <w:spacing w:after="0"/>
              <w:rPr>
                <w:sz w:val="18"/>
                <w:szCs w:val="18"/>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2,890,139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0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Floor plan notes payable</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867,992</w:t>
            </w:r>
          </w:p>
        </w:tc>
        <w:tc>
          <w:tcPr>
            <w:tcW w:w="120" w:type="dxa"/>
            <w:vAlign w:val="bottom"/>
          </w:tcPr>
          <w:p>
            <w:pPr>
              <w:spacing w:after="0"/>
              <w:rPr>
                <w:sz w:val="18"/>
                <w:szCs w:val="18"/>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778,561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Current maturities of long-term debt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155,743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Current maturities of capital lease obligations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17,137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17,119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Trade accounts payable</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150,904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107,906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Customer deposits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32,036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27,350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expenses</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88,677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96,132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Total current liabilities</w:t>
            </w:r>
          </w:p>
        </w:tc>
        <w:tc>
          <w:tcPr>
            <w:tcW w:w="1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1,312,489</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1,172,207</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Long-term debt, net of current maturities</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434,743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466,389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Capital lease obligations, net of current maturities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57,548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66,022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11,544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Deferred income taxes, net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140,061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135,311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80" w:type="dxa"/>
            <w:vAlign w:val="bottom"/>
          </w:tcPr>
          <w:p>
            <w:pPr>
              <w:ind w:left="160"/>
              <w:spacing w:after="0" w:line="201" w:lineRule="exact"/>
              <w:rPr>
                <w:sz w:val="20"/>
                <w:szCs w:val="20"/>
                <w:color w:val="auto"/>
              </w:rPr>
            </w:pPr>
            <w:r>
              <w:rPr>
                <w:rFonts w:ascii="Arial" w:cs="Arial" w:eastAsia="Arial" w:hAnsi="Arial"/>
                <w:sz w:val="18"/>
                <w:szCs w:val="18"/>
                <w:color w:val="auto"/>
                <w:w w:val="92"/>
              </w:rPr>
              <w:t>Preferred stock, par value $.01 per share; 1,000,000 shares authorized; 0 shares outstanding in 2018 and</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8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6"/>
              </w:rPr>
              <w:t>Common stock, par value $.01 per share; 60,000,000 Class A shares and 20,000,000 Class B shares</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0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320"/>
              <w:spacing w:after="0"/>
              <w:rPr>
                <w:sz w:val="20"/>
                <w:szCs w:val="20"/>
                <w:color w:val="auto"/>
              </w:rPr>
            </w:pPr>
            <w:r>
              <w:rPr>
                <w:rFonts w:ascii="Arial" w:cs="Arial" w:eastAsia="Arial" w:hAnsi="Arial"/>
                <w:sz w:val="18"/>
                <w:szCs w:val="18"/>
                <w:color w:val="auto"/>
                <w:w w:val="89"/>
              </w:rPr>
              <w:t>authorized; 30,647,051 Class A shares and 8,430,123 Class B shares outstanding in 2018; and 31,345,116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Class A shares and 8,469,427 Class B shares outstanding in 2017</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457</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Additional paid-in capital</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363,440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348,044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8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89"/>
              </w:rPr>
              <w:t>Treasury stock, at cost: 1,768,354 class A shares and 4,890,941 class B shares in 2018 and 934,171 class A</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0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shares and 4,625,181 class B shares in 2017</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(166,804)</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(120,682)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Retained earnings</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862,985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812,557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shareholders’ equity</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1,060,078</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1,040,373</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 and shareholders’ equity</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3,016,463</w:t>
            </w:r>
          </w:p>
        </w:tc>
        <w:tc>
          <w:tcPr>
            <w:tcW w:w="120" w:type="dxa"/>
            <w:vAlign w:val="bottom"/>
          </w:tcPr>
          <w:p>
            <w:pPr>
              <w:spacing w:after="0"/>
              <w:rPr>
                <w:sz w:val="18"/>
                <w:szCs w:val="18"/>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2,890,139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 w:name="page4"/>
    <w:bookmarkEnd w:id="3"/>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jc w:val="center"/>
        <w:spacing w:after="0" w:line="263" w:lineRule="auto"/>
        <w:rPr>
          <w:sz w:val="20"/>
          <w:szCs w:val="20"/>
          <w:color w:val="auto"/>
        </w:rPr>
      </w:pPr>
      <w:r>
        <w:rPr>
          <w:rFonts w:ascii="Arial" w:cs="Arial" w:eastAsia="Arial" w:hAnsi="Arial"/>
          <w:sz w:val="18"/>
          <w:szCs w:val="18"/>
          <w:b w:val="1"/>
          <w:bCs w:val="1"/>
          <w:u w:val="single" w:color="auto"/>
          <w:color w:val="auto"/>
        </w:rPr>
        <w:t xml:space="preserve">RUSH ENTERPRISES, INC. AND SUBSIDIARIES CONSOLIDATED STATEMENTS OF INCOME AND COMPREHENSIVE INCOME </w:t>
      </w:r>
      <w:r>
        <w:rPr>
          <w:rFonts w:ascii="Arial" w:cs="Arial" w:eastAsia="Arial" w:hAnsi="Arial"/>
          <w:sz w:val="18"/>
          <w:szCs w:val="18"/>
          <w:b w:val="1"/>
          <w:bCs w:val="1"/>
          <w:color w:val="auto"/>
        </w:rPr>
        <w:t>(In Thousands, Except Per Share Amounts) (Unaudited)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00" w:type="dxa"/>
            <w:vAlign w:val="bottom"/>
            <w:gridSpan w:val="6"/>
          </w:tcPr>
          <w:p>
            <w:pPr>
              <w:ind w:left="20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18"/>
                <w:szCs w:val="18"/>
                <w:color w:val="auto"/>
              </w:rPr>
            </w:pPr>
          </w:p>
        </w:tc>
        <w:tc>
          <w:tcPr>
            <w:tcW w:w="2360" w:type="dxa"/>
            <w:vAlign w:val="bottom"/>
            <w:gridSpan w:val="6"/>
          </w:tcPr>
          <w:p>
            <w:pPr>
              <w:jc w:val="right"/>
              <w:ind w:right="64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b w:val="1"/>
                <w:bCs w:val="1"/>
                <w:color w:val="auto"/>
              </w:rPr>
              <w:t>June 30,</w:t>
            </w:r>
          </w:p>
        </w:tc>
        <w:tc>
          <w:tcPr>
            <w:tcW w:w="8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8"/>
                <w:szCs w:val="18"/>
                <w:b w:val="1"/>
                <w:bCs w:val="1"/>
                <w:color w:val="auto"/>
              </w:rPr>
              <w:t>June 30,</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3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160"/>
              <w:spacing w:after="0"/>
              <w:rPr>
                <w:sz w:val="20"/>
                <w:szCs w:val="20"/>
                <w:color w:val="auto"/>
              </w:rPr>
            </w:pPr>
            <w:r>
              <w:rPr>
                <w:rFonts w:ascii="Arial" w:cs="Arial" w:eastAsia="Arial" w:hAnsi="Arial"/>
                <w:sz w:val="18"/>
                <w:szCs w:val="18"/>
                <w:color w:val="auto"/>
              </w:rPr>
              <w:t>New and used commercial vehicle sales</w:t>
            </w:r>
          </w:p>
        </w:tc>
        <w:tc>
          <w:tcPr>
            <w:tcW w:w="1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857,025</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775,988</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1,630,125</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1,411,941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Aftermarket products and services sales</w:t>
            </w:r>
          </w:p>
        </w:tc>
        <w:tc>
          <w:tcPr>
            <w:tcW w:w="1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422,940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366,599</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823,235</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716,705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160"/>
              <w:spacing w:after="0"/>
              <w:rPr>
                <w:sz w:val="20"/>
                <w:szCs w:val="20"/>
                <w:color w:val="auto"/>
              </w:rPr>
            </w:pPr>
            <w:r>
              <w:rPr>
                <w:rFonts w:ascii="Arial" w:cs="Arial" w:eastAsia="Arial" w:hAnsi="Arial"/>
                <w:sz w:val="18"/>
                <w:szCs w:val="18"/>
                <w:color w:val="auto"/>
              </w:rPr>
              <w:t>Lease and rental sales</w:t>
            </w:r>
          </w:p>
        </w:tc>
        <w:tc>
          <w:tcPr>
            <w:tcW w:w="1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58,993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53,048</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116,517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104,292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Finance and insurance</w:t>
            </w:r>
          </w:p>
        </w:tc>
        <w:tc>
          <w:tcPr>
            <w:tcW w:w="1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5,492</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4,392</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10,233</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160"/>
              <w:spacing w:after="0"/>
              <w:rPr>
                <w:sz w:val="20"/>
                <w:szCs w:val="20"/>
                <w:color w:val="auto"/>
              </w:rPr>
            </w:pPr>
            <w:r>
              <w:rPr>
                <w:rFonts w:ascii="Arial" w:cs="Arial" w:eastAsia="Arial" w:hAnsi="Arial"/>
                <w:sz w:val="18"/>
                <w:szCs w:val="18"/>
                <w:color w:val="auto"/>
              </w:rPr>
              <w:t>Other</w:t>
            </w:r>
          </w:p>
        </w:tc>
        <w:tc>
          <w:tcPr>
            <w:tcW w:w="1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4,381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3,496</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9,502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7,061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revenue</w:t>
            </w:r>
          </w:p>
        </w:tc>
        <w:tc>
          <w:tcPr>
            <w:tcW w:w="1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1,348,831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1,203,523</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2,589,612</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2,248,320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b w:val="1"/>
                <w:bCs w:val="1"/>
                <w:color w:val="auto"/>
              </w:rPr>
              <w:t>Cost of products sold</w:t>
            </w:r>
            <w:r>
              <w:rPr>
                <w:rFonts w:ascii="Arial" w:cs="Arial" w:eastAsia="Arial" w:hAnsi="Arial"/>
                <w:sz w:val="18"/>
                <w:szCs w:val="18"/>
                <w:color w:val="auto"/>
              </w:rPr>
              <w:t>:</w:t>
            </w:r>
          </w:p>
        </w:tc>
        <w:tc>
          <w:tcPr>
            <w:tcW w:w="1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New and used commercial vehicle sales</w:t>
            </w:r>
          </w:p>
        </w:tc>
        <w:tc>
          <w:tcPr>
            <w:tcW w:w="1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791,608</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718,253</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1,502,522</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1,306,373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160"/>
              <w:spacing w:after="0"/>
              <w:rPr>
                <w:sz w:val="20"/>
                <w:szCs w:val="20"/>
                <w:color w:val="auto"/>
              </w:rPr>
            </w:pPr>
            <w:r>
              <w:rPr>
                <w:rFonts w:ascii="Arial" w:cs="Arial" w:eastAsia="Arial" w:hAnsi="Arial"/>
                <w:sz w:val="18"/>
                <w:szCs w:val="18"/>
                <w:color w:val="auto"/>
              </w:rPr>
              <w:t>Aftermarket products and services sales</w:t>
            </w:r>
          </w:p>
        </w:tc>
        <w:tc>
          <w:tcPr>
            <w:tcW w:w="1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265,183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231,992</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519,627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456,458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Lease and rental sales</w:t>
            </w:r>
          </w:p>
        </w:tc>
        <w:tc>
          <w:tcPr>
            <w:tcW w:w="1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48,663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44,206</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97,091</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88,510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shd w:val="clear" w:color="auto" w:fill="CCEEFF"/>
          </w:tcPr>
          <w:p>
            <w:pPr>
              <w:spacing w:after="0" w:line="20" w:lineRule="exact"/>
              <w:rPr>
                <w:sz w:val="1"/>
                <w:szCs w:val="1"/>
                <w:color w:val="auto"/>
              </w:rPr>
            </w:pPr>
          </w:p>
        </w:tc>
        <w:tc>
          <w:tcPr>
            <w:tcW w:w="16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380" w:type="dxa"/>
            <w:vAlign w:val="bottom"/>
          </w:tcPr>
          <w:p>
            <w:pPr>
              <w:ind w:left="160"/>
              <w:spacing w:after="0"/>
              <w:rPr>
                <w:sz w:val="20"/>
                <w:szCs w:val="20"/>
                <w:color w:val="auto"/>
              </w:rPr>
            </w:pPr>
            <w:r>
              <w:rPr>
                <w:rFonts w:ascii="Arial" w:cs="Arial" w:eastAsia="Arial" w:hAnsi="Arial"/>
                <w:sz w:val="18"/>
                <w:szCs w:val="18"/>
                <w:color w:val="auto"/>
              </w:rPr>
              <w:t>Total cost of products sold</w:t>
            </w:r>
          </w:p>
        </w:tc>
        <w:tc>
          <w:tcPr>
            <w:tcW w:w="1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1,105,454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994,451</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2,119,240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1,851,341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1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243,377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209,072</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470,372</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396,979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Selling, general and administrative expense</w:t>
            </w:r>
          </w:p>
        </w:tc>
        <w:tc>
          <w:tcPr>
            <w:tcW w:w="1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178,654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159,353</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350,324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309,756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 expense</w:t>
            </w:r>
          </w:p>
        </w:tc>
        <w:tc>
          <w:tcPr>
            <w:tcW w:w="1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21,693</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12,444</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44,601</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24,936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Gain (loss) on sale of assets</w:t>
            </w:r>
          </w:p>
        </w:tc>
        <w:tc>
          <w:tcPr>
            <w:tcW w:w="1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132</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368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1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43,426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37,407</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75,815</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62,256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Interest expense, net</w:t>
            </w:r>
          </w:p>
        </w:tc>
        <w:tc>
          <w:tcPr>
            <w:tcW w:w="1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4,494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2,824</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8,800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5,615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taxes</w:t>
            </w:r>
          </w:p>
        </w:tc>
        <w:tc>
          <w:tcPr>
            <w:tcW w:w="1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38,932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34,583</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67,015</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56,641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9,543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12,584</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16,587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20,163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29,389</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21,999</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50,428</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36,478</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380" w:type="dxa"/>
            <w:vAlign w:val="bottom"/>
            <w:tcBorders>
              <w:top w:val="single" w:sz="8" w:color="CCEEFF"/>
            </w:tcBorders>
          </w:tcPr>
          <w:p>
            <w:pPr>
              <w:spacing w:after="0"/>
              <w:rPr>
                <w:sz w:val="17"/>
                <w:szCs w:val="17"/>
                <w:color w:val="auto"/>
              </w:rPr>
            </w:pPr>
          </w:p>
        </w:tc>
        <w:tc>
          <w:tcPr>
            <w:tcW w:w="168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Earnings per common share:</w:t>
            </w:r>
          </w:p>
        </w:tc>
        <w:tc>
          <w:tcPr>
            <w:tcW w:w="1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Basic</w:t>
            </w:r>
          </w:p>
        </w:tc>
        <w:tc>
          <w:tcPr>
            <w:tcW w:w="1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.75</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.55</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1.27</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1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.72</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shares outstanding:</w:t>
            </w:r>
          </w:p>
        </w:tc>
        <w:tc>
          <w:tcPr>
            <w:tcW w:w="1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Basic</w:t>
            </w:r>
          </w:p>
        </w:tc>
        <w:tc>
          <w:tcPr>
            <w:tcW w:w="1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39,399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39,641</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39,567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39,493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1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40,690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40,839</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40,967</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40,737</w:t>
            </w:r>
          </w:p>
        </w:tc>
        <w:tc>
          <w:tcPr>
            <w:tcW w:w="0" w:type="dxa"/>
            <w:vAlign w:val="bottom"/>
          </w:tcPr>
          <w:p>
            <w:pPr>
              <w:spacing w:after="0"/>
              <w:rPr>
                <w:sz w:val="1"/>
                <w:szCs w:val="1"/>
                <w:color w:val="auto"/>
              </w:rPr>
            </w:pPr>
          </w:p>
        </w:tc>
      </w:tr>
      <w:tr>
        <w:trPr>
          <w:trHeight w:val="216"/>
        </w:trPr>
        <w:tc>
          <w:tcPr>
            <w:tcW w:w="4400" w:type="dxa"/>
            <w:vAlign w:val="bottom"/>
            <w:gridSpan w:val="2"/>
          </w:tcPr>
          <w:p>
            <w:pPr>
              <w:spacing w:after="0"/>
              <w:rPr>
                <w:sz w:val="18"/>
                <w:szCs w:val="18"/>
                <w:color w:val="auto"/>
              </w:rPr>
            </w:pPr>
          </w:p>
        </w:tc>
        <w:tc>
          <w:tcPr>
            <w:tcW w:w="1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Comprehensive income</w:t>
            </w:r>
          </w:p>
        </w:tc>
        <w:tc>
          <w:tcPr>
            <w:tcW w:w="1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29,389</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22,285</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50,428</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36,764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9040" w:type="dxa"/>
            <w:vAlign w:val="bottom"/>
            <w:gridSpan w:val="10"/>
          </w:tcPr>
          <w:p>
            <w:pPr>
              <w:jc w:val="center"/>
              <w:ind w:left="2270"/>
              <w:spacing w:after="0"/>
              <w:rPr>
                <w:sz w:val="20"/>
                <w:szCs w:val="20"/>
                <w:color w:val="auto"/>
              </w:rPr>
            </w:pPr>
            <w:r>
              <w:rPr>
                <w:rFonts w:ascii="Arial" w:cs="Arial" w:eastAsia="Arial" w:hAnsi="Arial"/>
                <w:sz w:val="18"/>
                <w:szCs w:val="18"/>
                <w:color w:val="auto"/>
                <w:w w:val="89"/>
              </w:rPr>
              <w:t>The accompanying notes are an integral part of these consolidated financial statements.</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1680" w:type="dxa"/>
            <w:vAlign w:val="bottom"/>
          </w:tcPr>
          <w:p>
            <w:pPr>
              <w:jc w:val="right"/>
              <w:ind w:right="230"/>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4380" w:type="dxa"/>
            <w:vAlign w:val="bottom"/>
            <w:tcBorders>
              <w:bottom w:val="single" w:sz="8" w:color="auto"/>
            </w:tcBorders>
          </w:tcPr>
          <w:p>
            <w:pPr>
              <w:spacing w:after="0"/>
              <w:rPr>
                <w:sz w:val="10"/>
                <w:szCs w:val="10"/>
                <w:color w:val="auto"/>
              </w:rPr>
            </w:pPr>
          </w:p>
        </w:tc>
        <w:tc>
          <w:tcPr>
            <w:tcW w:w="16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4" w:name="page5"/>
    <w:bookmarkEnd w:id="4"/>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RUSH ENTERPRISES,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960" w:type="dxa"/>
            <w:vAlign w:val="bottom"/>
            <w:gridSpan w:val="6"/>
          </w:tcPr>
          <w:p>
            <w:pPr>
              <w:jc w:val="right"/>
              <w:ind w:right="100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7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8"/>
                <w:szCs w:val="18"/>
                <w:b w:val="1"/>
                <w:bCs w:val="1"/>
                <w:color w:val="auto"/>
              </w:rPr>
              <w:t>June 30,</w:t>
            </w:r>
          </w:p>
        </w:tc>
        <w:tc>
          <w:tcPr>
            <w:tcW w:w="1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7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50,428</w:t>
            </w:r>
          </w:p>
        </w:tc>
        <w:tc>
          <w:tcPr>
            <w:tcW w:w="4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36,478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480"/>
              <w:spacing w:after="0"/>
              <w:rPr>
                <w:sz w:val="20"/>
                <w:szCs w:val="20"/>
                <w:color w:val="auto"/>
              </w:rPr>
            </w:pPr>
            <w:r>
              <w:rPr>
                <w:rFonts w:ascii="Arial" w:cs="Arial" w:eastAsia="Arial" w:hAnsi="Arial"/>
                <w:sz w:val="18"/>
                <w:szCs w:val="18"/>
                <w:color w:val="auto"/>
              </w:rPr>
              <w:t>Depreciation and amortization</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101,020</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77,653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(Gain) loss on sale of property and equipment</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(368)</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480"/>
              <w:spacing w:after="0"/>
              <w:rPr>
                <w:sz w:val="20"/>
                <w:szCs w:val="20"/>
                <w:color w:val="auto"/>
              </w:rPr>
            </w:pPr>
            <w:r>
              <w:rPr>
                <w:rFonts w:ascii="Arial" w:cs="Arial" w:eastAsia="Arial" w:hAnsi="Arial"/>
                <w:sz w:val="18"/>
                <w:szCs w:val="18"/>
                <w:color w:val="auto"/>
                <w:w w:val="98"/>
              </w:rPr>
              <w:t>Stock-based compensation expense related to stock options and employee stock purchases</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13,842</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8,660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Deferred income tax expense</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4,750</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480"/>
              <w:spacing w:after="0"/>
              <w:rPr>
                <w:sz w:val="20"/>
                <w:szCs w:val="20"/>
                <w:color w:val="auto"/>
              </w:rPr>
            </w:pPr>
            <w:r>
              <w:rPr>
                <w:rFonts w:ascii="Arial" w:cs="Arial" w:eastAsia="Arial" w:hAnsi="Arial"/>
                <w:sz w:val="18"/>
                <w:szCs w:val="18"/>
                <w:color w:val="auto"/>
              </w:rPr>
              <w:t>Change in accounts receivable, net</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(22,776)</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7,067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Change in inventories, net</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(65,639)</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(52,425)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480"/>
              <w:spacing w:after="0"/>
              <w:rPr>
                <w:sz w:val="20"/>
                <w:szCs w:val="20"/>
                <w:color w:val="auto"/>
              </w:rPr>
            </w:pPr>
            <w:r>
              <w:rPr>
                <w:rFonts w:ascii="Arial" w:cs="Arial" w:eastAsia="Arial" w:hAnsi="Arial"/>
                <w:sz w:val="18"/>
                <w:szCs w:val="18"/>
                <w:color w:val="auto"/>
              </w:rPr>
              <w:t>Change in prepaid expenses and other, net</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(834)</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Change in trade accounts payable</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41,242</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480"/>
              <w:spacing w:after="0"/>
              <w:rPr>
                <w:sz w:val="20"/>
                <w:szCs w:val="20"/>
                <w:color w:val="auto"/>
              </w:rPr>
            </w:pPr>
            <w:r>
              <w:rPr>
                <w:rFonts w:ascii="Arial" w:cs="Arial" w:eastAsia="Arial" w:hAnsi="Arial"/>
                <w:sz w:val="18"/>
                <w:szCs w:val="18"/>
                <w:color w:val="auto"/>
              </w:rPr>
              <w:t>Draws on floor plan notes payable – trade, net</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71,303</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20,994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Change in customer deposits</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4,686</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480"/>
              <w:spacing w:after="0"/>
              <w:rPr>
                <w:sz w:val="20"/>
                <w:szCs w:val="20"/>
                <w:color w:val="auto"/>
              </w:rPr>
            </w:pPr>
            <w:r>
              <w:rPr>
                <w:rFonts w:ascii="Arial" w:cs="Arial" w:eastAsia="Arial" w:hAnsi="Arial"/>
                <w:sz w:val="18"/>
                <w:szCs w:val="18"/>
                <w:color w:val="auto"/>
              </w:rPr>
              <w:t>Change in accrued expenses</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(7,671)</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4,977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700" w:type="dxa"/>
            <w:vAlign w:val="bottom"/>
            <w:shd w:val="clear" w:color="auto" w:fill="CCEEFF"/>
          </w:tcPr>
          <w:p>
            <w:pPr>
              <w:ind w:left="800"/>
              <w:spacing w:after="0"/>
              <w:rPr>
                <w:sz w:val="20"/>
                <w:szCs w:val="20"/>
                <w:color w:val="auto"/>
              </w:rPr>
            </w:pPr>
            <w:r>
              <w:rPr>
                <w:rFonts w:ascii="Arial" w:cs="Arial" w:eastAsia="Arial" w:hAnsi="Arial"/>
                <w:sz w:val="18"/>
                <w:szCs w:val="18"/>
                <w:color w:val="auto"/>
              </w:rPr>
              <w:t>Net cash provided by operating activities</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189,983</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130,722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0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40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Acquisition of property and equipment</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(116,218)</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(79,572)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160"/>
              <w:spacing w:after="0"/>
              <w:rPr>
                <w:sz w:val="20"/>
                <w:szCs w:val="20"/>
                <w:color w:val="auto"/>
              </w:rPr>
            </w:pPr>
            <w:r>
              <w:rPr>
                <w:rFonts w:ascii="Arial" w:cs="Arial" w:eastAsia="Arial" w:hAnsi="Arial"/>
                <w:sz w:val="18"/>
                <w:szCs w:val="18"/>
                <w:color w:val="auto"/>
              </w:rPr>
              <w:t>Proceeds from the sale of property and equipment</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4,239</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3,192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the sale of available for sale securities</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350</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160"/>
              <w:spacing w:after="0"/>
              <w:rPr>
                <w:sz w:val="20"/>
                <w:szCs w:val="20"/>
                <w:color w:val="auto"/>
              </w:rPr>
            </w:pPr>
            <w:r>
              <w:rPr>
                <w:rFonts w:ascii="Arial" w:cs="Arial" w:eastAsia="Arial" w:hAnsi="Arial"/>
                <w:sz w:val="18"/>
                <w:szCs w:val="18"/>
                <w:color w:val="auto"/>
              </w:rPr>
              <w:t>Change in other assets</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(918)</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4,887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700" w:type="dxa"/>
            <w:vAlign w:val="bottom"/>
            <w:shd w:val="clear" w:color="auto" w:fill="CCEEFF"/>
          </w:tcPr>
          <w:p>
            <w:pPr>
              <w:ind w:left="800"/>
              <w:spacing w:after="0"/>
              <w:rPr>
                <w:sz w:val="20"/>
                <w:szCs w:val="20"/>
                <w:color w:val="auto"/>
              </w:rPr>
            </w:pPr>
            <w:r>
              <w:rPr>
                <w:rFonts w:ascii="Arial" w:cs="Arial" w:eastAsia="Arial" w:hAnsi="Arial"/>
                <w:sz w:val="18"/>
                <w:szCs w:val="18"/>
                <w:color w:val="auto"/>
              </w:rPr>
              <w:t>Net cash used in investing activities</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(112,547)</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(71,168)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0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40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Draws on floor plan notes payable – non-trade, net</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18,128</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24,186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160"/>
              <w:spacing w:after="0"/>
              <w:rPr>
                <w:sz w:val="20"/>
                <w:szCs w:val="20"/>
                <w:color w:val="auto"/>
              </w:rPr>
            </w:pPr>
            <w:r>
              <w:rPr>
                <w:rFonts w:ascii="Arial" w:cs="Arial" w:eastAsia="Arial" w:hAnsi="Arial"/>
                <w:sz w:val="18"/>
                <w:szCs w:val="18"/>
                <w:color w:val="auto"/>
              </w:rPr>
              <w:t>Proceeds from long-term debt</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68,269</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51,108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Principal payments on long-term debt</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(89,311)</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(74,326)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160"/>
              <w:spacing w:after="0"/>
              <w:rPr>
                <w:sz w:val="20"/>
                <w:szCs w:val="20"/>
                <w:color w:val="auto"/>
              </w:rPr>
            </w:pPr>
            <w:r>
              <w:rPr>
                <w:rFonts w:ascii="Arial" w:cs="Arial" w:eastAsia="Arial" w:hAnsi="Arial"/>
                <w:sz w:val="18"/>
                <w:szCs w:val="18"/>
                <w:color w:val="auto"/>
              </w:rPr>
              <w:t>Principal payments on capital lease obligations</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(6,398)</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(6,647)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3"/>
              </w:rPr>
              <w:t>Proceeds from issuance of shares relating to employee stock options and employee stock purchases</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1,557</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160"/>
              <w:spacing w:after="0"/>
              <w:rPr>
                <w:sz w:val="20"/>
                <w:szCs w:val="20"/>
                <w:color w:val="auto"/>
              </w:rPr>
            </w:pPr>
            <w:r>
              <w:rPr>
                <w:rFonts w:ascii="Arial" w:cs="Arial" w:eastAsia="Arial" w:hAnsi="Arial"/>
                <w:sz w:val="18"/>
                <w:szCs w:val="18"/>
                <w:color w:val="auto"/>
              </w:rPr>
              <w:t>Common stock repurchased</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(45,906)</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(24,411)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Debt issuance costs</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0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700" w:type="dxa"/>
            <w:vAlign w:val="bottom"/>
          </w:tcPr>
          <w:p>
            <w:pPr>
              <w:ind w:left="800"/>
              <w:spacing w:after="0"/>
              <w:rPr>
                <w:sz w:val="20"/>
                <w:szCs w:val="20"/>
                <w:color w:val="auto"/>
              </w:rPr>
            </w:pPr>
            <w:r>
              <w:rPr>
                <w:rFonts w:ascii="Arial" w:cs="Arial" w:eastAsia="Arial" w:hAnsi="Arial"/>
                <w:sz w:val="18"/>
                <w:szCs w:val="18"/>
                <w:color w:val="auto"/>
              </w:rPr>
              <w:t>Net cash used in financing activities</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(53,661)</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(17,773)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increase in cash and cash equivalents</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23,775</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41,781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b w:val="1"/>
                <w:bCs w:val="1"/>
                <w:color w:val="auto"/>
              </w:rPr>
              <w:t>Cash and cash equivalents, beginning of period</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124,541</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82,026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4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148,316</w:t>
            </w:r>
          </w:p>
        </w:tc>
        <w:tc>
          <w:tcPr>
            <w:tcW w:w="4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123,807</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700" w:type="dxa"/>
            <w:vAlign w:val="bottom"/>
            <w:tcBorders>
              <w:top w:val="single" w:sz="8" w:color="CCEEFF"/>
            </w:tcBorders>
          </w:tcPr>
          <w:p>
            <w:pPr>
              <w:spacing w:after="0" w:line="196" w:lineRule="exact"/>
              <w:rPr>
                <w:sz w:val="20"/>
                <w:szCs w:val="20"/>
                <w:color w:val="auto"/>
              </w:rPr>
            </w:pPr>
            <w:r>
              <w:rPr>
                <w:rFonts w:ascii="Arial" w:cs="Arial" w:eastAsia="Arial" w:hAnsi="Arial"/>
                <w:sz w:val="18"/>
                <w:szCs w:val="18"/>
                <w:b w:val="1"/>
                <w:bCs w:val="1"/>
                <w:color w:val="auto"/>
              </w:rPr>
              <w:t>Supplemental disclosure of cash flow information:</w:t>
            </w:r>
          </w:p>
        </w:tc>
        <w:tc>
          <w:tcPr>
            <w:tcW w:w="400" w:type="dxa"/>
            <w:vAlign w:val="bottom"/>
            <w:tcBorders>
              <w:top w:val="single" w:sz="8" w:color="CCEEFF"/>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paid during the period for:</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320"/>
              <w:spacing w:after="0"/>
              <w:rPr>
                <w:sz w:val="20"/>
                <w:szCs w:val="20"/>
                <w:color w:val="auto"/>
              </w:rPr>
            </w:pPr>
            <w:r>
              <w:rPr>
                <w:rFonts w:ascii="Arial" w:cs="Arial" w:eastAsia="Arial" w:hAnsi="Arial"/>
                <w:sz w:val="18"/>
                <w:szCs w:val="18"/>
                <w:color w:val="auto"/>
              </w:rPr>
              <w:t>Interest</w:t>
            </w:r>
          </w:p>
        </w:tc>
        <w:tc>
          <w:tcPr>
            <w:tcW w:w="7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20,463</w:t>
            </w:r>
          </w:p>
        </w:tc>
        <w:tc>
          <w:tcPr>
            <w:tcW w:w="4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16,565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Income taxes, net of refunds</w:t>
            </w:r>
          </w:p>
        </w:tc>
        <w:tc>
          <w:tcPr>
            <w:tcW w:w="7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11,977</w:t>
            </w:r>
          </w:p>
        </w:tc>
        <w:tc>
          <w:tcPr>
            <w:tcW w:w="4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160"/>
              <w:spacing w:after="0"/>
              <w:rPr>
                <w:sz w:val="20"/>
                <w:szCs w:val="20"/>
                <w:color w:val="auto"/>
              </w:rPr>
            </w:pPr>
            <w:r>
              <w:rPr>
                <w:rFonts w:ascii="Arial" w:cs="Arial" w:eastAsia="Arial" w:hAnsi="Arial"/>
                <w:sz w:val="18"/>
                <w:szCs w:val="18"/>
                <w:color w:val="auto"/>
              </w:rPr>
              <w:t>Noncash activities:</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Assets acquired under capital leases</w:t>
            </w:r>
          </w:p>
        </w:tc>
        <w:tc>
          <w:tcPr>
            <w:tcW w:w="7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1,534</w:t>
            </w:r>
          </w:p>
        </w:tc>
        <w:tc>
          <w:tcPr>
            <w:tcW w:w="4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5,513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00" w:type="dxa"/>
            <w:vAlign w:val="bottom"/>
          </w:tcPr>
          <w:p>
            <w:pPr>
              <w:ind w:left="320"/>
              <w:spacing w:after="0"/>
              <w:rPr>
                <w:sz w:val="20"/>
                <w:szCs w:val="20"/>
                <w:color w:val="auto"/>
              </w:rPr>
            </w:pPr>
            <w:r>
              <w:rPr>
                <w:rFonts w:ascii="Arial" w:cs="Arial" w:eastAsia="Arial" w:hAnsi="Arial"/>
                <w:sz w:val="18"/>
                <w:szCs w:val="18"/>
                <w:color w:val="auto"/>
              </w:rPr>
              <w:t>Common stock repurchased</w:t>
            </w:r>
          </w:p>
        </w:tc>
        <w:tc>
          <w:tcPr>
            <w:tcW w:w="7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216</w:t>
            </w:r>
          </w:p>
        </w:tc>
        <w:tc>
          <w:tcPr>
            <w:tcW w:w="4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1,798</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290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 w:name="page6"/>
    <w:bookmarkEnd w:id="5"/>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RUSH ENTERPRISES,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r>
        <w:rPr>
          <w:rFonts w:ascii="Arial" w:cs="Arial" w:eastAsia="Arial" w:hAnsi="Arial"/>
          <w:sz w:val="18"/>
          <w:szCs w:val="18"/>
          <w:color w:val="auto"/>
        </w:rPr>
        <w:t>)</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 Principles of Consolidation and Basis of Presentation</w:t>
      </w:r>
    </w:p>
    <w:p>
      <w:pPr>
        <w:spacing w:after="0" w:line="22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interim consolidated financial statements included herein have been prepared by Rush Enterprises, Inc. and its subsidiaries (collectively referred to as the “Company”), without audit, pursuant to the rules and regulations of the Securities and Exchange Commission (the “SEC”). All adjustments have been made to the accompanying interim consolidated financial statements, which, in the opinion of the Company’s management, are necessary for a fair presentation of its operating results. All adjustments are of a normal recurring nature. Certain information and footnote disclosures normally included in financial statements prepared in accordance with generally accepted accounting principles have been condensed or omitted pursuant to such rules and regulations. It is recommended that these interim consolidated financial statements be read in conjunction with the consolidated financial statements and the notes thereto included in the Company’s Annual Report on Form 10-K for the year ended December 31, 2017. Results of operations for interim periods are not necessarily indicative of results that may be expected for any other interim periods or the full fiscal year.</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 Other Assets</w:t>
      </w:r>
    </w:p>
    <w:p>
      <w:pPr>
        <w:spacing w:after="0" w:line="229" w:lineRule="exact"/>
        <w:rPr>
          <w:sz w:val="20"/>
          <w:szCs w:val="20"/>
          <w:color w:val="auto"/>
        </w:rPr>
      </w:pPr>
    </w:p>
    <w:p>
      <w:pPr>
        <w:jc w:val="both"/>
        <w:ind w:left="80" w:firstLine="567"/>
        <w:spacing w:after="0" w:line="257" w:lineRule="auto"/>
        <w:rPr>
          <w:sz w:val="20"/>
          <w:szCs w:val="20"/>
          <w:color w:val="auto"/>
        </w:rPr>
      </w:pPr>
      <w:r>
        <w:rPr>
          <w:rFonts w:ascii="Arial" w:cs="Arial" w:eastAsia="Arial" w:hAnsi="Arial"/>
          <w:sz w:val="18"/>
          <w:szCs w:val="18"/>
          <w:color w:val="auto"/>
        </w:rPr>
        <w:t>The total capitalized costs of the Company’s SAP enterprise resource planning software platform (“ERP Platform”) of $11.6 million are recorded on the Consolidated Balance Sheet in Other Assets. Amortization expense relating to the ERP Platform, which is recognized in depreciation and amortization expense in the Consolidated Statements of Income and Comprehensive Income, was $9.7 million for the three months ended June 30, 2018 and $0.8 million for the three months ended June 30, 2017 and $20.7 million for the six months ended June 30, 2018 and $1.7 million for the six months ended June 30, 2017.</w:t>
      </w:r>
    </w:p>
    <w:p>
      <w:pPr>
        <w:spacing w:after="0" w:line="188" w:lineRule="exact"/>
        <w:rPr>
          <w:sz w:val="20"/>
          <w:szCs w:val="20"/>
          <w:color w:val="auto"/>
        </w:rPr>
      </w:pPr>
    </w:p>
    <w:p>
      <w:pPr>
        <w:jc w:val="both"/>
        <w:ind w:left="80" w:firstLine="567"/>
        <w:spacing w:after="0" w:line="290" w:lineRule="auto"/>
        <w:rPr>
          <w:sz w:val="20"/>
          <w:szCs w:val="20"/>
          <w:color w:val="auto"/>
        </w:rPr>
      </w:pPr>
      <w:r>
        <w:rPr>
          <w:rFonts w:ascii="Arial" w:cs="Arial" w:eastAsia="Arial" w:hAnsi="Arial"/>
          <w:sz w:val="16"/>
          <w:szCs w:val="16"/>
          <w:color w:val="auto"/>
        </w:rPr>
        <w:t>In the first quarter of 2018, as part of an assessment that involved a technical feasibility study of the current ERP Platform, the Company determined that a majority of the components of its ERP Platform would require replacement earlier than originally anticipated; in prior disclosures, the Company had referred to the ERP Platform separately as the SAP enterprise software and SAP dealership management system. In accordance with Accounting Standards Codification (“ASC”) Topic 350-40, in the first quarter of 2018, the Company adjusted the useful life of these components that were replaced so that the respective net book values of the components were fully amortized upon replacement in May 2018. The Company amortized the remaining net book value of the components that were replaced on a straight-line basis in February 2018 through May 2018. The Company recognized $10.2 million of amortization expense related to the components of the ERP Platform that were replaced in the first quarter of 2018 and $9.7 million in the second quarter of 2018. The ERP Platform asset and related amortization are reflected in the Truck Segment.</w:t>
      </w:r>
    </w:p>
    <w:p>
      <w:pPr>
        <w:spacing w:after="0" w:line="166" w:lineRule="exact"/>
        <w:rPr>
          <w:sz w:val="20"/>
          <w:szCs w:val="20"/>
          <w:color w:val="auto"/>
        </w:rPr>
      </w:pPr>
    </w:p>
    <w:p>
      <w:pPr>
        <w:jc w:val="both"/>
        <w:ind w:left="80" w:firstLine="567"/>
        <w:spacing w:after="0" w:line="254" w:lineRule="auto"/>
        <w:rPr>
          <w:sz w:val="20"/>
          <w:szCs w:val="20"/>
          <w:color w:val="auto"/>
        </w:rPr>
      </w:pPr>
      <w:r>
        <w:rPr>
          <w:rFonts w:ascii="Arial" w:cs="Arial" w:eastAsia="Arial" w:hAnsi="Arial"/>
          <w:sz w:val="18"/>
          <w:szCs w:val="18"/>
          <w:color w:val="auto"/>
        </w:rPr>
        <w:t>The Company’s only significant identifiable intangible assets, other than goodwill, are rights under franchise agreements with manufacturers. The fair value of the franchise right is determined at the acquisition date by discounting the projected cash flows specific to each acquisition. The carrying value of the Company’s manufacturer franchise rights was $7.0 million at June 30, 2018 and December 31, 2017, and is included in Other Assets on the accompanying consolidated balance sheets. The Company has determined that manufacturer franchise rights have an indefinite life, as there are no economic or other factors that limit their useful lives and they are expected to generate cash flows indefinitely due to the historically long lives of the manufacturers’ brand names. Furthermore, to the extent that any agreements evidencing manufacturer franchise rights have expiration dates, the Company expects that it will be able to renew those agreements in the ordinary course of business. Accordingly, the Company does not amortize manufacturer franchise rights.</w:t>
      </w:r>
    </w:p>
    <w:p>
      <w:pPr>
        <w:spacing w:after="0" w:line="192" w:lineRule="exact"/>
        <w:rPr>
          <w:sz w:val="20"/>
          <w:szCs w:val="20"/>
          <w:color w:val="auto"/>
        </w:rPr>
      </w:pPr>
    </w:p>
    <w:p>
      <w:pPr>
        <w:jc w:val="both"/>
        <w:ind w:left="80" w:firstLine="567"/>
        <w:spacing w:after="0" w:line="257" w:lineRule="auto"/>
        <w:rPr>
          <w:sz w:val="20"/>
          <w:szCs w:val="20"/>
          <w:color w:val="auto"/>
        </w:rPr>
      </w:pPr>
      <w:r>
        <w:rPr>
          <w:rFonts w:ascii="Arial" w:cs="Arial" w:eastAsia="Arial" w:hAnsi="Arial"/>
          <w:sz w:val="18"/>
          <w:szCs w:val="18"/>
          <w:color w:val="auto"/>
        </w:rPr>
        <w:t>Due to the fact that manufacturer franchise rights are specific to geographic region, the Company has determined that evaluating and including all locations acquired in the geographic region is the appropriate level for purposes of testing franchise rights for impairment. Management reviews indefinite-lived manufacturer franchise rights for impairment annually during the fourth quarter, or more often if events or circumstances indicate that an impairment may have occurred. The Company is subject to financial statement risk to the extent that manufacturer franchise rights become impaired due to decreases in the fair market value of its individual franchises.</w:t>
      </w:r>
    </w:p>
    <w:p>
      <w:pPr>
        <w:spacing w:after="0" w:line="188"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40"/>
          </w:cols>
          <w:pgMar w:left="240" w:top="118" w:right="619" w:bottom="1440" w:gutter="0" w:footer="0" w:header="0"/>
        </w:sectPr>
      </w:pPr>
    </w:p>
    <w:bookmarkStart w:id="6" w:name="page7"/>
    <w:bookmarkEnd w:id="6"/>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jc w:val="both"/>
        <w:ind w:left="80" w:right="380" w:firstLine="567"/>
        <w:spacing w:after="0" w:line="257" w:lineRule="auto"/>
        <w:rPr>
          <w:sz w:val="20"/>
          <w:szCs w:val="20"/>
          <w:color w:val="auto"/>
        </w:rPr>
      </w:pPr>
      <w:r>
        <w:rPr>
          <w:rFonts w:ascii="Arial" w:cs="Arial" w:eastAsia="Arial" w:hAnsi="Arial"/>
          <w:sz w:val="18"/>
          <w:szCs w:val="18"/>
          <w:color w:val="auto"/>
        </w:rPr>
        <w:t>The significant estimates and assumptions used by management in assessing the recoverability of manufacturer franchise rights include estimated future cash flows, present value discount rate and other factors. Any changes in these estimates or assumptions could result in an impairment charge. The estimates of future cash flows, based on reasonable and supportable assumptions and projections, require management’s subjective judgment. Depending on the assumptions and estimates used, the estimated future cash flows projected in the evaluations of manufacturer franchise rights can vary within a range of outcomes.</w:t>
      </w:r>
    </w:p>
    <w:p>
      <w:pPr>
        <w:spacing w:after="0" w:line="188" w:lineRule="exact"/>
        <w:rPr>
          <w:sz w:val="20"/>
          <w:szCs w:val="20"/>
          <w:color w:val="auto"/>
        </w:rPr>
      </w:pPr>
    </w:p>
    <w:p>
      <w:pPr>
        <w:jc w:val="both"/>
        <w:ind w:left="80" w:right="380" w:firstLine="567"/>
        <w:spacing w:after="0" w:line="277" w:lineRule="auto"/>
        <w:rPr>
          <w:sz w:val="20"/>
          <w:szCs w:val="20"/>
          <w:color w:val="auto"/>
        </w:rPr>
      </w:pPr>
      <w:r>
        <w:rPr>
          <w:rFonts w:ascii="Arial" w:cs="Arial" w:eastAsia="Arial" w:hAnsi="Arial"/>
          <w:sz w:val="18"/>
          <w:szCs w:val="18"/>
          <w:color w:val="auto"/>
        </w:rPr>
        <w:t>No impairment write down was required in the period presented. The Company cannot predict the occurrence of certain events that might adversely affect the reported value of manufacturer franchise rights in the future.</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 Commitments and Contingencies</w:t>
      </w:r>
    </w:p>
    <w:p>
      <w:pPr>
        <w:spacing w:after="0" w:line="229" w:lineRule="exact"/>
        <w:rPr>
          <w:sz w:val="20"/>
          <w:szCs w:val="20"/>
          <w:color w:val="auto"/>
        </w:rPr>
      </w:pPr>
    </w:p>
    <w:p>
      <w:pPr>
        <w:jc w:val="both"/>
        <w:ind w:right="380" w:firstLine="648"/>
        <w:spacing w:after="0" w:line="291" w:lineRule="auto"/>
        <w:rPr>
          <w:sz w:val="20"/>
          <w:szCs w:val="20"/>
          <w:color w:val="auto"/>
        </w:rPr>
      </w:pPr>
      <w:r>
        <w:rPr>
          <w:rFonts w:ascii="Arial" w:cs="Arial" w:eastAsia="Arial" w:hAnsi="Arial"/>
          <w:sz w:val="16"/>
          <w:szCs w:val="16"/>
          <w:color w:val="auto"/>
        </w:rPr>
        <w:t>From time to time, the Company is involved in litigation arising out of its operations in the ordinary course of business. The Company maintains liability insurance, including product liability coverage, in amounts deemed adequate by management. To date, aggregate costs to us for claims, including product liability actions, have not been material. However, an uninsured or partially insured claim, or claim for which indemnification is not available, could have a material adverse effect on the Company’s financial condition or results of operations. The Company believes that there are no claims or litigation pending, the outcome of which could have a material adverse effect on its financial position or results of operations. However, due to the inherent uncertainty of litigation, there can be no assurance that the resolution of any particular claim or proceeding would not have a material adverse effect on the Company’s financial condition or results of operations for the fiscal period in which such resolution occurred.</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 Earnings Per Share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the computation of basic and diluted earnings per share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00" w:type="dxa"/>
            <w:vAlign w:val="bottom"/>
            <w:gridSpan w:val="6"/>
          </w:tcPr>
          <w:p>
            <w:pPr>
              <w:ind w:left="260"/>
              <w:spacing w:after="0"/>
              <w:rPr>
                <w:sz w:val="20"/>
                <w:szCs w:val="20"/>
                <w:color w:val="auto"/>
              </w:rPr>
            </w:pPr>
            <w:r>
              <w:rPr>
                <w:rFonts w:ascii="Arial" w:cs="Arial" w:eastAsia="Arial" w:hAnsi="Arial"/>
                <w:sz w:val="18"/>
                <w:szCs w:val="18"/>
                <w:color w:val="auto"/>
              </w:rPr>
              <w:t>Three Months Ended</w:t>
            </w:r>
          </w:p>
        </w:tc>
        <w:tc>
          <w:tcPr>
            <w:tcW w:w="240" w:type="dxa"/>
            <w:vAlign w:val="bottom"/>
          </w:tcPr>
          <w:p>
            <w:pPr>
              <w:spacing w:after="0"/>
              <w:rPr>
                <w:sz w:val="18"/>
                <w:szCs w:val="18"/>
                <w:color w:val="auto"/>
              </w:rPr>
            </w:pPr>
          </w:p>
        </w:tc>
        <w:tc>
          <w:tcPr>
            <w:tcW w:w="2360" w:type="dxa"/>
            <w:vAlign w:val="bottom"/>
            <w:gridSpan w:val="6"/>
          </w:tcPr>
          <w:p>
            <w:pPr>
              <w:ind w:left="340"/>
              <w:spacing w:after="0"/>
              <w:rPr>
                <w:sz w:val="20"/>
                <w:szCs w:val="20"/>
                <w:color w:val="auto"/>
              </w:rPr>
            </w:pPr>
            <w:r>
              <w:rPr>
                <w:rFonts w:ascii="Arial" w:cs="Arial" w:eastAsia="Arial" w:hAnsi="Arial"/>
                <w:sz w:val="18"/>
                <w:szCs w:val="18"/>
                <w:color w:val="auto"/>
              </w:rPr>
              <w:t>Six Months Ended</w:t>
            </w:r>
          </w:p>
        </w:tc>
        <w:tc>
          <w:tcPr>
            <w:tcW w:w="0" w:type="dxa"/>
            <w:vAlign w:val="bottom"/>
          </w:tcPr>
          <w:p>
            <w:pPr>
              <w:spacing w:after="0"/>
              <w:rPr>
                <w:sz w:val="1"/>
                <w:szCs w:val="1"/>
                <w:color w:val="auto"/>
              </w:rPr>
            </w:pPr>
          </w:p>
        </w:tc>
      </w:tr>
      <w:tr>
        <w:trPr>
          <w:trHeight w:val="230"/>
        </w:trPr>
        <w:tc>
          <w:tcPr>
            <w:tcW w:w="60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color w:val="auto"/>
              </w:rPr>
              <w:t>June 30,</w:t>
            </w:r>
          </w:p>
        </w:tc>
        <w:tc>
          <w:tcPr>
            <w:tcW w:w="88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color w:val="auto"/>
              </w:rPr>
              <w:t>June 30,</w:t>
            </w: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0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2017</w:t>
            </w: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080" w:type="dxa"/>
            <w:vAlign w:val="bottom"/>
          </w:tcPr>
          <w:p>
            <w:pPr>
              <w:ind w:left="180"/>
              <w:spacing w:after="0" w:line="201" w:lineRule="exact"/>
              <w:rPr>
                <w:sz w:val="20"/>
                <w:szCs w:val="20"/>
                <w:color w:val="auto"/>
              </w:rPr>
            </w:pPr>
            <w:r>
              <w:rPr>
                <w:rFonts w:ascii="Arial" w:cs="Arial" w:eastAsia="Arial" w:hAnsi="Arial"/>
                <w:sz w:val="18"/>
                <w:szCs w:val="18"/>
                <w:color w:val="auto"/>
                <w:w w:val="95"/>
              </w:rPr>
              <w:t>Numerator for basic and diluted earnings per share – Net income available to</w:t>
            </w:r>
          </w:p>
        </w:tc>
        <w:tc>
          <w:tcPr>
            <w:tcW w:w="240" w:type="dxa"/>
            <w:vAlign w:val="bottom"/>
            <w:vMerge w:val="restart"/>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29,389</w:t>
            </w:r>
          </w:p>
        </w:tc>
        <w:tc>
          <w:tcPr>
            <w:tcW w:w="3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21,999</w:t>
            </w:r>
          </w:p>
        </w:tc>
        <w:tc>
          <w:tcPr>
            <w:tcW w:w="240" w:type="dxa"/>
            <w:vAlign w:val="bottom"/>
            <w:vMerge w:val="restart"/>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50,428</w:t>
            </w:r>
          </w:p>
        </w:tc>
        <w:tc>
          <w:tcPr>
            <w:tcW w:w="40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36,478</w:t>
            </w:r>
          </w:p>
        </w:tc>
        <w:tc>
          <w:tcPr>
            <w:tcW w:w="0" w:type="dxa"/>
            <w:vAlign w:val="bottom"/>
          </w:tcPr>
          <w:p>
            <w:pPr>
              <w:spacing w:after="0"/>
              <w:rPr>
                <w:sz w:val="1"/>
                <w:szCs w:val="1"/>
                <w:color w:val="auto"/>
              </w:rPr>
            </w:pPr>
          </w:p>
        </w:tc>
      </w:tr>
      <w:tr>
        <w:trPr>
          <w:trHeight w:val="217"/>
        </w:trPr>
        <w:tc>
          <w:tcPr>
            <w:tcW w:w="6080" w:type="dxa"/>
            <w:vAlign w:val="bottom"/>
          </w:tcPr>
          <w:p>
            <w:pPr>
              <w:ind w:left="340"/>
              <w:spacing w:after="0"/>
              <w:rPr>
                <w:sz w:val="20"/>
                <w:szCs w:val="20"/>
                <w:color w:val="auto"/>
              </w:rPr>
            </w:pPr>
            <w:r>
              <w:rPr>
                <w:rFonts w:ascii="Arial" w:cs="Arial" w:eastAsia="Arial" w:hAnsi="Arial"/>
                <w:sz w:val="18"/>
                <w:szCs w:val="18"/>
                <w:color w:val="auto"/>
              </w:rPr>
              <w:t>common shareholders</w:t>
            </w:r>
          </w:p>
        </w:tc>
        <w:tc>
          <w:tcPr>
            <w:tcW w:w="240" w:type="dxa"/>
            <w:vAlign w:val="bottom"/>
            <w:vMerge w:val="continue"/>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380" w:type="dxa"/>
            <w:vAlign w:val="bottom"/>
            <w:gridSpan w:val="2"/>
            <w:vMerge w:val="continue"/>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240" w:type="dxa"/>
            <w:vAlign w:val="bottom"/>
            <w:vMerge w:val="continue"/>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400" w:type="dxa"/>
            <w:vAlign w:val="bottom"/>
            <w:gridSpan w:val="2"/>
            <w:vMerge w:val="continue"/>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080" w:type="dxa"/>
            <w:vAlign w:val="bottom"/>
          </w:tcPr>
          <w:p>
            <w:pPr>
              <w:ind w:left="180"/>
              <w:spacing w:after="0" w:line="201" w:lineRule="exact"/>
              <w:rPr>
                <w:sz w:val="20"/>
                <w:szCs w:val="20"/>
                <w:color w:val="auto"/>
              </w:rPr>
            </w:pPr>
            <w:r>
              <w:rPr>
                <w:rFonts w:ascii="Arial" w:cs="Arial" w:eastAsia="Arial" w:hAnsi="Arial"/>
                <w:sz w:val="18"/>
                <w:szCs w:val="18"/>
                <w:color w:val="auto"/>
              </w:rPr>
              <w:t>Denominator for basic earnings per share – weighted average shares</w:t>
            </w: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080" w:type="dxa"/>
            <w:vAlign w:val="bottom"/>
          </w:tcPr>
          <w:p>
            <w:pPr>
              <w:ind w:left="340"/>
              <w:spacing w:after="0"/>
              <w:rPr>
                <w:sz w:val="20"/>
                <w:szCs w:val="20"/>
                <w:color w:val="auto"/>
              </w:rPr>
            </w:pPr>
            <w:r>
              <w:rPr>
                <w:rFonts w:ascii="Arial" w:cs="Arial" w:eastAsia="Arial" w:hAnsi="Arial"/>
                <w:sz w:val="18"/>
                <w:szCs w:val="18"/>
                <w:color w:val="auto"/>
              </w:rPr>
              <w:t>outstanding</w:t>
            </w:r>
          </w:p>
        </w:tc>
        <w:tc>
          <w:tcPr>
            <w:tcW w:w="24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39,399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39,641</w:t>
            </w: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39,567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39,493</w:t>
            </w:r>
          </w:p>
        </w:tc>
        <w:tc>
          <w:tcPr>
            <w:tcW w:w="0" w:type="dxa"/>
            <w:vAlign w:val="bottom"/>
          </w:tcPr>
          <w:p>
            <w:pPr>
              <w:spacing w:after="0"/>
              <w:rPr>
                <w:sz w:val="1"/>
                <w:szCs w:val="1"/>
                <w:color w:val="auto"/>
              </w:rPr>
            </w:pPr>
          </w:p>
        </w:tc>
      </w:tr>
      <w:tr>
        <w:trPr>
          <w:trHeight w:val="202"/>
        </w:trPr>
        <w:tc>
          <w:tcPr>
            <w:tcW w:w="608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Effect of dilutive securities– Employee stock options and restricted stock</w:t>
            </w:r>
          </w:p>
        </w:tc>
        <w:tc>
          <w:tcPr>
            <w:tcW w:w="240" w:type="dxa"/>
            <w:vAlign w:val="bottom"/>
            <w:shd w:val="clear" w:color="auto" w:fill="CCEEFF"/>
          </w:tcPr>
          <w:p>
            <w:pPr>
              <w:spacing w:after="0"/>
              <w:rPr>
                <w:sz w:val="17"/>
                <w:szCs w:val="17"/>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1,291</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1,198</w:t>
            </w:r>
          </w:p>
        </w:tc>
        <w:tc>
          <w:tcPr>
            <w:tcW w:w="200" w:type="dxa"/>
            <w:vAlign w:val="bottom"/>
            <w:vMerge w:val="restart"/>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1,400</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1,244</w:t>
            </w:r>
          </w:p>
        </w:tc>
        <w:tc>
          <w:tcPr>
            <w:tcW w:w="0" w:type="dxa"/>
            <w:vAlign w:val="bottom"/>
          </w:tcPr>
          <w:p>
            <w:pPr>
              <w:spacing w:after="0"/>
              <w:rPr>
                <w:sz w:val="1"/>
                <w:szCs w:val="1"/>
                <w:color w:val="auto"/>
              </w:rPr>
            </w:pPr>
          </w:p>
        </w:tc>
      </w:tr>
      <w:tr>
        <w:trPr>
          <w:trHeight w:val="217"/>
        </w:trPr>
        <w:tc>
          <w:tcPr>
            <w:tcW w:w="6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awards</w:t>
            </w:r>
          </w:p>
        </w:tc>
        <w:tc>
          <w:tcPr>
            <w:tcW w:w="24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6080" w:type="dxa"/>
            <w:vAlign w:val="bottom"/>
          </w:tcPr>
          <w:p>
            <w:pPr>
              <w:ind w:left="180"/>
              <w:spacing w:after="0" w:line="195" w:lineRule="exact"/>
              <w:rPr>
                <w:sz w:val="20"/>
                <w:szCs w:val="20"/>
                <w:color w:val="auto"/>
              </w:rPr>
            </w:pPr>
            <w:r>
              <w:rPr>
                <w:rFonts w:ascii="Arial" w:cs="Arial" w:eastAsia="Arial" w:hAnsi="Arial"/>
                <w:sz w:val="18"/>
                <w:szCs w:val="18"/>
                <w:color w:val="auto"/>
                <w:w w:val="92"/>
              </w:rPr>
              <w:t>Denominator for diluted earnings per share – adjusted weighted average shares</w:t>
            </w:r>
          </w:p>
        </w:tc>
        <w:tc>
          <w:tcPr>
            <w:tcW w:w="240" w:type="dxa"/>
            <w:vAlign w:val="bottom"/>
          </w:tcPr>
          <w:p>
            <w:pPr>
              <w:spacing w:after="0"/>
              <w:rPr>
                <w:sz w:val="16"/>
                <w:szCs w:val="16"/>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40,690</w:t>
            </w:r>
          </w:p>
        </w:tc>
        <w:tc>
          <w:tcPr>
            <w:tcW w:w="120" w:type="dxa"/>
            <w:vAlign w:val="bottom"/>
            <w:vMerge w:val="restart"/>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40,839</w:t>
            </w:r>
          </w:p>
        </w:tc>
        <w:tc>
          <w:tcPr>
            <w:tcW w:w="200" w:type="dxa"/>
            <w:vAlign w:val="bottom"/>
            <w:vMerge w:val="restart"/>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40,967</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40,737</w:t>
            </w:r>
          </w:p>
        </w:tc>
        <w:tc>
          <w:tcPr>
            <w:tcW w:w="0" w:type="dxa"/>
            <w:vAlign w:val="bottom"/>
          </w:tcPr>
          <w:p>
            <w:pPr>
              <w:spacing w:after="0"/>
              <w:rPr>
                <w:sz w:val="1"/>
                <w:szCs w:val="1"/>
                <w:color w:val="auto"/>
              </w:rPr>
            </w:pPr>
          </w:p>
        </w:tc>
      </w:tr>
      <w:tr>
        <w:trPr>
          <w:trHeight w:val="190"/>
        </w:trPr>
        <w:tc>
          <w:tcPr>
            <w:tcW w:w="6080" w:type="dxa"/>
            <w:vAlign w:val="bottom"/>
          </w:tcPr>
          <w:p>
            <w:pPr>
              <w:ind w:left="340"/>
              <w:spacing w:after="0" w:line="190" w:lineRule="exact"/>
              <w:rPr>
                <w:sz w:val="20"/>
                <w:szCs w:val="20"/>
                <w:color w:val="auto"/>
              </w:rPr>
            </w:pPr>
            <w:r>
              <w:rPr>
                <w:rFonts w:ascii="Arial" w:cs="Arial" w:eastAsia="Arial" w:hAnsi="Arial"/>
                <w:sz w:val="18"/>
                <w:szCs w:val="18"/>
                <w:color w:val="auto"/>
              </w:rPr>
              <w:t>outstanding and assumed conversions</w:t>
            </w:r>
          </w:p>
        </w:tc>
        <w:tc>
          <w:tcPr>
            <w:tcW w:w="24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20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0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Basic earnings per common share</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.75</w:t>
            </w:r>
          </w:p>
        </w:tc>
        <w:tc>
          <w:tcPr>
            <w:tcW w:w="1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80"/>
              <w:spacing w:after="0" w:line="196"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00"/>
              <w:spacing w:after="0" w:line="196" w:lineRule="exact"/>
              <w:rPr>
                <w:sz w:val="20"/>
                <w:szCs w:val="20"/>
                <w:color w:val="auto"/>
              </w:rPr>
            </w:pPr>
            <w:r>
              <w:rPr>
                <w:rFonts w:ascii="Arial" w:cs="Arial" w:eastAsia="Arial" w:hAnsi="Arial"/>
                <w:sz w:val="18"/>
                <w:szCs w:val="18"/>
                <w:color w:val="auto"/>
              </w:rPr>
              <w:t>.55</w:t>
            </w:r>
          </w:p>
        </w:tc>
        <w:tc>
          <w:tcPr>
            <w:tcW w:w="24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1.27</w:t>
            </w:r>
          </w:p>
        </w:tc>
        <w:tc>
          <w:tcPr>
            <w:tcW w:w="400" w:type="dxa"/>
            <w:vAlign w:val="bottom"/>
            <w:gridSpan w:val="2"/>
            <w:shd w:val="clear" w:color="auto" w:fill="CCEEFF"/>
          </w:tcPr>
          <w:p>
            <w:pPr>
              <w:jc w:val="right"/>
              <w:ind w:right="200"/>
              <w:spacing w:after="0" w:line="196"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0"/>
        </w:trPr>
        <w:tc>
          <w:tcPr>
            <w:tcW w:w="60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080" w:type="dxa"/>
            <w:vAlign w:val="bottom"/>
          </w:tcPr>
          <w:p>
            <w:pPr>
              <w:spacing w:after="0" w:line="196" w:lineRule="exact"/>
              <w:rPr>
                <w:sz w:val="20"/>
                <w:szCs w:val="20"/>
                <w:color w:val="auto"/>
              </w:rPr>
            </w:pPr>
            <w:r>
              <w:rPr>
                <w:rFonts w:ascii="Arial" w:cs="Arial" w:eastAsia="Arial" w:hAnsi="Arial"/>
                <w:sz w:val="18"/>
                <w:szCs w:val="18"/>
                <w:color w:val="auto"/>
              </w:rPr>
              <w:t>Diluted earnings per common share and common share equivalents</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.72</w:t>
            </w:r>
          </w:p>
        </w:tc>
        <w:tc>
          <w:tcPr>
            <w:tcW w:w="120" w:type="dxa"/>
            <w:vAlign w:val="bottom"/>
          </w:tcPr>
          <w:p>
            <w:pPr>
              <w:spacing w:after="0"/>
              <w:rPr>
                <w:sz w:val="17"/>
                <w:szCs w:val="17"/>
                <w:color w:val="auto"/>
              </w:rPr>
            </w:pPr>
          </w:p>
        </w:tc>
        <w:tc>
          <w:tcPr>
            <w:tcW w:w="380" w:type="dxa"/>
            <w:vAlign w:val="bottom"/>
            <w:gridSpan w:val="2"/>
          </w:tcPr>
          <w:p>
            <w:pPr>
              <w:jc w:val="right"/>
              <w:ind w:right="180"/>
              <w:spacing w:after="0" w:line="196" w:lineRule="exact"/>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.54</w:t>
            </w:r>
          </w:p>
        </w:tc>
        <w:tc>
          <w:tcPr>
            <w:tcW w:w="240" w:type="dxa"/>
            <w:vAlign w:val="bottom"/>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1.23</w:t>
            </w:r>
          </w:p>
        </w:tc>
        <w:tc>
          <w:tcPr>
            <w:tcW w:w="40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400" w:firstLine="648"/>
        <w:spacing w:after="0" w:line="342" w:lineRule="auto"/>
        <w:rPr>
          <w:sz w:val="20"/>
          <w:szCs w:val="20"/>
          <w:color w:val="auto"/>
        </w:rPr>
      </w:pPr>
      <w:r>
        <w:rPr>
          <w:rFonts w:ascii="Arial" w:cs="Arial" w:eastAsia="Arial" w:hAnsi="Arial"/>
          <w:sz w:val="16"/>
          <w:szCs w:val="16"/>
          <w:color w:val="auto"/>
        </w:rPr>
        <w:t>Options to purchase shares of common stock that were outstanding for the three months and six months ended June 30, 2018, and 2017, that were not included in the computation of diluted earnings per share because the effect would have been anti-dilutive are as follows (in thousands):</w:t>
      </w:r>
    </w:p>
    <w:p>
      <w:pPr>
        <w:spacing w:after="0" w:line="124"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0" w:type="dxa"/>
            <w:vAlign w:val="bottom"/>
            <w:gridSpan w:val="3"/>
          </w:tcPr>
          <w:p>
            <w:pPr>
              <w:jc w:val="center"/>
              <w:spacing w:after="0"/>
              <w:rPr>
                <w:sz w:val="20"/>
                <w:szCs w:val="20"/>
                <w:color w:val="auto"/>
              </w:rPr>
            </w:pPr>
            <w:r>
              <w:rPr>
                <w:rFonts w:ascii="Arial" w:cs="Arial" w:eastAsia="Arial" w:hAnsi="Arial"/>
                <w:sz w:val="18"/>
                <w:szCs w:val="18"/>
                <w:color w:val="auto"/>
                <w:w w:val="90"/>
              </w:rPr>
              <w:t>Three Months Ended</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500" w:type="dxa"/>
            <w:vAlign w:val="bottom"/>
            <w:gridSpan w:val="3"/>
          </w:tcPr>
          <w:p>
            <w:pPr>
              <w:jc w:val="center"/>
              <w:spacing w:after="0"/>
              <w:rPr>
                <w:sz w:val="20"/>
                <w:szCs w:val="20"/>
                <w:color w:val="auto"/>
              </w:rPr>
            </w:pPr>
            <w:r>
              <w:rPr>
                <w:rFonts w:ascii="Arial" w:cs="Arial" w:eastAsia="Arial" w:hAnsi="Arial"/>
                <w:sz w:val="18"/>
                <w:szCs w:val="18"/>
                <w:color w:val="auto"/>
                <w:w w:val="91"/>
              </w:rPr>
              <w:t>Six Months Ended</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86"/>
              </w:rPr>
              <w:t>June 30,</w:t>
            </w:r>
          </w:p>
        </w:tc>
        <w:tc>
          <w:tcPr>
            <w:tcW w:w="34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86"/>
              </w:rPr>
              <w:t>June 30,</w:t>
            </w:r>
          </w:p>
        </w:tc>
        <w:tc>
          <w:tcPr>
            <w:tcW w:w="3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33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2018</w:t>
            </w:r>
          </w:p>
        </w:tc>
        <w:tc>
          <w:tcPr>
            <w:tcW w:w="46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2017</w:t>
            </w:r>
          </w:p>
        </w:tc>
        <w:tc>
          <w:tcPr>
            <w:tcW w:w="34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2018</w:t>
            </w:r>
          </w:p>
        </w:tc>
        <w:tc>
          <w:tcPr>
            <w:tcW w:w="44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2017</w:t>
            </w:r>
          </w:p>
        </w:tc>
        <w:tc>
          <w:tcPr>
            <w:tcW w:w="3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200" w:type="dxa"/>
            <w:vAlign w:val="bottom"/>
            <w:gridSpan w:val="3"/>
            <w:shd w:val="clear" w:color="auto" w:fill="CCEEFF"/>
          </w:tcPr>
          <w:p>
            <w:pPr>
              <w:jc w:val="right"/>
              <w:ind w:right="1330"/>
              <w:spacing w:after="0"/>
              <w:rPr>
                <w:sz w:val="20"/>
                <w:szCs w:val="20"/>
                <w:color w:val="auto"/>
              </w:rPr>
            </w:pPr>
            <w:r>
              <w:rPr>
                <w:rFonts w:ascii="Arial" w:cs="Arial" w:eastAsia="Arial" w:hAnsi="Arial"/>
                <w:sz w:val="18"/>
                <w:szCs w:val="18"/>
                <w:color w:val="auto"/>
                <w:w w:val="90"/>
              </w:rPr>
              <w:t>Weighted average anti-dilutive options</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w:t>
            </w:r>
          </w:p>
        </w:tc>
        <w:tc>
          <w:tcPr>
            <w:tcW w:w="80" w:type="dxa"/>
            <w:vAlign w:val="bottom"/>
            <w:shd w:val="clear" w:color="auto" w:fill="CCEEFF"/>
          </w:tcPr>
          <w:p>
            <w:pPr>
              <w:spacing w:after="0"/>
              <w:rPr>
                <w:sz w:val="18"/>
                <w:szCs w:val="18"/>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 Stock Options and Restricted Stock Awards</w:t>
      </w:r>
    </w:p>
    <w:p>
      <w:pPr>
        <w:spacing w:after="0" w:line="229" w:lineRule="exact"/>
        <w:rPr>
          <w:sz w:val="20"/>
          <w:szCs w:val="20"/>
          <w:color w:val="auto"/>
        </w:rPr>
      </w:pPr>
    </w:p>
    <w:p>
      <w:pPr>
        <w:jc w:val="both"/>
        <w:ind w:right="400" w:firstLine="648"/>
        <w:spacing w:after="0" w:line="272" w:lineRule="auto"/>
        <w:rPr>
          <w:sz w:val="20"/>
          <w:szCs w:val="20"/>
          <w:color w:val="auto"/>
        </w:rPr>
      </w:pPr>
      <w:r>
        <w:rPr>
          <w:rFonts w:ascii="Arial" w:cs="Arial" w:eastAsia="Arial" w:hAnsi="Arial"/>
          <w:sz w:val="17"/>
          <w:szCs w:val="17"/>
          <w:color w:val="auto"/>
        </w:rPr>
        <w:t xml:space="preserve">The Company accounts for stock-based compensation in accordance with ASC 718-10, </w:t>
      </w:r>
      <w:r>
        <w:rPr>
          <w:rFonts w:ascii="Arial" w:cs="Arial" w:eastAsia="Arial" w:hAnsi="Arial"/>
          <w:sz w:val="17"/>
          <w:szCs w:val="17"/>
          <w:i w:val="1"/>
          <w:iCs w:val="1"/>
          <w:color w:val="auto"/>
        </w:rPr>
        <w:t>“Compensation – Stock Compensation,”</w:t>
      </w:r>
      <w:r>
        <w:rPr>
          <w:rFonts w:ascii="Arial" w:cs="Arial" w:eastAsia="Arial" w:hAnsi="Arial"/>
          <w:sz w:val="17"/>
          <w:szCs w:val="17"/>
          <w:color w:val="auto"/>
        </w:rPr>
        <w:t xml:space="preserve"> which requires the measurement and recognition of compensation expense for all share-based payment awards made to our employees and directors, including employee stock options, restricted stock unit awards and employee stock purchases related to the Employee Stock Purchase Plan based on estimated fair values. Stock-based compensation expense, calculated using the Black-Scholes option-pricing model for employee stock options, and included in selling, general and administrative expense, was $5.9 million for the three months ended June 30, 2018, and $3.9 million for the three months ended June 30, 2017. Stock-based compensation expense, included in selling, general and administrative expense, for the six months ended June 30, 2018, was $13.8 million and for the six months ended June 30, 2017, was $8.7 million.</w:t>
      </w:r>
    </w:p>
    <w:p>
      <w:pPr>
        <w:sectPr>
          <w:pgSz w:w="11900" w:h="16838" w:orient="portrait"/>
          <w:cols w:equalWidth="0" w:num="1">
            <w:col w:w="11420"/>
          </w:cols>
          <w:pgMar w:left="240" w:top="118" w:right="239" w:bottom="1440" w:gutter="0" w:footer="0" w:header="0"/>
        </w:sectPr>
      </w:pP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90805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7" w:name="page8"/>
    <w:bookmarkEnd w:id="7"/>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jc w:val="both"/>
        <w:ind w:right="40" w:firstLine="648"/>
        <w:spacing w:after="0" w:line="272" w:lineRule="auto"/>
        <w:rPr>
          <w:sz w:val="20"/>
          <w:szCs w:val="20"/>
          <w:color w:val="auto"/>
        </w:rPr>
      </w:pPr>
      <w:r>
        <w:rPr>
          <w:rFonts w:ascii="Arial" w:cs="Arial" w:eastAsia="Arial" w:hAnsi="Arial"/>
          <w:sz w:val="17"/>
          <w:szCs w:val="17"/>
          <w:color w:val="auto"/>
        </w:rPr>
        <w:t>In March 2016, the Financial Accounting Standards Board (“FASB”) issued ASU No. 2016-09, “</w:t>
      </w:r>
      <w:r>
        <w:rPr>
          <w:rFonts w:ascii="Arial" w:cs="Arial" w:eastAsia="Arial" w:hAnsi="Arial"/>
          <w:sz w:val="17"/>
          <w:szCs w:val="17"/>
          <w:i w:val="1"/>
          <w:iCs w:val="1"/>
          <w:color w:val="auto"/>
        </w:rPr>
        <w:t>Compensation – Stock Compensation,</w:t>
      </w:r>
      <w:r>
        <w:rPr>
          <w:rFonts w:ascii="Arial" w:cs="Arial" w:eastAsia="Arial" w:hAnsi="Arial"/>
          <w:sz w:val="17"/>
          <w:szCs w:val="17"/>
          <w:color w:val="auto"/>
        </w:rPr>
        <w:t>” (“ASU 2019-06”) which changed the accounting for certain aspects of share-based payments to employees. ASU No. 2016-09 requires excess tax benefits and tax deficiencies to be recorded in the income statement when equity awards issued pursuant to the Company’s equity compensation plans vest or are settled. The Company recorded excess tax benefits of $0.2 million in the three months ended June 30, 2018 and $0.9 million in the three months ended June 30, 2017, which was recorded in the Consolidated Statements of Income and Comprehensive Income. The Company recorded excess tax benefits of $0.2 million in the six months ended June 30, 2018 and $2.0 million in the six months ended June 30, 2017, which was recorded in the Consolidated Statements of Income and Comprehensive Income.</w:t>
      </w:r>
    </w:p>
    <w:p>
      <w:pPr>
        <w:spacing w:after="0" w:line="17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of June 30, 2018, the Company had $10.5 million of unrecognized compensation cost related to non-vested employee stock options to be recognized over a weighted-average period of 3.6 years and $9.8 million of unrecognized compensation cost related to non-vested restricted stock units to be recognized over a weighted-average period of 2.3 years.</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 Financial Instruments and Fair Value</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Company has various financial instruments that it must measure at fair value on a recurring basis. The Company also applies the provisions of fair value measurement to various nonrecurring measurements for its financial and nonfinancial assets and liabilities.</w:t>
      </w:r>
    </w:p>
    <w:p>
      <w:pPr>
        <w:spacing w:after="0" w:line="170"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Applicable accounting standards define fair value as the price that would be received to sell an asset or paid to transfer a liability in an orderly transaction between market participants at the measurement date (an exit price). The Company measures its assets and liabilities using inputs from the following three levels of the fair value hierarchy:</w:t>
      </w:r>
    </w:p>
    <w:p>
      <w:pPr>
        <w:spacing w:after="0" w:line="18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Level 1 inputs are unadjusted quoted prices in active markets for identical assets or liabilities that the Company has the ability to access at the measurement date.</w:t>
      </w:r>
    </w:p>
    <w:p>
      <w:pPr>
        <w:spacing w:after="0" w:line="170" w:lineRule="exact"/>
        <w:rPr>
          <w:sz w:val="20"/>
          <w:szCs w:val="20"/>
          <w:color w:val="auto"/>
        </w:rPr>
      </w:pPr>
    </w:p>
    <w:p>
      <w:pPr>
        <w:jc w:val="both"/>
        <w:ind w:right="20" w:firstLine="648"/>
        <w:spacing w:after="0" w:line="312" w:lineRule="auto"/>
        <w:rPr>
          <w:sz w:val="20"/>
          <w:szCs w:val="20"/>
          <w:color w:val="auto"/>
        </w:rPr>
      </w:pPr>
      <w:r>
        <w:rPr>
          <w:rFonts w:ascii="Arial" w:cs="Arial" w:eastAsia="Arial" w:hAnsi="Arial"/>
          <w:sz w:val="16"/>
          <w:szCs w:val="16"/>
          <w:color w:val="auto"/>
        </w:rPr>
        <w:t>Level 2 inputs include quoted prices for similar assets and liabilities in active markets, quoted prices for identical or similar assets or liabilities in markets that are not active, inputs other than quoted prices that are observable for the asset or liability (i.e., interest rates, yield curves, etc.) and inputs that are derived principally from or corroborated by observable market data by correlation or other means (market corroborated inputs).</w:t>
      </w:r>
    </w:p>
    <w:p>
      <w:pPr>
        <w:spacing w:after="0" w:line="14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Level 3 includes unobservable inputs that reflect the Company’s assumptions about what factors market participants would use in pricing the asset or liability. The Company develops these inputs based on the best information available, including its own data.</w:t>
      </w:r>
    </w:p>
    <w:p>
      <w:pPr>
        <w:spacing w:after="0" w:line="170" w:lineRule="exact"/>
        <w:rPr>
          <w:sz w:val="20"/>
          <w:szCs w:val="20"/>
          <w:color w:val="auto"/>
        </w:rPr>
      </w:pPr>
    </w:p>
    <w:p>
      <w:pPr>
        <w:jc w:val="both"/>
        <w:ind w:right="20" w:firstLine="648"/>
        <w:spacing w:after="0" w:line="302" w:lineRule="auto"/>
        <w:rPr>
          <w:sz w:val="20"/>
          <w:szCs w:val="20"/>
          <w:color w:val="auto"/>
        </w:rPr>
      </w:pPr>
      <w:r>
        <w:rPr>
          <w:rFonts w:ascii="Arial" w:cs="Arial" w:eastAsia="Arial" w:hAnsi="Arial"/>
          <w:sz w:val="16"/>
          <w:szCs w:val="16"/>
          <w:color w:val="auto"/>
        </w:rPr>
        <w:t>Financial instruments consist primarily of cash, accounts receivable, accounts payable and floor plan notes payable. The carrying values of the Company’s financial instruments approximate fair value due either to their short-term nature or existence of variable interest rates, which approximate market rates. Certain methods and assumptions were used by the Company in estimating the fair value of financial instruments at June 30, 2018, and December 31, 2017. The carrying value of current assets and current liabilities approximates the fair value due to the short maturity of these items.</w:t>
      </w:r>
    </w:p>
    <w:p>
      <w:pPr>
        <w:spacing w:after="0" w:line="154" w:lineRule="exact"/>
        <w:rPr>
          <w:sz w:val="20"/>
          <w:szCs w:val="20"/>
          <w:color w:val="auto"/>
        </w:rPr>
      </w:pPr>
    </w:p>
    <w:p>
      <w:pPr>
        <w:jc w:val="both"/>
        <w:ind w:right="40" w:firstLine="648"/>
        <w:spacing w:after="0" w:line="257" w:lineRule="auto"/>
        <w:rPr>
          <w:sz w:val="20"/>
          <w:szCs w:val="20"/>
          <w:color w:val="auto"/>
        </w:rPr>
      </w:pPr>
      <w:r>
        <w:rPr>
          <w:rFonts w:ascii="Arial" w:cs="Arial" w:eastAsia="Arial" w:hAnsi="Arial"/>
          <w:sz w:val="18"/>
          <w:szCs w:val="18"/>
          <w:color w:val="auto"/>
        </w:rPr>
        <w:t>The fair value of the Company’s long-term debt is based on secondary market indicators. Because the Company’s debt is not quoted, estimates are based on each obligation’s characteristics, including remaining maturities, interest rate, credit rating, collateral and liquidity. Accordingly, the Company concluded that the valuation measurement inputs of its long-term debt represent, at its lowest level, current market interest rates available to the Company for similar debt and its current credit standing and has categorized such debt within Level 2 of the hierarchy framework. The carrying amount approximates fair value.</w:t>
      </w:r>
    </w:p>
    <w:p>
      <w:pPr>
        <w:spacing w:after="0" w:line="188" w:lineRule="exact"/>
        <w:rPr>
          <w:sz w:val="20"/>
          <w:szCs w:val="20"/>
          <w:color w:val="auto"/>
        </w:rPr>
      </w:pPr>
    </w:p>
    <w:p>
      <w:pPr>
        <w:jc w:val="both"/>
        <w:ind w:right="40" w:firstLine="648"/>
        <w:spacing w:after="0" w:line="286" w:lineRule="auto"/>
        <w:rPr>
          <w:sz w:val="20"/>
          <w:szCs w:val="20"/>
          <w:color w:val="auto"/>
        </w:rPr>
      </w:pPr>
      <w:r>
        <w:rPr>
          <w:rFonts w:ascii="Arial" w:cs="Arial" w:eastAsia="Arial" w:hAnsi="Arial"/>
          <w:sz w:val="17"/>
          <w:szCs w:val="17"/>
          <w:color w:val="auto"/>
        </w:rPr>
        <w:t>If investments are deemed to be impaired, the Company determines whether the impairment is temporary or other than temporary. If the impairment is deemed to be temporary, the Company records an unrealized loss in other comprehensive income. If the impairment is deemed other than temporary, the Company records the impairment in the Company’s Consolidated Statements of Income and Comprehensive Income.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Auction Rate Securities</w:t>
      </w:r>
    </w:p>
    <w:p>
      <w:pPr>
        <w:spacing w:after="0" w:line="225" w:lineRule="exact"/>
        <w:rPr>
          <w:sz w:val="20"/>
          <w:szCs w:val="20"/>
          <w:color w:val="auto"/>
        </w:rPr>
      </w:pPr>
    </w:p>
    <w:p>
      <w:pPr>
        <w:jc w:val="both"/>
        <w:ind w:right="20" w:firstLine="648"/>
        <w:spacing w:after="0" w:line="302" w:lineRule="auto"/>
        <w:rPr>
          <w:sz w:val="20"/>
          <w:szCs w:val="20"/>
          <w:color w:val="auto"/>
        </w:rPr>
      </w:pPr>
      <w:r>
        <w:rPr>
          <w:rFonts w:ascii="Arial" w:cs="Arial" w:eastAsia="Arial" w:hAnsi="Arial"/>
          <w:sz w:val="16"/>
          <w:szCs w:val="16"/>
          <w:color w:val="auto"/>
        </w:rPr>
        <w:t>In prior years, the Company invested in interest-bearing short-term investments primarily consisting of investment-grade auction rate securities classified as available-for-sale and reported at fair value. These types of investments were designed to provide liquidity through an auction process that reset the applicable interest rates at predetermined periods ranging from 1 to 35 days. This reset mechanism was intended to allow existing investors to continue to own their respective interest in the auction rate security or to gain immediate liquidity by selling their interests at par.</w:t>
      </w:r>
    </w:p>
    <w:p>
      <w:pPr>
        <w:spacing w:after="0" w:line="154"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60"/>
          </w:cols>
          <w:pgMar w:left="240" w:top="118" w:right="599" w:bottom="1440" w:gutter="0" w:footer="0" w:header="0"/>
        </w:sectPr>
      </w:pPr>
    </w:p>
    <w:bookmarkStart w:id="8" w:name="page9"/>
    <w:bookmarkEnd w:id="8"/>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jc w:val="both"/>
        <w:ind w:right="380" w:firstLine="648"/>
        <w:spacing w:after="0" w:line="257" w:lineRule="auto"/>
        <w:rPr>
          <w:sz w:val="20"/>
          <w:szCs w:val="20"/>
          <w:color w:val="auto"/>
        </w:rPr>
      </w:pPr>
      <w:r>
        <w:rPr>
          <w:rFonts w:ascii="Arial" w:cs="Arial" w:eastAsia="Arial" w:hAnsi="Arial"/>
          <w:sz w:val="18"/>
          <w:szCs w:val="18"/>
          <w:color w:val="auto"/>
        </w:rPr>
        <w:t>Auctions for investment grade securities held by the Company have failed. However, a failed auction does not represent a default by the issuer. The auction rate securities continue to pay interest in accordance with the terms of the underlying security; however, liquidity will be limited until there is a successful auction or until such time as other markets for these investments develop. The Company has the intent and ability to hold these auction rate securities until liquidity returns to the market. The Company does not believe that the lack of liquidity relating to its auction rate securities will have a material impact on its ability to fund operations.</w:t>
      </w:r>
    </w:p>
    <w:p>
      <w:pPr>
        <w:spacing w:after="0" w:line="188" w:lineRule="exact"/>
        <w:rPr>
          <w:sz w:val="20"/>
          <w:szCs w:val="20"/>
          <w:color w:val="auto"/>
        </w:rPr>
      </w:pPr>
    </w:p>
    <w:p>
      <w:pPr>
        <w:jc w:val="both"/>
        <w:ind w:right="380" w:firstLine="648"/>
        <w:spacing w:after="0" w:line="312" w:lineRule="auto"/>
        <w:rPr>
          <w:sz w:val="20"/>
          <w:szCs w:val="20"/>
          <w:color w:val="auto"/>
        </w:rPr>
      </w:pPr>
      <w:r>
        <w:rPr>
          <w:rFonts w:ascii="Arial" w:cs="Arial" w:eastAsia="Arial" w:hAnsi="Arial"/>
          <w:sz w:val="16"/>
          <w:szCs w:val="16"/>
          <w:color w:val="auto"/>
        </w:rPr>
        <w:t>As of June 30, 2018 and December 31, 2017, the Company held auction rate securities with underlying tax-exempt municipal bonds that mature in 2030 and have a fair value and a cost basis of $6.0 million and $6.4 million, respectively. The issuer redeemed $350,000 of the auction rate securities in 2018, $325,000 in 2017, and $450,000 during 2016. These bonds have credit wrap insurance and a credit rating of A by a major credit rating agency.</w:t>
      </w:r>
    </w:p>
    <w:p>
      <w:pPr>
        <w:spacing w:after="0" w:line="147" w:lineRule="exact"/>
        <w:rPr>
          <w:sz w:val="20"/>
          <w:szCs w:val="20"/>
          <w:color w:val="auto"/>
        </w:rPr>
      </w:pPr>
    </w:p>
    <w:p>
      <w:pPr>
        <w:jc w:val="both"/>
        <w:ind w:right="380" w:firstLine="648"/>
        <w:spacing w:after="0" w:line="253" w:lineRule="auto"/>
        <w:rPr>
          <w:sz w:val="20"/>
          <w:szCs w:val="20"/>
          <w:color w:val="auto"/>
        </w:rPr>
      </w:pPr>
      <w:r>
        <w:rPr>
          <w:rFonts w:ascii="Arial" w:cs="Arial" w:eastAsia="Arial" w:hAnsi="Arial"/>
          <w:sz w:val="18"/>
          <w:szCs w:val="18"/>
          <w:color w:val="auto"/>
        </w:rPr>
        <w:t>The Company valued the auction rate securities at June 30, 2018 using a discounted cash flow model based on the characteristics of the individual securities, which the Company believes yields the best estimate of fair value. The first step in the valuation included a credit analysis of the security which considered various factors, including the credit quality of the issuer, the instrument’s position within the capital structure of the issuing authority and the composition of the authority’s assets, including the effect of insurance and/or government guarantees. Next, the future cash flows of the instruments were projected based on certain assumptions regarding the auction rate market significant to the valuation, including that the auction rate market will remain illiquid and auctions will continue to fail, causing the interest rate to be the maximum applicable rate. This assumption resulted in a discounted cash flow analysis being performed through 2019, the point at which the Company estimates the securities will be redeemed by the municipality. The projected cash flows were then discounted using the applicable yield curve plus a 225 basis point liquidity premium added to the applicable discount rate.</w:t>
      </w:r>
    </w:p>
    <w:p>
      <w:pPr>
        <w:spacing w:after="0" w:line="197" w:lineRule="exact"/>
        <w:rPr>
          <w:sz w:val="20"/>
          <w:szCs w:val="20"/>
          <w:color w:val="auto"/>
        </w:rPr>
      </w:pPr>
    </w:p>
    <w:p>
      <w:pPr>
        <w:jc w:val="both"/>
        <w:ind w:right="380" w:firstLine="648"/>
        <w:spacing w:after="0" w:line="264" w:lineRule="auto"/>
        <w:rPr>
          <w:sz w:val="20"/>
          <w:szCs w:val="20"/>
          <w:color w:val="auto"/>
        </w:rPr>
      </w:pPr>
      <w:r>
        <w:rPr>
          <w:rFonts w:ascii="Arial" w:cs="Arial" w:eastAsia="Arial" w:hAnsi="Arial"/>
          <w:sz w:val="18"/>
          <w:szCs w:val="18"/>
          <w:color w:val="auto"/>
        </w:rPr>
        <w:t>The Company recorded a pre-tax impairment charge of $1.0 million on these auction rate securities in 2011 and subsequent pre-tax increases in fair value of $427,000 during 2014 and $469,000 during 2017, which brought the fair value of the auction rate securities back to their original cost basis. The Company had included the prior impairment in accumulated other comprehensive loss.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fair values were measured using Level 3 inputs of the fair value hierarchy.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Long-Lived Assets</w:t>
      </w:r>
    </w:p>
    <w:p>
      <w:pPr>
        <w:spacing w:after="0" w:line="225" w:lineRule="exact"/>
        <w:rPr>
          <w:sz w:val="20"/>
          <w:szCs w:val="20"/>
          <w:color w:val="auto"/>
        </w:rPr>
      </w:pPr>
    </w:p>
    <w:p>
      <w:pPr>
        <w:jc w:val="both"/>
        <w:ind w:right="380" w:firstLine="648"/>
        <w:spacing w:after="0" w:line="264" w:lineRule="auto"/>
        <w:rPr>
          <w:sz w:val="20"/>
          <w:szCs w:val="20"/>
          <w:color w:val="auto"/>
        </w:rPr>
      </w:pPr>
      <w:r>
        <w:rPr>
          <w:rFonts w:ascii="Arial" w:cs="Arial" w:eastAsia="Arial" w:hAnsi="Arial"/>
          <w:sz w:val="18"/>
          <w:szCs w:val="18"/>
          <w:color w:val="auto"/>
        </w:rPr>
        <w:t>During the first quarter of 2016, the Company instituted plans to consolidate its dealership network. In 2016, the Company recorded an impairment charge related to the value of the real estate in the affected locations in the amount of $7.5 million. The Company also classified certain excess real estate as held for sale, which resulted in an additional impairment charge.</w:t>
      </w:r>
    </w:p>
    <w:p>
      <w:pPr>
        <w:spacing w:after="0" w:line="181" w:lineRule="exact"/>
        <w:rPr>
          <w:sz w:val="20"/>
          <w:szCs w:val="20"/>
          <w:color w:val="auto"/>
        </w:rPr>
      </w:pPr>
    </w:p>
    <w:p>
      <w:pPr>
        <w:jc w:val="both"/>
        <w:ind w:right="380" w:firstLine="648"/>
        <w:spacing w:after="0" w:line="272" w:lineRule="auto"/>
        <w:rPr>
          <w:sz w:val="20"/>
          <w:szCs w:val="20"/>
          <w:color w:val="auto"/>
        </w:rPr>
      </w:pPr>
      <w:r>
        <w:rPr>
          <w:rFonts w:ascii="Arial" w:cs="Arial" w:eastAsia="Arial" w:hAnsi="Arial"/>
          <w:sz w:val="17"/>
          <w:szCs w:val="17"/>
          <w:color w:val="auto"/>
        </w:rPr>
        <w:t>The fair value measurements for the Company’s long-lived assets are based on Level 3 inputs. Fair values of the value of the real estate were determined based on evaluations by a third-party real estate broker that utilized its knowledge and historical experience in real estate markets and transactions. During 2016 and 2017, the Company sold seven of the properties previously classified as held for sale with a fair value of $8.3 million. During the third quarter of 2017, the Company made the decision to put one of the properties previously classified as “held for sale” with a fair value of $1.4 million back into service. In February 2018, the Company sold one of the properties with a fair value of $1.9 million and in May 2018, the Company sold another one of the properties with a fair value of $1.0 million. As of June 30, 2018, the remaining real estate associated with the restructuring activities is included in assets held for sale on the Consolidated Balance Sheets.</w:t>
      </w:r>
    </w:p>
    <w:p>
      <w:pPr>
        <w:spacing w:after="0" w:line="178" w:lineRule="exact"/>
        <w:rPr>
          <w:sz w:val="20"/>
          <w:szCs w:val="20"/>
          <w:color w:val="auto"/>
        </w:rPr>
      </w:pPr>
    </w:p>
    <w:p>
      <w:pPr>
        <w:jc w:val="both"/>
        <w:ind w:right="380" w:firstLine="648"/>
        <w:spacing w:after="0" w:line="277" w:lineRule="auto"/>
        <w:rPr>
          <w:sz w:val="20"/>
          <w:szCs w:val="20"/>
          <w:color w:val="auto"/>
        </w:rPr>
      </w:pPr>
      <w:r>
        <w:rPr>
          <w:rFonts w:ascii="Arial" w:cs="Arial" w:eastAsia="Arial" w:hAnsi="Arial"/>
          <w:sz w:val="18"/>
          <w:szCs w:val="18"/>
          <w:color w:val="auto"/>
        </w:rPr>
        <w:t>The following table presents long-lived assets classified as held for sale and measured and recorded at fair value on a nonrecurring basis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6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5"/>
              </w:rPr>
              <w:t>Fair Value</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6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Measurements</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6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Using</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6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Significant</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6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Unobservable</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6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Inputs</w:t>
            </w:r>
          </w:p>
        </w:tc>
        <w:tc>
          <w:tcPr>
            <w:tcW w:w="1140" w:type="dxa"/>
            <w:vAlign w:val="bottom"/>
          </w:tcPr>
          <w:p>
            <w:pPr>
              <w:spacing w:after="0"/>
              <w:rPr>
                <w:sz w:val="18"/>
                <w:szCs w:val="18"/>
                <w:color w:val="auto"/>
              </w:rPr>
            </w:pPr>
          </w:p>
        </w:tc>
      </w:tr>
      <w:tr>
        <w:trPr>
          <w:trHeight w:val="234"/>
        </w:trPr>
        <w:tc>
          <w:tcPr>
            <w:tcW w:w="4500" w:type="dxa"/>
            <w:vAlign w:val="bottom"/>
            <w:gridSpan w:val="2"/>
          </w:tcPr>
          <w:p>
            <w:pPr>
              <w:ind w:left="1140"/>
              <w:spacing w:after="0"/>
              <w:rPr>
                <w:sz w:val="20"/>
                <w:szCs w:val="20"/>
                <w:color w:val="auto"/>
              </w:rPr>
            </w:pPr>
            <w:r>
              <w:rPr>
                <w:rFonts w:ascii="Arial" w:cs="Arial" w:eastAsia="Arial" w:hAnsi="Arial"/>
                <w:sz w:val="18"/>
                <w:szCs w:val="18"/>
                <w:b w:val="1"/>
                <w:bCs w:val="1"/>
                <w:color w:val="auto"/>
              </w:rPr>
              <w:t>Description</w:t>
            </w:r>
          </w:p>
        </w:tc>
        <w:tc>
          <w:tcPr>
            <w:tcW w:w="4160" w:type="dxa"/>
            <w:vAlign w:val="bottom"/>
          </w:tcPr>
          <w:p>
            <w:pPr>
              <w:spacing w:after="0"/>
              <w:rPr>
                <w:sz w:val="20"/>
                <w:szCs w:val="20"/>
                <w:color w:val="auto"/>
              </w:rPr>
            </w:pPr>
          </w:p>
        </w:tc>
        <w:tc>
          <w:tcPr>
            <w:tcW w:w="16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June 30, 2018</w:t>
            </w:r>
          </w:p>
        </w:tc>
        <w:tc>
          <w:tcPr>
            <w:tcW w:w="1140" w:type="dxa"/>
            <w:vAlign w:val="bottom"/>
          </w:tcPr>
          <w:p>
            <w:pPr>
              <w:spacing w:after="0"/>
              <w:rPr>
                <w:sz w:val="20"/>
                <w:szCs w:val="20"/>
                <w:color w:val="auto"/>
              </w:rPr>
            </w:pPr>
          </w:p>
        </w:tc>
      </w:tr>
      <w:tr>
        <w:trPr>
          <w:trHeight w:val="210"/>
        </w:trPr>
        <w:tc>
          <w:tcPr>
            <w:tcW w:w="1160" w:type="dxa"/>
            <w:vAlign w:val="bottom"/>
          </w:tcPr>
          <w:p>
            <w:pPr>
              <w:spacing w:after="0"/>
              <w:rPr>
                <w:sz w:val="18"/>
                <w:szCs w:val="18"/>
                <w:color w:val="auto"/>
              </w:rPr>
            </w:pPr>
          </w:p>
        </w:tc>
        <w:tc>
          <w:tcPr>
            <w:tcW w:w="3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Long-lived assets held for sale</w:t>
            </w:r>
          </w:p>
        </w:tc>
        <w:tc>
          <w:tcPr>
            <w:tcW w:w="41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6,622</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432"/>
        </w:trPr>
        <w:tc>
          <w:tcPr>
            <w:tcW w:w="116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4160" w:type="dxa"/>
            <w:vAlign w:val="bottom"/>
          </w:tcPr>
          <w:p>
            <w:pPr>
              <w:jc w:val="right"/>
              <w:ind w:right="2810"/>
              <w:spacing w:after="0"/>
              <w:rPr>
                <w:sz w:val="20"/>
                <w:szCs w:val="20"/>
                <w:color w:val="auto"/>
              </w:rPr>
            </w:pPr>
            <w:r>
              <w:rPr>
                <w:rFonts w:ascii="Arial" w:cs="Arial" w:eastAsia="Arial" w:hAnsi="Arial"/>
                <w:sz w:val="18"/>
                <w:szCs w:val="18"/>
                <w:color w:val="auto"/>
              </w:rPr>
              <w:t>9</w:t>
            </w:r>
          </w:p>
        </w:tc>
        <w:tc>
          <w:tcPr>
            <w:tcW w:w="1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15"/>
        </w:trPr>
        <w:tc>
          <w:tcPr>
            <w:tcW w:w="1160" w:type="dxa"/>
            <w:vAlign w:val="bottom"/>
            <w:tcBorders>
              <w:bottom w:val="single" w:sz="8" w:color="auto"/>
            </w:tcBorders>
          </w:tcPr>
          <w:p>
            <w:pPr>
              <w:spacing w:after="0"/>
              <w:rPr>
                <w:sz w:val="10"/>
                <w:szCs w:val="10"/>
                <w:color w:val="auto"/>
              </w:rPr>
            </w:pPr>
          </w:p>
        </w:tc>
        <w:tc>
          <w:tcPr>
            <w:tcW w:w="3340" w:type="dxa"/>
            <w:vAlign w:val="bottom"/>
            <w:tcBorders>
              <w:bottom w:val="single" w:sz="8" w:color="auto"/>
            </w:tcBorders>
          </w:tcPr>
          <w:p>
            <w:pPr>
              <w:spacing w:after="0"/>
              <w:rPr>
                <w:sz w:val="10"/>
                <w:szCs w:val="10"/>
                <w:color w:val="auto"/>
              </w:rPr>
            </w:pPr>
          </w:p>
        </w:tc>
        <w:tc>
          <w:tcPr>
            <w:tcW w:w="4160" w:type="dxa"/>
            <w:vAlign w:val="bottom"/>
            <w:tcBorders>
              <w:bottom w:val="single" w:sz="8" w:color="auto"/>
            </w:tcBorders>
          </w:tcPr>
          <w:p>
            <w:pPr>
              <w:spacing w:after="0"/>
              <w:rPr>
                <w:sz w:val="10"/>
                <w:szCs w:val="10"/>
                <w:color w:val="auto"/>
              </w:rPr>
            </w:pPr>
          </w:p>
        </w:tc>
        <w:tc>
          <w:tcPr>
            <w:tcW w:w="15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118" w:right="239" w:bottom="1440" w:gutter="0" w:footer="0" w:header="0"/>
        </w:sectPr>
      </w:pPr>
    </w:p>
    <w:bookmarkStart w:id="9" w:name="page10"/>
    <w:bookmarkEnd w:id="9"/>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 Segment Information</w:t>
      </w:r>
    </w:p>
    <w:p>
      <w:pPr>
        <w:spacing w:after="0" w:line="229" w:lineRule="exact"/>
        <w:rPr>
          <w:sz w:val="20"/>
          <w:szCs w:val="20"/>
          <w:color w:val="auto"/>
        </w:rPr>
      </w:pPr>
    </w:p>
    <w:p>
      <w:pPr>
        <w:jc w:val="both"/>
        <w:ind w:right="380" w:firstLine="648"/>
        <w:spacing w:after="0" w:line="255" w:lineRule="auto"/>
        <w:rPr>
          <w:sz w:val="20"/>
          <w:szCs w:val="20"/>
          <w:color w:val="auto"/>
        </w:rPr>
      </w:pPr>
      <w:r>
        <w:rPr>
          <w:rFonts w:ascii="Arial" w:cs="Arial" w:eastAsia="Arial" w:hAnsi="Arial"/>
          <w:sz w:val="18"/>
          <w:szCs w:val="18"/>
          <w:color w:val="auto"/>
        </w:rPr>
        <w:t>The Company currently has one reportable business segment - the Truck Segment. The Truck Segment includes the Company’s operation of a nationwide network of commercial vehicle dealerships that provide an integrated one-stop source for the commercial vehicle needs of its customers, including retail sales of new and used commercial vehicles; aftermarket parts, service and body shop facilities; and a wide array of financial services, including the financing of new and used commercial vehicle purchases, insurance products and truck leasing and rentals. The commercial vehicle dealerships are deemed a single reporting unit because they have similar economic characteristics. The Company’s chief operating decision maker considers the entire Truck Segment, not individual dealerships or departments within its dealerships, when making decisions about resources to be allocated to the segment and assessing its performance.</w:t>
      </w:r>
    </w:p>
    <w:p>
      <w:pPr>
        <w:spacing w:after="0" w:line="189" w:lineRule="exact"/>
        <w:rPr>
          <w:sz w:val="20"/>
          <w:szCs w:val="20"/>
          <w:color w:val="auto"/>
        </w:rPr>
      </w:pPr>
    </w:p>
    <w:p>
      <w:pPr>
        <w:jc w:val="both"/>
        <w:ind w:right="380" w:firstLine="648"/>
        <w:spacing w:after="0" w:line="264" w:lineRule="auto"/>
        <w:rPr>
          <w:sz w:val="20"/>
          <w:szCs w:val="20"/>
          <w:color w:val="auto"/>
        </w:rPr>
      </w:pPr>
      <w:r>
        <w:rPr>
          <w:rFonts w:ascii="Arial" w:cs="Arial" w:eastAsia="Arial" w:hAnsi="Arial"/>
          <w:sz w:val="18"/>
          <w:szCs w:val="18"/>
          <w:color w:val="auto"/>
        </w:rPr>
        <w:t>The Company also has revenues attributable to three other operating segments. These segments include a retail tire company, an insurance agency and a guest ranch operation and are included in the All Other column below. None of these segments has ever met any of the quantitative thresholds for determining reportable segments.</w:t>
      </w:r>
    </w:p>
    <w:p>
      <w:pPr>
        <w:spacing w:after="0" w:line="181" w:lineRule="exact"/>
        <w:rPr>
          <w:sz w:val="20"/>
          <w:szCs w:val="20"/>
          <w:color w:val="auto"/>
        </w:rPr>
      </w:pPr>
    </w:p>
    <w:p>
      <w:pPr>
        <w:jc w:val="both"/>
        <w:ind w:right="380" w:firstLine="648"/>
        <w:spacing w:after="0" w:line="277" w:lineRule="auto"/>
        <w:rPr>
          <w:sz w:val="20"/>
          <w:szCs w:val="20"/>
          <w:color w:val="auto"/>
        </w:rPr>
      </w:pPr>
      <w:r>
        <w:rPr>
          <w:rFonts w:ascii="Arial" w:cs="Arial" w:eastAsia="Arial" w:hAnsi="Arial"/>
          <w:sz w:val="18"/>
          <w:szCs w:val="18"/>
          <w:color w:val="auto"/>
        </w:rPr>
        <w:t>The accounting policies of the segments are the same as those described in the summary of significant accounting policies. The Company evaluates performance based on income before income taxes, not including extraordinary items.</w:t>
      </w:r>
    </w:p>
    <w:p>
      <w:pPr>
        <w:spacing w:after="0" w:line="170" w:lineRule="exact"/>
        <w:rPr>
          <w:sz w:val="20"/>
          <w:szCs w:val="20"/>
          <w:color w:val="auto"/>
        </w:rPr>
      </w:pPr>
    </w:p>
    <w:p>
      <w:pPr>
        <w:jc w:val="both"/>
        <w:ind w:right="380" w:firstLine="648"/>
        <w:spacing w:after="0" w:line="277" w:lineRule="auto"/>
        <w:rPr>
          <w:sz w:val="20"/>
          <w:szCs w:val="20"/>
          <w:color w:val="auto"/>
        </w:rPr>
      </w:pPr>
      <w:r>
        <w:rPr>
          <w:rFonts w:ascii="Arial" w:cs="Arial" w:eastAsia="Arial" w:hAnsi="Arial"/>
          <w:sz w:val="18"/>
          <w:szCs w:val="18"/>
          <w:color w:val="auto"/>
        </w:rPr>
        <w:t>The following table contains summarized information about reportable segment revenues, segment income or loss from continuing operations and segment assets for the periods ended June 30, 2018 and 2017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gridSpan w:val="2"/>
          </w:tcPr>
          <w:p>
            <w:pPr>
              <w:jc w:val="center"/>
              <w:ind w:right="460"/>
              <w:spacing w:after="0"/>
              <w:rPr>
                <w:sz w:val="20"/>
                <w:szCs w:val="20"/>
                <w:color w:val="auto"/>
              </w:rPr>
            </w:pPr>
            <w:r>
              <w:rPr>
                <w:rFonts w:ascii="Arial" w:cs="Arial" w:eastAsia="Arial" w:hAnsi="Arial"/>
                <w:sz w:val="18"/>
                <w:szCs w:val="18"/>
                <w:color w:val="auto"/>
                <w:w w:val="93"/>
              </w:rPr>
              <w:t>Truck</w:t>
            </w: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80" w:type="dxa"/>
            <w:vAlign w:val="bottom"/>
            <w:gridSpan w:val="2"/>
          </w:tcPr>
          <w:p>
            <w:pPr>
              <w:jc w:val="center"/>
              <w:ind w:right="460"/>
              <w:spacing w:after="0"/>
              <w:rPr>
                <w:sz w:val="20"/>
                <w:szCs w:val="20"/>
                <w:color w:val="auto"/>
              </w:rPr>
            </w:pPr>
            <w:r>
              <w:rPr>
                <w:rFonts w:ascii="Arial" w:cs="Arial" w:eastAsia="Arial" w:hAnsi="Arial"/>
                <w:sz w:val="18"/>
                <w:szCs w:val="18"/>
                <w:color w:val="auto"/>
                <w:w w:val="85"/>
              </w:rPr>
              <w:t>Segment</w:t>
            </w:r>
          </w:p>
        </w:tc>
        <w:tc>
          <w:tcPr>
            <w:tcW w:w="260" w:type="dxa"/>
            <w:vAlign w:val="bottom"/>
          </w:tcPr>
          <w:p>
            <w:pPr>
              <w:spacing w:after="0"/>
              <w:rPr>
                <w:sz w:val="20"/>
                <w:szCs w:val="20"/>
                <w:color w:val="auto"/>
              </w:rPr>
            </w:pPr>
          </w:p>
        </w:tc>
        <w:tc>
          <w:tcPr>
            <w:tcW w:w="1400" w:type="dxa"/>
            <w:vAlign w:val="bottom"/>
            <w:gridSpan w:val="2"/>
          </w:tcPr>
          <w:p>
            <w:pPr>
              <w:jc w:val="right"/>
              <w:ind w:right="540"/>
              <w:spacing w:after="0"/>
              <w:rPr>
                <w:sz w:val="20"/>
                <w:szCs w:val="20"/>
                <w:color w:val="auto"/>
              </w:rPr>
            </w:pPr>
            <w:r>
              <w:rPr>
                <w:rFonts w:ascii="Arial" w:cs="Arial" w:eastAsia="Arial" w:hAnsi="Arial"/>
                <w:sz w:val="18"/>
                <w:szCs w:val="18"/>
                <w:color w:val="auto"/>
              </w:rPr>
              <w:t>All Other</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gridSpan w:val="2"/>
          </w:tcPr>
          <w:p>
            <w:pPr>
              <w:ind w:left="260"/>
              <w:spacing w:after="0"/>
              <w:rPr>
                <w:sz w:val="20"/>
                <w:szCs w:val="20"/>
                <w:color w:val="auto"/>
              </w:rPr>
            </w:pPr>
            <w:r>
              <w:rPr>
                <w:rFonts w:ascii="Arial" w:cs="Arial" w:eastAsia="Arial" w:hAnsi="Arial"/>
                <w:sz w:val="18"/>
                <w:szCs w:val="18"/>
                <w:color w:val="auto"/>
              </w:rPr>
              <w:t>Total</w:t>
            </w: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As of and for the three months ended June 30, 2018</w:t>
            </w:r>
          </w:p>
        </w:tc>
        <w:tc>
          <w:tcPr>
            <w:tcW w:w="2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Revenues from external customers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1,344,271</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4,560</w:t>
            </w: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1,348,831</w:t>
            </w:r>
          </w:p>
        </w:tc>
        <w:tc>
          <w:tcPr>
            <w:tcW w:w="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Segment operating income</w:t>
            </w:r>
          </w:p>
        </w:tc>
        <w:tc>
          <w:tcPr>
            <w:tcW w:w="2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43,126</w:t>
            </w: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43,426</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Segment income before taxes</w:t>
            </w:r>
          </w:p>
        </w:tc>
        <w:tc>
          <w:tcPr>
            <w:tcW w:w="28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38,684</w:t>
            </w:r>
          </w:p>
        </w:tc>
        <w:tc>
          <w:tcPr>
            <w:tcW w:w="26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248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38,932</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Segment assets</w:t>
            </w:r>
          </w:p>
        </w:tc>
        <w:tc>
          <w:tcPr>
            <w:tcW w:w="2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2,981,063</w:t>
            </w: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35,400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3,016,463</w:t>
            </w:r>
          </w:p>
        </w:tc>
        <w:tc>
          <w:tcPr>
            <w:tcW w:w="8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For the six months ended June 30, 2018</w:t>
            </w: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Revenues from external customers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2,580,924</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8,688</w:t>
            </w: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2,589,612</w:t>
            </w:r>
          </w:p>
        </w:tc>
        <w:tc>
          <w:tcPr>
            <w:tcW w:w="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Segment operating income</w:t>
            </w:r>
          </w:p>
        </w:tc>
        <w:tc>
          <w:tcPr>
            <w:tcW w:w="2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75,486</w:t>
            </w: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75,815</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Segment income before taxes</w:t>
            </w:r>
          </w:p>
        </w:tc>
        <w:tc>
          <w:tcPr>
            <w:tcW w:w="28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66,787</w:t>
            </w:r>
          </w:p>
        </w:tc>
        <w:tc>
          <w:tcPr>
            <w:tcW w:w="26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228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67,015</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i w:val="1"/>
                <w:iCs w:val="1"/>
                <w:color w:val="auto"/>
              </w:rPr>
              <w:t>As of and for the three months ended June 30, 2017</w:t>
            </w: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Revenues from external customers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1,199,703</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3,821</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1,203,523</w:t>
            </w:r>
          </w:p>
        </w:tc>
        <w:tc>
          <w:tcPr>
            <w:tcW w:w="8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Segment operating income (loss)</w:t>
            </w:r>
          </w:p>
        </w:tc>
        <w:tc>
          <w:tcPr>
            <w:tcW w:w="28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37,546</w:t>
            </w:r>
          </w:p>
        </w:tc>
        <w:tc>
          <w:tcPr>
            <w:tcW w:w="260" w:type="dxa"/>
            <w:vAlign w:val="bottom"/>
          </w:tcPr>
          <w:p>
            <w:pPr>
              <w:spacing w:after="0"/>
              <w:rPr>
                <w:sz w:val="18"/>
                <w:szCs w:val="18"/>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(139)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37,407</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Segment income (loss) before taxes</w:t>
            </w:r>
          </w:p>
        </w:tc>
        <w:tc>
          <w:tcPr>
            <w:tcW w:w="2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34,766</w:t>
            </w: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34,583</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Segment assets</w:t>
            </w:r>
          </w:p>
        </w:tc>
        <w:tc>
          <w:tcPr>
            <w:tcW w:w="28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2,655,860</w:t>
            </w:r>
          </w:p>
        </w:tc>
        <w:tc>
          <w:tcPr>
            <w:tcW w:w="26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35,939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2,691,799</w:t>
            </w:r>
          </w:p>
        </w:tc>
        <w:tc>
          <w:tcPr>
            <w:tcW w:w="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i w:val="1"/>
                <w:iCs w:val="1"/>
                <w:color w:val="auto"/>
              </w:rPr>
              <w:t>For the six months ended June 30, 2017</w:t>
            </w: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Revenues from external customers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2,240,556</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7,764</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2,248,320</w:t>
            </w:r>
          </w:p>
        </w:tc>
        <w:tc>
          <w:tcPr>
            <w:tcW w:w="8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Segment operating income (loss)</w:t>
            </w:r>
          </w:p>
        </w:tc>
        <w:tc>
          <w:tcPr>
            <w:tcW w:w="28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62,540</w:t>
            </w:r>
          </w:p>
        </w:tc>
        <w:tc>
          <w:tcPr>
            <w:tcW w:w="260" w:type="dxa"/>
            <w:vAlign w:val="bottom"/>
          </w:tcPr>
          <w:p>
            <w:pPr>
              <w:spacing w:after="0"/>
              <w:rPr>
                <w:sz w:val="18"/>
                <w:szCs w:val="18"/>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(284)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62,256</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Segment income (loss) before taxes</w:t>
            </w:r>
          </w:p>
        </w:tc>
        <w:tc>
          <w:tcPr>
            <w:tcW w:w="2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57,010</w:t>
            </w: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56,641</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jc w:val="right"/>
              <w:ind w:right="270"/>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456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7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10" w:name="page11"/>
    <w:bookmarkEnd w:id="10"/>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 Income Taxes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had unrecognized income tax benefits totaling $2.6 million as a component of accrued liabilities at June 30, 2018 and December 31, 2017, the total of which, if recognized, would impact the Company’s effective tax rate. An unfavorable settlement may require a charge to income tax expense and a favorable resolution would be recognized as a reduction to income tax expense. The Company recognizes interest accrued related to unrecognized tax benefits in income tax expense. No amounts were accrued for penalties. The Company had approximately $166,000 accrued for the payment of interest at June 30, 2018 and December 31, 2017.</w:t>
      </w:r>
    </w:p>
    <w:p>
      <w:pPr>
        <w:spacing w:after="0" w:line="18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On December 22, 2017, the United States Congress enacted comprehensive tax legislation commonly referred to as the Tax Cuts and Jobs Act (“the Tax Act”). The Tax Act included, among other items, a reduction of the U.S. federal corporate tax rate from 35% to 21% effective January 1, 2018. The Tax Act made broad and complex changes to the U.S. tax code, some of which affected the Company’s 2017 year end results. Staff Accounting Bulletin No. 118 (SAB 118) provided guidance that allowed registrants to provide a reasonable estimate of the effects of the Tax Act in their financial statements and adjust the reported impact in a measurement period not to exceed one year. At December 31, 2017, the Company made a reasonable estimate of the effects of the Tax Act on its existing deferred tax balances and recognized a provisional net tax benefit of $82.9 million. The provisional benefit recorded was primarily a result of the remeasurement of the Company’s deferred tax assets and liabilities at the tax rate in which they will reverse when they are recognized. The Company will continue to refine its calculations as additional analysis is completed. In addition, the Company’s estimates may also be affected as it gains a more thorough understanding of the Tax Act.</w:t>
      </w:r>
    </w:p>
    <w:p>
      <w:pPr>
        <w:spacing w:after="0" w:line="18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does not anticipate a significant change in the amount of unrecognized tax benefits in the next 12 months. As of June 30, 2018, the tax years ended December 31, 2014 through 2017 remain subject to audit by federal tax authorities and the tax years ended December 31, 2013 through 2017 remain subject to audit by state tax authorities. In June 2018, the Company was notified of an examination of its federal income tax return for 2015. The Company cannot reasonably determine if this examination will have a material impact on its financial statements, and cannot predict the timing regarding resolution of this tax examination.</w:t>
      </w:r>
    </w:p>
    <w:p>
      <w:pPr>
        <w:spacing w:after="0" w:line="18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Company adopted ASU 2016-09 on January 1, 2017, which requires excess tax benefits and tax deficiencies to be recognized as income tax benefit or expense in the income statement and presented as an operating activity in the statement of cash flows when the awards are vested or are settled. The Company recorded excess tax benefits of $0.2 million for the three months ended June 30, 2018 and $0.9 million for the three months ended June 30, 2017, and $0.2 million for the six months ended June 30, 2018 and $2.0 million for the six months ended June 30, 2017, which were recorded as reductions to income tax expense in the Consolidated Statement of Income and Comprehensive Income.</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 Recent Accounting Guidance</w:t>
      </w:r>
    </w:p>
    <w:p>
      <w:pPr>
        <w:spacing w:after="0" w:line="22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In February 2016, the FASB issued ASU No. 2016-02, “</w:t>
      </w:r>
      <w:r>
        <w:rPr>
          <w:rFonts w:ascii="Arial" w:cs="Arial" w:eastAsia="Arial" w:hAnsi="Arial"/>
          <w:sz w:val="16"/>
          <w:szCs w:val="16"/>
          <w:i w:val="1"/>
          <w:iCs w:val="1"/>
          <w:color w:val="auto"/>
        </w:rPr>
        <w:t>Leases (“Topic 842”),</w:t>
      </w:r>
      <w:r>
        <w:rPr>
          <w:rFonts w:ascii="Arial" w:cs="Arial" w:eastAsia="Arial" w:hAnsi="Arial"/>
          <w:sz w:val="16"/>
          <w:szCs w:val="16"/>
          <w:color w:val="auto"/>
        </w:rPr>
        <w:t>” which is intended to increase the transparency and comparability among organizations by recognizing lease assets and lease liabilities on the balance sheet and disclosing key information about leasing arrangements. The new standard requires lessees to record assets and liabilities on the balance sheet for all leases with terms longer than 12 months. Leases will be classified as either finance or operating, with classification affecting the pattern of expense recognition in the income statement.</w:t>
      </w:r>
    </w:p>
    <w:p>
      <w:pPr>
        <w:spacing w:after="0" w:line="154"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Company will adopt Topic 842 on January 1, 2019. The standard requires a modified retrospective transition approach for all leases existing at, or entered into after, the date of initial application. Upon adoption, the Company expects to apply the practical expedients permitted within the new standard, which among other things, allows the Company to retain its existing assessment of whether an arrangement is, or contains, a lease and is classified as an operating or finance lease. The Company will make an accounting policy election that will keep leases with an initial term of 12 months or less off of the balance sheet and will result in recognizing those lease payments in the Consolidated Statements of Income and Comprehensive Income on a straight-line basis over the lease term. The Company is in the process of analyzing its lease portfolio and continues to evaluate the full impact of the new standard, including the impact on its business processes, systems, and internal controls. However, the Company expects the recognition of right-of-use assets and related liabilities to have a material effect on the Company’s Consolidated Balance Sheets.</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 Revenue</w:t>
      </w:r>
    </w:p>
    <w:p>
      <w:pPr>
        <w:spacing w:after="0" w:line="22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In May 2014, the FASB issued ASU No. 2014-09,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which amended the accounting standards for revenue recognition. The Company adopted Topic 606 on January 1, 2018 and is applying the modified retrospective method. There was not a material impact to revenues as a result of applying Topic 606 for the three months and six months ended June 30, 2018, and there have not been significant changes to our business processes, systems, or internal controls as a result of implementing the standard. Adoption of the new standard does not materially change the timing or amount of revenue recognized in the Company’s Consolidated Statements of Income and Comprehensive Income.</w:t>
      </w:r>
    </w:p>
    <w:p>
      <w:pPr>
        <w:spacing w:after="0" w:line="158"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40"/>
          </w:cols>
          <w:pgMar w:left="240" w:top="118" w:right="619" w:bottom="1440" w:gutter="0" w:footer="0" w:header="0"/>
        </w:sectPr>
      </w:pPr>
    </w:p>
    <w:bookmarkStart w:id="11" w:name="page12"/>
    <w:bookmarkEnd w:id="11"/>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Company’s revenues are primarily generated from the sale of finished products to customers. Those sales predominantly contain a single delivery element and revenue for such sales is recognized when the customer obtains control, which is typically when the finished product is delivered to the customer. The Company’s material revenue streams have been identified as the following: the sale of new and used commercial vehicles, arrangement of associated commercial vehicle financing and insurance contracts, the performance of commercial vehicle repair services and the sale of commercial vehicle parts. Taxes collected from customers relating to product sales and remitted to governmental authorities are excluded from revenues.</w:t>
      </w:r>
    </w:p>
    <w:p>
      <w:pPr>
        <w:spacing w:after="0" w:line="193"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 summarizes the Company’s disaggregated revenue by revenue source for the three months and six months ended June 30, 2018 (in thousands):</w:t>
      </w:r>
    </w:p>
    <w:p>
      <w:pPr>
        <w:spacing w:after="0" w:line="170"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center"/>
              <w:ind w:right="190"/>
              <w:spacing w:after="0"/>
              <w:rPr>
                <w:sz w:val="20"/>
                <w:szCs w:val="20"/>
                <w:color w:val="auto"/>
              </w:rPr>
            </w:pPr>
            <w:r>
              <w:rPr>
                <w:rFonts w:ascii="Arial" w:cs="Arial" w:eastAsia="Arial" w:hAnsi="Arial"/>
                <w:sz w:val="18"/>
                <w:szCs w:val="18"/>
                <w:color w:val="auto"/>
                <w:w w:val="90"/>
              </w:rPr>
              <w:t>Three Months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380"/>
              <w:spacing w:after="0"/>
              <w:rPr>
                <w:sz w:val="20"/>
                <w:szCs w:val="20"/>
                <w:color w:val="auto"/>
              </w:rPr>
            </w:pPr>
            <w:r>
              <w:rPr>
                <w:rFonts w:ascii="Arial" w:cs="Arial" w:eastAsia="Arial" w:hAnsi="Arial"/>
                <w:sz w:val="18"/>
                <w:szCs w:val="18"/>
                <w:color w:val="auto"/>
                <w:w w:val="94"/>
              </w:rPr>
              <w:t>Six Months</w:t>
            </w: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center"/>
              <w:ind w:right="170"/>
              <w:spacing w:after="0"/>
              <w:rPr>
                <w:sz w:val="20"/>
                <w:szCs w:val="20"/>
                <w:color w:val="auto"/>
              </w:rPr>
            </w:pPr>
            <w:r>
              <w:rPr>
                <w:rFonts w:ascii="Arial" w:cs="Arial" w:eastAsia="Arial" w:hAnsi="Arial"/>
                <w:sz w:val="18"/>
                <w:szCs w:val="18"/>
                <w:color w:val="auto"/>
                <w:w w:val="88"/>
              </w:rPr>
              <w:t>Ended</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360"/>
              <w:spacing w:after="0"/>
              <w:rPr>
                <w:sz w:val="20"/>
                <w:szCs w:val="20"/>
                <w:color w:val="auto"/>
              </w:rPr>
            </w:pPr>
            <w:r>
              <w:rPr>
                <w:rFonts w:ascii="Arial" w:cs="Arial" w:eastAsia="Arial" w:hAnsi="Arial"/>
                <w:sz w:val="18"/>
                <w:szCs w:val="18"/>
                <w:color w:val="auto"/>
                <w:w w:val="88"/>
              </w:rPr>
              <w:t>Ended</w:t>
            </w:r>
          </w:p>
        </w:tc>
      </w:tr>
      <w:tr>
        <w:trPr>
          <w:trHeight w:val="230"/>
        </w:trPr>
        <w:tc>
          <w:tcPr>
            <w:tcW w:w="20" w:type="dxa"/>
            <w:vAlign w:val="bottom"/>
          </w:tcPr>
          <w:p>
            <w:pPr>
              <w:spacing w:after="0"/>
              <w:rPr>
                <w:sz w:val="20"/>
                <w:szCs w:val="20"/>
                <w:color w:val="auto"/>
              </w:rPr>
            </w:pPr>
          </w:p>
        </w:tc>
        <w:tc>
          <w:tcPr>
            <w:tcW w:w="44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color w:val="auto"/>
                <w:w w:val="87"/>
              </w:rPr>
              <w:t>June 30, 2018</w:t>
            </w:r>
          </w:p>
        </w:tc>
        <w:tc>
          <w:tcPr>
            <w:tcW w:w="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color w:val="auto"/>
                <w:w w:val="87"/>
              </w:rPr>
              <w:t>June 30, 2018</w:t>
            </w:r>
          </w:p>
        </w:tc>
        <w:tc>
          <w:tcPr>
            <w:tcW w:w="8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Commercial vehicle sales revenue</w:t>
            </w: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857,025</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1,630,125</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Parts revenue</w:t>
            </w: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237,068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460,422</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Commercial vehicle repair service revenue</w:t>
            </w: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185,872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362,813</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Finance revenue</w:t>
            </w: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2,863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5,199</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Insurance revenue</w:t>
            </w: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5,034</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Other revenue</w:t>
            </w:r>
          </w:p>
        </w:tc>
        <w:tc>
          <w:tcPr>
            <w:tcW w:w="13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4,381</w:t>
            </w: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9,502</w:t>
            </w:r>
          </w:p>
        </w:tc>
        <w:tc>
          <w:tcPr>
            <w:tcW w:w="8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1,289,838</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2,473,095</w:t>
            </w:r>
          </w:p>
        </w:tc>
        <w:tc>
          <w:tcPr>
            <w:tcW w:w="80" w:type="dxa"/>
            <w:vAlign w:val="bottom"/>
            <w:shd w:val="clear" w:color="auto" w:fill="CCEEFF"/>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All of the Company's performance obligations and associated revenues are generally transferred to customers at a point in time. The Company does not have any material contract assets or contract liabilities on the Balance Sheet as of June 30, 2018. Revenues related to commercial vehicle sales, parts sales, commercial vehicle repair service, finance and the majority of other revenue are related to the Truck Segment.</w:t>
      </w:r>
    </w:p>
    <w:p>
      <w:pPr>
        <w:spacing w:after="0" w:line="14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the sale of new and commercial vehicles, revenue is recognized at a point in time when control is transferred to the customer, which is when delivery of the commercial vehicle occurs. Revenue is measured as the amount of consideration the Company expects to receive in exchange for transferring the commercial vehicle. When control is transferred to the customer, the Company has an unconditional right to payment and a receivable is recorded for any consideration not received.</w:t>
      </w:r>
    </w:p>
    <w:p>
      <w:pPr>
        <w:spacing w:after="0" w:line="187"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Company controls the commercial vehicle before it is transferred to the customer and it obtains all of the remaining benefits from the commercial vehicle relating to the sale, ability to pledge the asset, or hold the asset. The Company is a principal in all commercial vehicle transactions. The Company retains inventory risk, determines the selling price to the customer, and delivers the commercial vehicle to the customer. The Company generally pays a commission to internal sales representatives for the sale of a commercial vehicle. The Company will continue to expense the commission and recognize it concurrently with the respective commercial vehicle sale revenue upon delivery of the commercial vehicle to a customer.</w:t>
      </w:r>
    </w:p>
    <w:p>
      <w:pPr>
        <w:spacing w:after="0" w:line="158"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Revenue from the sale of parts is recognized when the Company transfers control of the goods to the customer and consideration has been received in the form of cash or a receivable from the customer. The Company provides its customers the right to return eligible parts, estimates the expected returns based on an analysis of historical experience and records an allowance for estimated returns, which has historically not been material.</w:t>
      </w:r>
    </w:p>
    <w:p>
      <w:pPr>
        <w:spacing w:after="0" w:line="14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Revenue from the sale of commercial vehicle repair service is recognized when the service performed by the Company on a customer’s vehicle is complete and the customer accepts the repair. Because the Company does not have an enforceable right to payment while the repair is being performed, revenue is recognized when the repair is complete. After a customer’s acceptance, the Company has no remaining obligations to transfer goods or services to the customer and consideration has been received in the form of cash or a receivable from the customer.</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Any remaining performance obligations represent service orders for which work has not been completed. The Company’s service contracts are predominantly short-term in nature with a contract term of one month or less. For those contracts, the Company has utilized the practical expedient in Topic 606 exempting the Company from disclosure of the transaction price allocated to remaining performance obligations if the performance obligation is part of a contract that has an original expected duration of one year or less.</w:t>
      </w:r>
    </w:p>
    <w:p>
      <w:pPr>
        <w:spacing w:after="0" w:line="187"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40"/>
          </w:cols>
          <w:pgMar w:left="240" w:top="118" w:right="619" w:bottom="1440" w:gutter="0" w:footer="0" w:header="0"/>
        </w:sectPr>
      </w:pPr>
    </w:p>
    <w:bookmarkStart w:id="12" w:name="page13"/>
    <w:bookmarkEnd w:id="12"/>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Company receives commissions from third-party lenders for arranging customer financing for the purchase of commercial vehicles. The receipt of such commissions is deemed to be a single performance obligation that is satisfied when a financing agreement is executed and accepted by the financing provider. Once the contract has been accepted by the financing provider, the Company’s performance obligation has been satisfied and the Company generally has no further obligations under the contract. The Company is the agent in this transaction, as it does not have control over the acceptance of the customer’s financing arrangement by the financing provider. Consideration paid to the Company by the financing provider is based on the agreement between the Company and the financing provider.</w:t>
      </w:r>
    </w:p>
    <w:p>
      <w:pPr>
        <w:spacing w:after="0" w:line="17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receives commissions from third-party insurance companies for arranging insurance coverage for customers. The receipt of such commissions is deemed to be a single performance obligation that is satisfied when the insurance coverage is bound. The Company has no further obligations under the contract. The Company is the agent in this transaction as it does not have control over the insurance coverage provided by the insurance carrier. Consideration paid to the Company by the insurance provider is based on the agreement between the Company and the insurance provider.</w:t>
      </w:r>
    </w:p>
    <w:p>
      <w:pPr>
        <w:spacing w:after="0" w:line="18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Company records revenues from finance and insurance products at the net commission amount, which includes estimates of chargebacks that can occur if the underlying contract is not fulfilled. Chargeback amounts for commissions from financing companies are estimated assuming financing contracts are terminated before the customer has made six monthly payments. Chargeback amounts for commissions from insurance companies are estimated assuming insurance contracts are terminated before the underlying insurance contractual term has expired. Chargeback reserve amounts are based on historical chargebacks and have historically been immaterial. The Company does not have any right to retrospective commissions based on future profitability of finance and insurance contracts arranged.</w:t>
      </w:r>
    </w:p>
    <w:p>
      <w:pPr>
        <w:spacing w:after="0" w:line="17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Other revenue is mostly documentation fees that are charged to customers in connection with the sale of a commercial vehicle and recognized as other revenue when a truck is sold. The Company recognizes the documentation fees at the point in time when the commercial vehicle is delivered to the customer.</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 ERP Platform</w:t>
      </w:r>
    </w:p>
    <w:p>
      <w:pPr>
        <w:spacing w:after="0" w:line="22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In February 2018, the Company determined that a majority of the components of its ERP Platform would require replacement earlier than anticipated at the time the software was installed and capitalized in 2011. In accordance with ASC Topic 350-40, the Company prospectively adjusted the useful life of the components to be replaced so that the respective net book values of these components were fully amortized upon replacement.</w:t>
      </w:r>
    </w:p>
    <w:p>
      <w:pPr>
        <w:spacing w:after="0" w:line="14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replaced certain components of its ERP Platform with a net book value of $19.9 million in May 2018. The Company began to amortize that amount in February 2018 and continued to amortize that amount through May 2018. The Company recorded amortization expense of $9.7 million related to replacement of the majority of its ERP Platform components during the three months ended June 30, 2018, and $19.9 million in the six months ended June 30, 2018.</w:t>
      </w:r>
    </w:p>
    <w:p>
      <w:pPr>
        <w:spacing w:after="0" w:line="187"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There has been no change in the Company’s internal control over financial reporting as a result of the replacement of the components of its ERP Platform.</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 Subsequent Event</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July 24, 2018, the Company’s Board of Directors authorized the Company to initiate a quarterly cash dividend as part of its capital allocation strategy. Accordingly, on July 24, 2018, the Company’s Board of Directors declared an initial quarterly cash dividend of $0.12 per share of Class A and Class B Common Stock, to be paid on August 29, 2018, to all shareholders of record as of August 8, 2018.</w:t>
      </w:r>
    </w:p>
    <w:p>
      <w:pPr>
        <w:spacing w:after="0" w:line="181"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40"/>
          </w:cols>
          <w:pgMar w:left="240" w:top="118" w:right="619" w:bottom="1440" w:gutter="0" w:footer="0" w:header="0"/>
        </w:sectPr>
      </w:pPr>
    </w:p>
    <w:bookmarkStart w:id="13" w:name="page14"/>
    <w:bookmarkEnd w:id="13"/>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ind w:right="100" w:firstLine="648"/>
        <w:spacing w:after="0" w:line="267" w:lineRule="auto"/>
        <w:rPr>
          <w:sz w:val="20"/>
          <w:szCs w:val="20"/>
          <w:color w:val="auto"/>
        </w:rPr>
      </w:pPr>
      <w:r>
        <w:rPr>
          <w:rFonts w:ascii="Arial" w:cs="Arial" w:eastAsia="Arial" w:hAnsi="Arial"/>
          <w:sz w:val="17"/>
          <w:szCs w:val="17"/>
          <w:i w:val="1"/>
          <w:iCs w:val="1"/>
          <w:color w:val="auto"/>
        </w:rPr>
        <w:t>Certain statements contained in this Form 10-Q (or otherwise made by the Company or on the Company’s behalf from time to time in other reports, filings with the Securities and Exchange Commission (“SEC”), news releases, conferences, website postings or otherwise) that are not statements of historical fact constitute “forward-looking statements” within the meaning of the Private Securities Litigation Reform Act of 1995, Section 27A of the Securities Act of 1933, as amended (the “Securities Act”), and Section 21E of the Exchange Act of 1934, as amended (the “Exchange Act”), notwithstanding that such statements are not specifically identified. Forward-looking statements include statements about the Company’s financial position, business strategy and plans and objectives of management of the Company for future operations. These forward-looking statements reflect the best judgments of the Company about the future events and trends based on the beliefs of the Company’s management as well as assumptions made by and information currently available to the Company’s management. Use of the words “may,” “should,” “continue,” “plan,” “potential,” “anticipate,” “believe,” “estimate,” “expect” and “intend” and words or phrases of similar import, as they relate to the Company or its subsidiaries or Company management, are intended to identify forward-looking statements but are not the exclusive means of identifying such statements. Forward-looking statements reflect our current view of the Company with respect to future events and are subject to risks and uncertainties that could cause actual results to differ materially from those in such statements. Please read Item 1A. “Risk Factors” in the Company’s Annual Report on Form 10-K for the year ended December 31, 2017, for a discussion of certain of those risks. Other unknown or unpredictable factors could also have a material adverse effect on future results. Although the Company believes that its expectations are reasonable as of the date of this Form 10-Q, it can give no assurance that such expectations will prove to be correct. The Company does not intend to update or revise any forward-looking statements unless securities laws require it to do so, and the Company undertakes no obligation to publicly release any revisions to forward-looking statements, whether because of new information, future events or otherwise.</w:t>
      </w:r>
    </w:p>
    <w:p>
      <w:pPr>
        <w:spacing w:after="0" w:line="193" w:lineRule="exact"/>
        <w:rPr>
          <w:sz w:val="20"/>
          <w:szCs w:val="20"/>
          <w:color w:val="auto"/>
        </w:rPr>
      </w:pPr>
    </w:p>
    <w:p>
      <w:pPr>
        <w:jc w:val="both"/>
        <w:ind w:right="100" w:firstLine="648"/>
        <w:spacing w:after="0" w:line="277" w:lineRule="auto"/>
        <w:rPr>
          <w:sz w:val="20"/>
          <w:szCs w:val="20"/>
          <w:color w:val="auto"/>
        </w:rPr>
      </w:pPr>
      <w:r>
        <w:rPr>
          <w:rFonts w:ascii="Arial" w:cs="Arial" w:eastAsia="Arial" w:hAnsi="Arial"/>
          <w:sz w:val="18"/>
          <w:szCs w:val="18"/>
          <w:color w:val="auto"/>
        </w:rPr>
        <w:t>The following comments should be read in conjunction with the Company’s consolidated financial statements and related notes included elsewhere in this Quarterly Report on Form 10-Q.</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Regarding Trademarks Commonly Used in the Company’s Filings</w:t>
      </w:r>
    </w:p>
    <w:p>
      <w:pPr>
        <w:spacing w:after="0" w:line="233" w:lineRule="exact"/>
        <w:rPr>
          <w:sz w:val="20"/>
          <w:szCs w:val="20"/>
          <w:color w:val="auto"/>
        </w:rPr>
      </w:pPr>
    </w:p>
    <w:p>
      <w:pPr>
        <w:jc w:val="both"/>
        <w:ind w:firstLine="648"/>
        <w:spacing w:after="0" w:line="211" w:lineRule="auto"/>
        <w:rPr>
          <w:sz w:val="20"/>
          <w:szCs w:val="20"/>
          <w:color w:val="auto"/>
        </w:rPr>
      </w:pPr>
      <w:r>
        <w:rPr>
          <w:rFonts w:ascii="Arial" w:cs="Arial" w:eastAsia="Arial" w:hAnsi="Arial"/>
          <w:sz w:val="17"/>
          <w:szCs w:val="17"/>
          <w:i w:val="1"/>
          <w:iCs w:val="1"/>
          <w:color w:val="auto"/>
        </w:rPr>
        <w:t>Peterbilt</w:t>
      </w:r>
      <w:r>
        <w:rPr>
          <w:rFonts w:ascii="Arial" w:cs="Arial" w:eastAsia="Arial" w:hAnsi="Arial"/>
          <w:sz w:val="28"/>
          <w:szCs w:val="28"/>
          <w:i w:val="1"/>
          <w:iCs w:val="1"/>
          <w:color w:val="auto"/>
          <w:vertAlign w:val="superscript"/>
        </w:rPr>
        <w:t>®</w:t>
      </w:r>
      <w:r>
        <w:rPr>
          <w:rFonts w:ascii="Arial" w:cs="Arial" w:eastAsia="Arial" w:hAnsi="Arial"/>
          <w:sz w:val="17"/>
          <w:szCs w:val="17"/>
          <w:i w:val="1"/>
          <w:iCs w:val="1"/>
          <w:color w:val="auto"/>
        </w:rPr>
        <w:t xml:space="preserve"> is a registered trademark of Peterbilt Motors Company. PACCAR</w:t>
      </w:r>
      <w:r>
        <w:rPr>
          <w:rFonts w:ascii="Arial" w:cs="Arial" w:eastAsia="Arial" w:hAnsi="Arial"/>
          <w:sz w:val="28"/>
          <w:szCs w:val="28"/>
          <w:i w:val="1"/>
          <w:iCs w:val="1"/>
          <w:color w:val="auto"/>
          <w:vertAlign w:val="superscript"/>
        </w:rPr>
        <w:t>®</w:t>
      </w:r>
      <w:r>
        <w:rPr>
          <w:rFonts w:ascii="Arial" w:cs="Arial" w:eastAsia="Arial" w:hAnsi="Arial"/>
          <w:sz w:val="17"/>
          <w:szCs w:val="17"/>
          <w:i w:val="1"/>
          <w:iCs w:val="1"/>
          <w:color w:val="auto"/>
        </w:rPr>
        <w:t xml:space="preserve"> is a registered trademark of PACCAR, Inc. PacLease</w:t>
      </w:r>
      <w:r>
        <w:rPr>
          <w:rFonts w:ascii="Arial" w:cs="Arial" w:eastAsia="Arial" w:hAnsi="Arial"/>
          <w:sz w:val="28"/>
          <w:szCs w:val="28"/>
          <w:i w:val="1"/>
          <w:iCs w:val="1"/>
          <w:color w:val="auto"/>
          <w:vertAlign w:val="superscript"/>
        </w:rPr>
        <w:t>®</w:t>
      </w:r>
      <w:r>
        <w:rPr>
          <w:rFonts w:ascii="Arial" w:cs="Arial" w:eastAsia="Arial" w:hAnsi="Arial"/>
          <w:sz w:val="17"/>
          <w:szCs w:val="17"/>
          <w:i w:val="1"/>
          <w:iCs w:val="1"/>
          <w:color w:val="auto"/>
        </w:rPr>
        <w:t xml:space="preserve"> is a registered trademark of PACCAR Leasing Corporation. Navistar</w:t>
      </w:r>
      <w:r>
        <w:rPr>
          <w:rFonts w:ascii="Arial" w:cs="Arial" w:eastAsia="Arial" w:hAnsi="Arial"/>
          <w:sz w:val="28"/>
          <w:szCs w:val="28"/>
          <w:i w:val="1"/>
          <w:iCs w:val="1"/>
          <w:color w:val="auto"/>
          <w:vertAlign w:val="superscript"/>
        </w:rPr>
        <w:t>®</w:t>
      </w:r>
      <w:r>
        <w:rPr>
          <w:rFonts w:ascii="Arial" w:cs="Arial" w:eastAsia="Arial" w:hAnsi="Arial"/>
          <w:sz w:val="17"/>
          <w:szCs w:val="17"/>
          <w:i w:val="1"/>
          <w:iCs w:val="1"/>
          <w:color w:val="auto"/>
        </w:rPr>
        <w:t xml:space="preserve"> is a registered trademark of Navistar International Corporation. International</w:t>
      </w:r>
      <w:r>
        <w:rPr>
          <w:rFonts w:ascii="Arial" w:cs="Arial" w:eastAsia="Arial" w:hAnsi="Arial"/>
          <w:sz w:val="28"/>
          <w:szCs w:val="28"/>
          <w:i w:val="1"/>
          <w:iCs w:val="1"/>
          <w:color w:val="auto"/>
          <w:vertAlign w:val="superscript"/>
        </w:rPr>
        <w:t>®</w:t>
      </w:r>
      <w:r>
        <w:rPr>
          <w:rFonts w:ascii="Arial" w:cs="Arial" w:eastAsia="Arial" w:hAnsi="Arial"/>
          <w:sz w:val="17"/>
          <w:szCs w:val="17"/>
          <w:i w:val="1"/>
          <w:iCs w:val="1"/>
          <w:color w:val="auto"/>
        </w:rPr>
        <w:t xml:space="preserve"> is a registered trademark of Navistar International Transportation Corp. Idealease is a registered trademark of Idealease, Inc. aka Idealease of North</w:t>
      </w:r>
    </w:p>
    <w:p>
      <w:pPr>
        <w:spacing w:after="0" w:line="2" w:lineRule="exact"/>
        <w:rPr>
          <w:sz w:val="20"/>
          <w:szCs w:val="20"/>
          <w:color w:val="auto"/>
        </w:rPr>
      </w:pPr>
    </w:p>
    <w:p>
      <w:pPr>
        <w:jc w:val="both"/>
        <w:spacing w:after="0" w:line="206" w:lineRule="auto"/>
        <w:rPr>
          <w:sz w:val="20"/>
          <w:szCs w:val="20"/>
          <w:color w:val="auto"/>
        </w:rPr>
      </w:pPr>
      <w:r>
        <w:rPr>
          <w:rFonts w:ascii="Arial" w:cs="Arial" w:eastAsia="Arial" w:hAnsi="Arial"/>
          <w:sz w:val="16"/>
          <w:szCs w:val="16"/>
          <w:i w:val="1"/>
          <w:iCs w:val="1"/>
          <w:color w:val="auto"/>
        </w:rPr>
        <w:t>America, Inc. Blue Bird</w:t>
      </w:r>
      <w:r>
        <w:rPr>
          <w:rFonts w:ascii="Arial" w:cs="Arial" w:eastAsia="Arial" w:hAnsi="Arial"/>
          <w:sz w:val="26"/>
          <w:szCs w:val="26"/>
          <w:i w:val="1"/>
          <w:iCs w:val="1"/>
          <w:color w:val="auto"/>
          <w:vertAlign w:val="superscript"/>
        </w:rPr>
        <w:t>®</w:t>
      </w:r>
      <w:r>
        <w:rPr>
          <w:rFonts w:ascii="Arial" w:cs="Arial" w:eastAsia="Arial" w:hAnsi="Arial"/>
          <w:sz w:val="16"/>
          <w:szCs w:val="16"/>
          <w:i w:val="1"/>
          <w:iCs w:val="1"/>
          <w:color w:val="auto"/>
        </w:rPr>
        <w:t xml:space="preserve"> is a registered trademark of Blue Bird Investment Corporation. IC Bus</w:t>
      </w:r>
      <w:r>
        <w:rPr>
          <w:rFonts w:ascii="Arial" w:cs="Arial" w:eastAsia="Arial" w:hAnsi="Arial"/>
          <w:sz w:val="26"/>
          <w:szCs w:val="26"/>
          <w:i w:val="1"/>
          <w:iCs w:val="1"/>
          <w:color w:val="auto"/>
          <w:vertAlign w:val="superscript"/>
        </w:rPr>
        <w:t>®</w:t>
      </w:r>
      <w:r>
        <w:rPr>
          <w:rFonts w:ascii="Arial" w:cs="Arial" w:eastAsia="Arial" w:hAnsi="Arial"/>
          <w:sz w:val="16"/>
          <w:szCs w:val="16"/>
          <w:i w:val="1"/>
          <w:iCs w:val="1"/>
          <w:color w:val="auto"/>
        </w:rPr>
        <w:t xml:space="preserve"> is a registered trademark of IC Bus, LLC. Fuso</w:t>
      </w:r>
      <w:r>
        <w:rPr>
          <w:rFonts w:ascii="Arial" w:cs="Arial" w:eastAsia="Arial" w:hAnsi="Arial"/>
          <w:sz w:val="26"/>
          <w:szCs w:val="26"/>
          <w:i w:val="1"/>
          <w:iCs w:val="1"/>
          <w:color w:val="auto"/>
          <w:vertAlign w:val="superscript"/>
        </w:rPr>
        <w:t>®</w:t>
      </w:r>
      <w:r>
        <w:rPr>
          <w:rFonts w:ascii="Arial" w:cs="Arial" w:eastAsia="Arial" w:hAnsi="Arial"/>
          <w:sz w:val="16"/>
          <w:szCs w:val="16"/>
          <w:i w:val="1"/>
          <w:iCs w:val="1"/>
          <w:color w:val="auto"/>
        </w:rPr>
        <w:t xml:space="preserve"> is a registered trademark of Mitsubishi Fuso Truck and Bus Corporation. Hino</w:t>
      </w:r>
      <w:r>
        <w:rPr>
          <w:rFonts w:ascii="Arial" w:cs="Arial" w:eastAsia="Arial" w:hAnsi="Arial"/>
          <w:sz w:val="26"/>
          <w:szCs w:val="26"/>
          <w:i w:val="1"/>
          <w:iCs w:val="1"/>
          <w:color w:val="auto"/>
          <w:vertAlign w:val="superscript"/>
        </w:rPr>
        <w:t>®</w:t>
      </w:r>
      <w:r>
        <w:rPr>
          <w:rFonts w:ascii="Arial" w:cs="Arial" w:eastAsia="Arial" w:hAnsi="Arial"/>
          <w:sz w:val="16"/>
          <w:szCs w:val="16"/>
          <w:i w:val="1"/>
          <w:iCs w:val="1"/>
          <w:color w:val="auto"/>
        </w:rPr>
        <w:t xml:space="preserve"> is a registered trademark of Hino Motors, Ltd. Isuzu</w:t>
      </w:r>
      <w:r>
        <w:rPr>
          <w:rFonts w:ascii="Arial" w:cs="Arial" w:eastAsia="Arial" w:hAnsi="Arial"/>
          <w:sz w:val="26"/>
          <w:szCs w:val="26"/>
          <w:i w:val="1"/>
          <w:iCs w:val="1"/>
          <w:color w:val="auto"/>
          <w:vertAlign w:val="superscript"/>
        </w:rPr>
        <w:t>®</w:t>
      </w:r>
      <w:r>
        <w:rPr>
          <w:rFonts w:ascii="Arial" w:cs="Arial" w:eastAsia="Arial" w:hAnsi="Arial"/>
          <w:sz w:val="16"/>
          <w:szCs w:val="16"/>
          <w:i w:val="1"/>
          <w:iCs w:val="1"/>
          <w:color w:val="auto"/>
        </w:rPr>
        <w:t xml:space="preserve"> is a registered trademark of Isuzu Motors Limited. Ford Motor Credit Company</w:t>
      </w:r>
      <w:r>
        <w:rPr>
          <w:rFonts w:ascii="Arial" w:cs="Arial" w:eastAsia="Arial" w:hAnsi="Arial"/>
          <w:sz w:val="26"/>
          <w:szCs w:val="26"/>
          <w:i w:val="1"/>
          <w:iCs w:val="1"/>
          <w:color w:val="auto"/>
          <w:vertAlign w:val="superscript"/>
        </w:rPr>
        <w:t>®</w:t>
      </w:r>
      <w:r>
        <w:rPr>
          <w:rFonts w:ascii="Arial" w:cs="Arial" w:eastAsia="Arial" w:hAnsi="Arial"/>
          <w:sz w:val="16"/>
          <w:szCs w:val="16"/>
          <w:i w:val="1"/>
          <w:iCs w:val="1"/>
          <w:color w:val="auto"/>
        </w:rPr>
        <w:t xml:space="preserve"> is a registered trademark of Ford Motor Company. Ford</w:t>
      </w:r>
      <w:r>
        <w:rPr>
          <w:rFonts w:ascii="Arial" w:cs="Arial" w:eastAsia="Arial" w:hAnsi="Arial"/>
          <w:sz w:val="26"/>
          <w:szCs w:val="26"/>
          <w:i w:val="1"/>
          <w:iCs w:val="1"/>
          <w:color w:val="auto"/>
          <w:vertAlign w:val="superscript"/>
        </w:rPr>
        <w:t>®</w:t>
      </w:r>
      <w:r>
        <w:rPr>
          <w:rFonts w:ascii="Arial" w:cs="Arial" w:eastAsia="Arial" w:hAnsi="Arial"/>
          <w:sz w:val="16"/>
          <w:szCs w:val="16"/>
          <w:i w:val="1"/>
          <w:iCs w:val="1"/>
          <w:color w:val="auto"/>
        </w:rPr>
        <w:t xml:space="preserve"> is a registered trademark of</w:t>
      </w:r>
    </w:p>
    <w:p>
      <w:pPr>
        <w:spacing w:after="0" w:line="1" w:lineRule="exact"/>
        <w:rPr>
          <w:sz w:val="20"/>
          <w:szCs w:val="20"/>
          <w:color w:val="auto"/>
        </w:rPr>
      </w:pPr>
    </w:p>
    <w:p>
      <w:pPr>
        <w:jc w:val="both"/>
        <w:spacing w:after="0" w:line="218" w:lineRule="auto"/>
        <w:rPr>
          <w:sz w:val="20"/>
          <w:szCs w:val="20"/>
          <w:color w:val="auto"/>
        </w:rPr>
      </w:pPr>
      <w:r>
        <w:rPr>
          <w:rFonts w:ascii="Arial" w:cs="Arial" w:eastAsia="Arial" w:hAnsi="Arial"/>
          <w:sz w:val="17"/>
          <w:szCs w:val="17"/>
          <w:i w:val="1"/>
          <w:iCs w:val="1"/>
          <w:color w:val="auto"/>
        </w:rPr>
        <w:t>Ford Motor Company. SAP</w:t>
      </w:r>
      <w:r>
        <w:rPr>
          <w:rFonts w:ascii="Arial" w:cs="Arial" w:eastAsia="Arial" w:hAnsi="Arial"/>
          <w:sz w:val="28"/>
          <w:szCs w:val="28"/>
          <w:i w:val="1"/>
          <w:iCs w:val="1"/>
          <w:color w:val="auto"/>
          <w:vertAlign w:val="superscript"/>
        </w:rPr>
        <w:t>®</w:t>
      </w:r>
      <w:r>
        <w:rPr>
          <w:rFonts w:ascii="Arial" w:cs="Arial" w:eastAsia="Arial" w:hAnsi="Arial"/>
          <w:sz w:val="17"/>
          <w:szCs w:val="17"/>
          <w:i w:val="1"/>
          <w:iCs w:val="1"/>
          <w:color w:val="auto"/>
        </w:rPr>
        <w:t xml:space="preserve"> is a registered trademark of SAP Aktiengesellschaft. This report contains additional trade names or trademarks of other companies. Our use of such trade names or trademarks should not imply any endorsement or relationship with such companies.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right="60" w:firstLine="648"/>
        <w:spacing w:after="0" w:line="277" w:lineRule="auto"/>
        <w:rPr>
          <w:sz w:val="20"/>
          <w:szCs w:val="20"/>
          <w:color w:val="auto"/>
        </w:rPr>
      </w:pPr>
      <w:r>
        <w:rPr>
          <w:rFonts w:ascii="Arial" w:cs="Arial" w:eastAsia="Arial" w:hAnsi="Arial"/>
          <w:sz w:val="18"/>
          <w:szCs w:val="18"/>
          <w:color w:val="auto"/>
        </w:rPr>
        <w:t>Rush Enterprises, Inc. was incorporated in Texas in 1965 and consists of one reportable segment, the Truck Segment. We conduct business through our subsidiaries. Our principal offices are located at 555 IH 35 South, Suite 500, New Braunfels, Texas 78130.</w:t>
      </w:r>
    </w:p>
    <w:p>
      <w:pPr>
        <w:spacing w:after="0" w:line="170" w:lineRule="exact"/>
        <w:rPr>
          <w:sz w:val="20"/>
          <w:szCs w:val="20"/>
          <w:color w:val="auto"/>
        </w:rPr>
      </w:pPr>
    </w:p>
    <w:p>
      <w:pPr>
        <w:jc w:val="both"/>
        <w:ind w:right="60" w:firstLine="648"/>
        <w:spacing w:after="0" w:line="276" w:lineRule="auto"/>
        <w:rPr>
          <w:sz w:val="20"/>
          <w:szCs w:val="20"/>
          <w:color w:val="auto"/>
        </w:rPr>
      </w:pPr>
      <w:r>
        <w:rPr>
          <w:rFonts w:ascii="Arial" w:cs="Arial" w:eastAsia="Arial" w:hAnsi="Arial"/>
          <w:sz w:val="17"/>
          <w:szCs w:val="17"/>
          <w:color w:val="auto"/>
        </w:rPr>
        <w:t>We are a full-service, integrated retailer of commercial vehicles and related services. The Truck Segment includes our operation of a nationwide network of commercial vehicle dealerships under the name “Rush Truck Centers.” Rush Truck Centers primarily sell commercial vehicles manufactured by Peterbilt, International, Hino, Ford, Isuzu, Mitsubishi Fuso, IC Bus or Blue Bird. Through our strategically located network of Rush Truck Centers, we provide one-stop service for the needs of our commercial vehicle customers, including retail sales of new and used commercial vehicles, aftermarket parts sales, service and repair facilities, financing, leasing and rental and insurance products.</w:t>
      </w:r>
    </w:p>
    <w:p>
      <w:pPr>
        <w:spacing w:after="0" w:line="173" w:lineRule="exact"/>
        <w:rPr>
          <w:sz w:val="20"/>
          <w:szCs w:val="20"/>
          <w:color w:val="auto"/>
        </w:rPr>
      </w:pPr>
    </w:p>
    <w:p>
      <w:pPr>
        <w:jc w:val="both"/>
        <w:ind w:right="60" w:firstLine="648"/>
        <w:spacing w:after="0" w:line="277" w:lineRule="auto"/>
        <w:rPr>
          <w:sz w:val="20"/>
          <w:szCs w:val="20"/>
          <w:color w:val="auto"/>
        </w:rPr>
      </w:pPr>
      <w:r>
        <w:rPr>
          <w:rFonts w:ascii="Arial" w:cs="Arial" w:eastAsia="Arial" w:hAnsi="Arial"/>
          <w:sz w:val="18"/>
          <w:szCs w:val="18"/>
          <w:color w:val="auto"/>
        </w:rPr>
        <w:t>Our Rush Truck Centers are principally located in high traffic areas throughout the United States. Since commencing operations as a Peterbilt heavy-duty truck dealer in 1966, we have grown to operate over 100 Rush Truck Centers in 22 states.</w:t>
      </w:r>
    </w:p>
    <w:p>
      <w:pPr>
        <w:spacing w:after="0" w:line="170"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120"/>
          </w:cols>
          <w:pgMar w:left="240" w:top="118" w:right="539" w:bottom="1440" w:gutter="0" w:footer="0" w:header="0"/>
        </w:sectPr>
      </w:pPr>
    </w:p>
    <w:bookmarkStart w:id="14" w:name="page15"/>
    <w:bookmarkEnd w:id="14"/>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business strategy consists of providing solutions to the commercial vehicle industry through our nationwide network of commercial vehicle dealerships. We offer an integrated approach to meeting customer needs by providing service, parts and collision repair in addition to new and used commercial vehicle sales and leasing, plus financial services, vehicle upfitting, CNG fuel systems and vehicle telematics products. We intend to continue to implement our business strategy, reinforce customer loyalty and remain a market leader by continuing to develop our Rush Truck Centers as we expand our product offerings and extend our dealership network through strategic acquisitions of new locations and opening new dealerships to enable us to better serve our customers.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discussion and analysis of our financial condition and results of operations are based on our consolidated financial statements, which have been prepared in accordance with U.S. generally accepted accounting principles. The preparation of these consolidated financial statements requires us to make estimates and assumptions that affect the reported amounts of assets and liabilities at the date of the consolidated financial statements and the reported amounts of revenues and expenses during the reporting period. There can be no assurance that actual results will not differ from those estimates. We believe the following accounting policies affect our more significant judgments and estimates used in the preparation of our consolidated financial statements.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Inventories</w:t>
      </w:r>
    </w:p>
    <w:p>
      <w:pPr>
        <w:spacing w:after="0" w:line="22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Inventories are stated at the lower of cost or net realizable value. Cost is determined by specific identification of new and used commercial vehicle inventory and by the first-in, first-out method for tires, parts and accessories. As the market value of our inventory typically declines over time, reserves are established based on historical loss experience and market trends. These reserves are charged to cost of sales and reduce the carrying value of our inventory on hand. An allowance is provided when it is anticipated that cost will exceed net realizable value less a reasonable profit margin.</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Goodwill</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Goodwill is tested for impairment by reporting unit utilizing a two-step process at least annually, or more frequently when events or changes in circumstances indicate that the asset might be impaired. The first step requires us to compare the fair value of the reporting unit (we consider our Truck Segment to be a reporting unit for purposes of this analysis), which is the same as the segment, to the respective carrying value. If the fair value of the reporting unit exceeds its carrying value, the goodwill is not considered impaired. If the carrying value is greater than the fair value, there is an indication that impairment may exist and a second step is required. In the second step of the analysis, the implied fair value of the goodwill is calculated as the excess of the fair value of a reporting unit over the fair values assigned to its assets and liabilities. If the implied fair value of goodwill is less than the carrying value of the reporting unit’s goodwill, the difference is recognized as an impairment loss.</w:t>
      </w:r>
    </w:p>
    <w:p>
      <w:pPr>
        <w:spacing w:after="0" w:line="17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determine the fair value of our reporting unit using the discounted cash flow method. The discounted cash flow method uses various assumptions and estimates regarding revenue growth rates, future gross margins, future selling, general and administrative expenses and an estimated weighted average cost of capital. The analysis is based upon available information regarding expected future cash flows of each reporting unit discounted at rates consistent with the cost of capital specific to the reporting unit. This type of analysis contains uncertainties because it requires us to make assumptions and to apply judgment regarding our knowledge of our industry, information provided by industry analysts and our current business strategy in light of present industry and economic conditions. If any of these assumptions change, or fail to materialize, the resulting decline in our estimated fair value could result in a material impairment charge to the goodwill associated with the reporting unit.</w:t>
      </w:r>
    </w:p>
    <w:p>
      <w:pPr>
        <w:spacing w:after="0" w:line="16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do not believe there is a reasonable likelihood that there will be a material change in the future estimates or assumptions we used to test for impairment losses on goodwill. However, if actual results are not consistent with our estimates or assumptions, or certain events occur that might adversely affect the reported value of goodwill in the future, we may be exposed to an impairment charge that could be material.</w:t>
      </w:r>
    </w:p>
    <w:p>
      <w:pPr>
        <w:spacing w:after="0" w:line="16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Goodwill was tested for impairment during the fourth quarter of 2017 and no impairment was required. The fair value of our reporting unit exceeded the carrying value of its net assets. As a result, we were not required to conduct the second step of the impairment test. We do not believe our reporting unit is at risk of failing step one of the impairment test.</w:t>
      </w:r>
    </w:p>
    <w:p>
      <w:pPr>
        <w:spacing w:after="0" w:line="181"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60"/>
          </w:cols>
          <w:pgMar w:left="240" w:top="118" w:right="599" w:bottom="1440" w:gutter="0" w:footer="0" w:header="0"/>
        </w:sectPr>
      </w:pPr>
    </w:p>
    <w:bookmarkStart w:id="15" w:name="page16"/>
    <w:bookmarkEnd w:id="15"/>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Insurance Accruals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are partially self-insured for a portion of the claims related to our property and casualty insurance programs, which requires us to make estimates regarding expected losses to be incurred. We engage a third-party administrator to assess any open claims and we adjust our accrual accordingly on a periodic basis. We are also partially self-insured for a portion of the claims related to our workers’ compensation and medical insurance programs. We use actuarial information provided from third-party administrators to calculate an accrual for claims incurred, but not reported, and for the remaining portion of claims that have been reported.</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Changes in the frequency, severity and development of existing claims could influence our reserve for claims and financial position, results of operations and cash flows. We do not believe there is a reasonable likelihood that there will be a material change in the estimates or assumptions we used to calculate our self-insured liabilities. However, if actual results are not consistent with our estimates or assumptions, we may be exposed to losses or gains that could be material.</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Accounting for Income Taxes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Management’s judgment is required to determine the provisions for income taxes and to determine whether deferred tax assets will be realized in full or in part. Deferred income tax assets and liabilities are measured using enacted tax rates expected to apply to taxable income in the years in which those temporary differences are expected to be recovered or settled. When it is more likely than not that all or some portion of specific deferred income tax assets will not be realized, a valuation allowance must be established for the amount of deferred income tax assets that are determined not to be realizable. Accordingly, the facts and financial circumstances impacting deferred income tax assets are reviewed quarterly and management’s judgment is applied to determine the amount of valuation allowance required, if any, in any given period.</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income tax returns are periodically audited by tax authorities. These audits include questions regarding our tax filing positions, including the timing and amount of deductions. In evaluating the exposures associated with our various tax filing positions, we adjust our liability for unrecognized tax benefits and income tax provision in the period in which an uncertain tax position is effectively settled, the statute of limitations expires for the relevant taxing authority to examine the tax position or when more information becomes available.</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liability for unrecognized tax benefits contains uncertainties because management is required to make assumptions and to apply judgment to estimate the exposures associated with our various filing positions. Our effective income tax rate is also affected by changes in tax law, the level of earnings and the results of tax audits. Although we believe that the judgments and estimates are reasonable, actual results could differ, and we may be exposed to losses or gains that could be material. An unfavorable tax settlement would generally require use of our cash and result in an increase in our effective income tax rate in the period of resolution. A favorable tax settlement would be recognized as a reduction in our effective income tax rate in the period of resolution. Our income tax expense includes the impact of reserve provisions and changes to reserves that we consider appropriate, as well as related interest.</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jc w:val="both"/>
        <w:ind w:right="40" w:firstLine="648"/>
        <w:spacing w:after="0" w:line="286" w:lineRule="auto"/>
        <w:rPr>
          <w:sz w:val="20"/>
          <w:szCs w:val="20"/>
          <w:color w:val="auto"/>
        </w:rPr>
      </w:pPr>
      <w:r>
        <w:rPr>
          <w:rFonts w:ascii="Arial" w:cs="Arial" w:eastAsia="Arial" w:hAnsi="Arial"/>
          <w:sz w:val="16"/>
          <w:szCs w:val="16"/>
          <w:color w:val="auto"/>
        </w:rPr>
        <w:t>Effective January 1, 2018, we adopted ASU 2014-09,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using the modified retrospective transition method. Under this method, we will recognize the cumulative effect of initially applying this accounting standard at the date of initial application. This standard applies to all contracts with customers, except for contracts that are within the scope of other standards, such as leases, insurance, collaboration arrangements and financial instruments. Under Topic 606, we recognize revenue when our customer obtains control of promised goods or services, in an amount that reflects the consideration which we expect to receive in exchange for those goods or services. To determine revenue recognition for arrangements that we determine are within the scope of Topic 606, we perform the following five steps: (i) identify the contract with a customer; (ii) identify the performance obligations in the contract; (iii) determine the transaction price; (iv) allocate the transaction price to the performance obligations in the contract; and (v) recognize revenue when (or as) we satisfy a performance obligation. We only apply the five-step model to contracts when it is probable that we will collect the consideration we are entitled to in exchange for the goods or services we transfer to the customer. At contract inception, once the contract is determined to be within the scope of Topic 606, we assess the goods or services promised within each contract and determine those that are performance obligations. We then assess whether each promised good or service is distinct and recognize as revenue the amount of the transaction price that is allocated to the respective performance obligation when (or as) the performance obligation is satisfied. For a complete discussion of accounting for revenue, see Note 10 – Revenue of the Notes to Consolidated Financial Statements.</w:t>
      </w:r>
    </w:p>
    <w:p>
      <w:pPr>
        <w:spacing w:after="0" w:line="175"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60"/>
          </w:cols>
          <w:pgMar w:left="240" w:top="118" w:right="599" w:bottom="1440" w:gutter="0" w:footer="0" w:header="0"/>
        </w:sectPr>
      </w:pPr>
    </w:p>
    <w:bookmarkStart w:id="16" w:name="page17"/>
    <w:bookmarkEnd w:id="16"/>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The following discussion and analysis includes our historical results of operations for the three months and six months periods ended June 30, 2018 and 2017.</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p>
        </w:tc>
        <w:tc>
          <w:tcPr>
            <w:tcW w:w="6900" w:type="dxa"/>
            <w:vAlign w:val="bottom"/>
            <w:gridSpan w:val="4"/>
          </w:tcPr>
          <w:p>
            <w:pPr>
              <w:ind w:left="320"/>
              <w:spacing w:after="0"/>
              <w:rPr>
                <w:sz w:val="20"/>
                <w:szCs w:val="20"/>
                <w:color w:val="auto"/>
              </w:rPr>
            </w:pPr>
            <w:r>
              <w:rPr>
                <w:rFonts w:ascii="Arial" w:cs="Arial" w:eastAsia="Arial" w:hAnsi="Arial"/>
                <w:sz w:val="18"/>
                <w:szCs w:val="18"/>
                <w:color w:val="auto"/>
                <w:w w:val="96"/>
              </w:rPr>
              <w:t>The following table sets forth certain financial data as a percentage of total revenues:</w:t>
            </w: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34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2880" w:type="dxa"/>
            <w:vAlign w:val="bottom"/>
            <w:gridSpan w:val="5"/>
          </w:tcPr>
          <w:p>
            <w:pPr>
              <w:jc w:val="center"/>
              <w:ind w:right="280"/>
              <w:spacing w:after="0"/>
              <w:rPr>
                <w:sz w:val="20"/>
                <w:szCs w:val="20"/>
                <w:color w:val="auto"/>
              </w:rPr>
            </w:pPr>
            <w:r>
              <w:rPr>
                <w:rFonts w:ascii="Arial" w:cs="Arial" w:eastAsia="Arial" w:hAnsi="Arial"/>
                <w:sz w:val="18"/>
                <w:szCs w:val="18"/>
                <w:b w:val="1"/>
                <w:bCs w:val="1"/>
                <w:color w:val="auto"/>
                <w:w w:val="92"/>
              </w:rPr>
              <w:t>Three Months Ended</w:t>
            </w:r>
          </w:p>
        </w:tc>
        <w:tc>
          <w:tcPr>
            <w:tcW w:w="3040" w:type="dxa"/>
            <w:vAlign w:val="bottom"/>
            <w:gridSpan w:val="6"/>
          </w:tcPr>
          <w:p>
            <w:pPr>
              <w:jc w:val="center"/>
              <w:ind w:right="420"/>
              <w:spacing w:after="0"/>
              <w:rPr>
                <w:sz w:val="20"/>
                <w:szCs w:val="20"/>
                <w:color w:val="auto"/>
              </w:rPr>
            </w:pPr>
            <w:r>
              <w:rPr>
                <w:rFonts w:ascii="Arial" w:cs="Arial" w:eastAsia="Arial" w:hAnsi="Arial"/>
                <w:sz w:val="18"/>
                <w:szCs w:val="18"/>
                <w:b w:val="1"/>
                <w:bCs w:val="1"/>
                <w:color w:val="auto"/>
                <w:w w:val="90"/>
              </w:rPr>
              <w:t>Six Months Ended</w:t>
            </w: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1740" w:type="dxa"/>
            <w:vAlign w:val="bottom"/>
            <w:tcBorders>
              <w:bottom w:val="single" w:sz="8" w:color="auto"/>
            </w:tcBorders>
            <w:gridSpan w:val="3"/>
          </w:tcPr>
          <w:p>
            <w:pPr>
              <w:jc w:val="center"/>
              <w:ind w:left="770"/>
              <w:spacing w:after="0"/>
              <w:rPr>
                <w:sz w:val="20"/>
                <w:szCs w:val="20"/>
                <w:color w:val="auto"/>
              </w:rPr>
            </w:pPr>
            <w:r>
              <w:rPr>
                <w:rFonts w:ascii="Arial" w:cs="Arial" w:eastAsia="Arial" w:hAnsi="Arial"/>
                <w:sz w:val="18"/>
                <w:szCs w:val="18"/>
                <w:b w:val="1"/>
                <w:bCs w:val="1"/>
                <w:color w:val="auto"/>
                <w:w w:val="88"/>
              </w:rPr>
              <w:t>June 30,</w:t>
            </w:r>
          </w:p>
        </w:tc>
        <w:tc>
          <w:tcPr>
            <w:tcW w:w="88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740" w:type="dxa"/>
            <w:vAlign w:val="bottom"/>
            <w:tcBorders>
              <w:bottom w:val="single" w:sz="8" w:color="auto"/>
            </w:tcBorders>
            <w:gridSpan w:val="3"/>
          </w:tcPr>
          <w:p>
            <w:pPr>
              <w:jc w:val="center"/>
              <w:ind w:left="810"/>
              <w:spacing w:after="0"/>
              <w:rPr>
                <w:sz w:val="20"/>
                <w:szCs w:val="20"/>
                <w:color w:val="auto"/>
              </w:rPr>
            </w:pPr>
            <w:r>
              <w:rPr>
                <w:rFonts w:ascii="Arial" w:cs="Arial" w:eastAsia="Arial" w:hAnsi="Arial"/>
                <w:sz w:val="18"/>
                <w:szCs w:val="18"/>
                <w:b w:val="1"/>
                <w:bCs w:val="1"/>
                <w:color w:val="auto"/>
                <w:w w:val="88"/>
              </w:rPr>
              <w:t>June 30,</w:t>
            </w:r>
          </w:p>
        </w:tc>
        <w:tc>
          <w:tcPr>
            <w:tcW w:w="8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11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2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2017</w:t>
            </w:r>
          </w:p>
        </w:tc>
        <w:tc>
          <w:tcPr>
            <w:tcW w:w="260" w:type="dxa"/>
            <w:vAlign w:val="bottom"/>
          </w:tcPr>
          <w:p>
            <w:pPr>
              <w:spacing w:after="0"/>
              <w:rPr>
                <w:sz w:val="18"/>
                <w:szCs w:val="18"/>
                <w:color w:val="auto"/>
              </w:rPr>
            </w:pPr>
          </w:p>
        </w:tc>
        <w:tc>
          <w:tcPr>
            <w:tcW w:w="11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2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New and used commercial vehicle sales</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63.5%</w:t>
            </w:r>
          </w:p>
        </w:tc>
        <w:tc>
          <w:tcPr>
            <w:tcW w:w="3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64.5%</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63.0%</w:t>
            </w:r>
          </w:p>
        </w:tc>
        <w:tc>
          <w:tcPr>
            <w:tcW w:w="30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62.8%</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Aftermarket products and services sales</w:t>
            </w: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31.4</w:t>
            </w: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30.5</w:t>
            </w:r>
          </w:p>
        </w:tc>
        <w:tc>
          <w:tcPr>
            <w:tcW w:w="1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31.8</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31.9</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Lease and rental sales</w:t>
            </w: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4.4</w:t>
            </w:r>
          </w:p>
        </w:tc>
        <w:tc>
          <w:tcPr>
            <w:tcW w:w="30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4.4</w:t>
            </w: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4.5</w:t>
            </w:r>
          </w:p>
        </w:tc>
        <w:tc>
          <w:tcPr>
            <w:tcW w:w="3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4.6</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Finance and insurance</w:t>
            </w: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0.4</w:t>
            </w: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0.3</w:t>
            </w:r>
          </w:p>
        </w:tc>
        <w:tc>
          <w:tcPr>
            <w:tcW w:w="1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0.4</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0.4</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Other</w:t>
            </w: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0.3</w:t>
            </w:r>
          </w:p>
        </w:tc>
        <w:tc>
          <w:tcPr>
            <w:tcW w:w="30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0.3</w:t>
            </w: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0.3</w:t>
            </w:r>
          </w:p>
        </w:tc>
        <w:tc>
          <w:tcPr>
            <w:tcW w:w="3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0.3</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revenues</w:t>
            </w: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100.0</w:t>
            </w: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100.0</w:t>
            </w:r>
          </w:p>
        </w:tc>
        <w:tc>
          <w:tcPr>
            <w:tcW w:w="1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100.0</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100.0</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Cost of products sold</w:t>
            </w: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82.0</w:t>
            </w:r>
          </w:p>
        </w:tc>
        <w:tc>
          <w:tcPr>
            <w:tcW w:w="30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82.6</w:t>
            </w: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81.8</w:t>
            </w:r>
          </w:p>
        </w:tc>
        <w:tc>
          <w:tcPr>
            <w:tcW w:w="3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82.3</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18.0</w:t>
            </w: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17.4</w:t>
            </w:r>
          </w:p>
        </w:tc>
        <w:tc>
          <w:tcPr>
            <w:tcW w:w="1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18.2</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17.7</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13.2</w:t>
            </w:r>
          </w:p>
        </w:tc>
        <w:tc>
          <w:tcPr>
            <w:tcW w:w="30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13.3</w:t>
            </w: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13.6</w:t>
            </w:r>
          </w:p>
        </w:tc>
        <w:tc>
          <w:tcPr>
            <w:tcW w:w="3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13.8</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w:t>
            </w: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w:t>
            </w:r>
          </w:p>
        </w:tc>
        <w:tc>
          <w:tcPr>
            <w:tcW w:w="1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516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b w:val="1"/>
                <w:bCs w:val="1"/>
                <w:color w:val="auto"/>
              </w:rPr>
              <w:t>Operating income</w:t>
            </w: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3.2</w:t>
            </w:r>
          </w:p>
        </w:tc>
        <w:tc>
          <w:tcPr>
            <w:tcW w:w="30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3.1</w:t>
            </w: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2.9</w:t>
            </w:r>
          </w:p>
        </w:tc>
        <w:tc>
          <w:tcPr>
            <w:tcW w:w="3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2.8</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0.3</w:t>
            </w: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0.2</w:t>
            </w:r>
          </w:p>
        </w:tc>
        <w:tc>
          <w:tcPr>
            <w:tcW w:w="1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0.3</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516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2.9</w:t>
            </w:r>
          </w:p>
        </w:tc>
        <w:tc>
          <w:tcPr>
            <w:tcW w:w="30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2.9</w:t>
            </w: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2.6</w:t>
            </w:r>
          </w:p>
        </w:tc>
        <w:tc>
          <w:tcPr>
            <w:tcW w:w="3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2.5</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0.7</w:t>
            </w: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w:t>
            </w:r>
          </w:p>
        </w:tc>
        <w:tc>
          <w:tcPr>
            <w:tcW w:w="1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0.6</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0.9</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516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2.2%</w:t>
            </w:r>
          </w:p>
        </w:tc>
        <w:tc>
          <w:tcPr>
            <w:tcW w:w="3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1.8%</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2.0%</w:t>
            </w:r>
          </w:p>
        </w:tc>
        <w:tc>
          <w:tcPr>
            <w:tcW w:w="30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gridSpan w:val="2"/>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40" w:type="dxa"/>
            <w:vAlign w:val="bottom"/>
          </w:tcPr>
          <w:p>
            <w:pPr>
              <w:spacing w:after="0"/>
              <w:rPr>
                <w:sz w:val="24"/>
                <w:szCs w:val="24"/>
                <w:color w:val="auto"/>
              </w:rPr>
            </w:pPr>
          </w:p>
        </w:tc>
        <w:tc>
          <w:tcPr>
            <w:tcW w:w="8040" w:type="dxa"/>
            <w:vAlign w:val="bottom"/>
            <w:gridSpan w:val="6"/>
          </w:tcPr>
          <w:p>
            <w:pPr>
              <w:ind w:left="80"/>
              <w:spacing w:after="0"/>
              <w:rPr>
                <w:sz w:val="20"/>
                <w:szCs w:val="20"/>
                <w:color w:val="auto"/>
              </w:rPr>
            </w:pPr>
            <w:r>
              <w:rPr>
                <w:rFonts w:ascii="Arial" w:cs="Arial" w:eastAsia="Arial" w:hAnsi="Arial"/>
                <w:sz w:val="18"/>
                <w:szCs w:val="18"/>
                <w:color w:val="auto"/>
              </w:rPr>
              <w:t>The following table sets forth for the periods indicated the percent of gross profit by revenue source:</w:t>
            </w: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34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2880" w:type="dxa"/>
            <w:vAlign w:val="bottom"/>
            <w:gridSpan w:val="5"/>
          </w:tcPr>
          <w:p>
            <w:pPr>
              <w:jc w:val="center"/>
              <w:ind w:right="280"/>
              <w:spacing w:after="0"/>
              <w:rPr>
                <w:sz w:val="20"/>
                <w:szCs w:val="20"/>
                <w:color w:val="auto"/>
              </w:rPr>
            </w:pPr>
            <w:r>
              <w:rPr>
                <w:rFonts w:ascii="Arial" w:cs="Arial" w:eastAsia="Arial" w:hAnsi="Arial"/>
                <w:sz w:val="18"/>
                <w:szCs w:val="18"/>
                <w:b w:val="1"/>
                <w:bCs w:val="1"/>
                <w:color w:val="auto"/>
                <w:w w:val="92"/>
              </w:rPr>
              <w:t>Three Months Ended</w:t>
            </w:r>
          </w:p>
        </w:tc>
        <w:tc>
          <w:tcPr>
            <w:tcW w:w="3040" w:type="dxa"/>
            <w:vAlign w:val="bottom"/>
            <w:gridSpan w:val="6"/>
          </w:tcPr>
          <w:p>
            <w:pPr>
              <w:jc w:val="center"/>
              <w:ind w:right="420"/>
              <w:spacing w:after="0"/>
              <w:rPr>
                <w:sz w:val="20"/>
                <w:szCs w:val="20"/>
                <w:color w:val="auto"/>
              </w:rPr>
            </w:pPr>
            <w:r>
              <w:rPr>
                <w:rFonts w:ascii="Arial" w:cs="Arial" w:eastAsia="Arial" w:hAnsi="Arial"/>
                <w:sz w:val="18"/>
                <w:szCs w:val="18"/>
                <w:b w:val="1"/>
                <w:bCs w:val="1"/>
                <w:color w:val="auto"/>
                <w:w w:val="90"/>
              </w:rPr>
              <w:t>Six Months Ended</w:t>
            </w: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1740" w:type="dxa"/>
            <w:vAlign w:val="bottom"/>
            <w:tcBorders>
              <w:bottom w:val="single" w:sz="8" w:color="auto"/>
            </w:tcBorders>
            <w:gridSpan w:val="3"/>
          </w:tcPr>
          <w:p>
            <w:pPr>
              <w:jc w:val="center"/>
              <w:ind w:left="770"/>
              <w:spacing w:after="0"/>
              <w:rPr>
                <w:sz w:val="20"/>
                <w:szCs w:val="20"/>
                <w:color w:val="auto"/>
              </w:rPr>
            </w:pPr>
            <w:r>
              <w:rPr>
                <w:rFonts w:ascii="Arial" w:cs="Arial" w:eastAsia="Arial" w:hAnsi="Arial"/>
                <w:sz w:val="18"/>
                <w:szCs w:val="18"/>
                <w:b w:val="1"/>
                <w:bCs w:val="1"/>
                <w:color w:val="auto"/>
                <w:w w:val="88"/>
              </w:rPr>
              <w:t>June 30,</w:t>
            </w:r>
          </w:p>
        </w:tc>
        <w:tc>
          <w:tcPr>
            <w:tcW w:w="88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740" w:type="dxa"/>
            <w:vAlign w:val="bottom"/>
            <w:tcBorders>
              <w:bottom w:val="single" w:sz="8" w:color="auto"/>
            </w:tcBorders>
            <w:gridSpan w:val="3"/>
          </w:tcPr>
          <w:p>
            <w:pPr>
              <w:jc w:val="center"/>
              <w:ind w:left="810"/>
              <w:spacing w:after="0"/>
              <w:rPr>
                <w:sz w:val="20"/>
                <w:szCs w:val="20"/>
                <w:color w:val="auto"/>
              </w:rPr>
            </w:pPr>
            <w:r>
              <w:rPr>
                <w:rFonts w:ascii="Arial" w:cs="Arial" w:eastAsia="Arial" w:hAnsi="Arial"/>
                <w:sz w:val="18"/>
                <w:szCs w:val="18"/>
                <w:b w:val="1"/>
                <w:bCs w:val="1"/>
                <w:color w:val="auto"/>
                <w:w w:val="88"/>
              </w:rPr>
              <w:t>June 30,</w:t>
            </w:r>
          </w:p>
        </w:tc>
        <w:tc>
          <w:tcPr>
            <w:tcW w:w="8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11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2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2017</w:t>
            </w:r>
          </w:p>
        </w:tc>
        <w:tc>
          <w:tcPr>
            <w:tcW w:w="260" w:type="dxa"/>
            <w:vAlign w:val="bottom"/>
          </w:tcPr>
          <w:p>
            <w:pPr>
              <w:spacing w:after="0"/>
              <w:rPr>
                <w:sz w:val="18"/>
                <w:szCs w:val="18"/>
                <w:color w:val="auto"/>
              </w:rPr>
            </w:pPr>
          </w:p>
        </w:tc>
        <w:tc>
          <w:tcPr>
            <w:tcW w:w="11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2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New and used commercial vehicle sales</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26.9%</w:t>
            </w:r>
          </w:p>
        </w:tc>
        <w:tc>
          <w:tcPr>
            <w:tcW w:w="3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27.6%</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27.1%</w:t>
            </w:r>
          </w:p>
        </w:tc>
        <w:tc>
          <w:tcPr>
            <w:tcW w:w="30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26.6%</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Aftermarket products and services sales</w:t>
            </w: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64.8</w:t>
            </w: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64.4</w:t>
            </w:r>
          </w:p>
        </w:tc>
        <w:tc>
          <w:tcPr>
            <w:tcW w:w="1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64.6</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65.6</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Lease and rental sales</w:t>
            </w: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4.2</w:t>
            </w:r>
          </w:p>
        </w:tc>
        <w:tc>
          <w:tcPr>
            <w:tcW w:w="30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4.2</w:t>
            </w: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4.1</w:t>
            </w:r>
          </w:p>
        </w:tc>
        <w:tc>
          <w:tcPr>
            <w:tcW w:w="3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4.0</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Finance and insurance</w:t>
            </w: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w:t>
            </w: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w:t>
            </w:r>
          </w:p>
        </w:tc>
        <w:tc>
          <w:tcPr>
            <w:tcW w:w="1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Other</w:t>
            </w: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1.8</w:t>
            </w:r>
          </w:p>
        </w:tc>
        <w:tc>
          <w:tcPr>
            <w:tcW w:w="30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1.7</w:t>
            </w: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2.0</w:t>
            </w:r>
          </w:p>
        </w:tc>
        <w:tc>
          <w:tcPr>
            <w:tcW w:w="3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1.7</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Total gross profit</w:t>
            </w: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340" w:type="dxa"/>
            <w:vAlign w:val="bottom"/>
          </w:tcPr>
          <w:p>
            <w:pPr>
              <w:spacing w:after="0"/>
              <w:rPr>
                <w:sz w:val="24"/>
                <w:szCs w:val="24"/>
                <w:color w:val="auto"/>
              </w:rPr>
            </w:pPr>
          </w:p>
        </w:tc>
        <w:tc>
          <w:tcPr>
            <w:tcW w:w="5160" w:type="dxa"/>
            <w:vAlign w:val="bottom"/>
            <w:tcBorders>
              <w:top w:val="single" w:sz="8" w:color="CCEEFF"/>
            </w:tcBorders>
          </w:tcPr>
          <w:p>
            <w:pPr>
              <w:spacing w:after="0"/>
              <w:rPr>
                <w:sz w:val="24"/>
                <w:szCs w:val="24"/>
                <w:color w:val="auto"/>
              </w:rPr>
            </w:pPr>
          </w:p>
        </w:tc>
        <w:tc>
          <w:tcPr>
            <w:tcW w:w="1160" w:type="dxa"/>
            <w:vAlign w:val="bottom"/>
            <w:tcBorders>
              <w:top w:val="single" w:sz="8" w:color="auto"/>
            </w:tcBorders>
          </w:tcPr>
          <w:p>
            <w:pPr>
              <w:jc w:val="right"/>
              <w:ind w:right="770"/>
              <w:spacing w:after="0"/>
              <w:rPr>
                <w:sz w:val="20"/>
                <w:szCs w:val="20"/>
                <w:color w:val="auto"/>
              </w:rPr>
            </w:pPr>
            <w:r>
              <w:rPr>
                <w:rFonts w:ascii="Arial" w:cs="Arial" w:eastAsia="Arial" w:hAnsi="Arial"/>
                <w:sz w:val="18"/>
                <w:szCs w:val="18"/>
                <w:color w:val="auto"/>
              </w:rPr>
              <w:t>17</w:t>
            </w:r>
          </w:p>
        </w:tc>
        <w:tc>
          <w:tcPr>
            <w:tcW w:w="280" w:type="dxa"/>
            <w:vAlign w:val="bottom"/>
            <w:tcBorders>
              <w:top w:val="single" w:sz="8" w:color="CCEEFF"/>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40" w:type="dxa"/>
            <w:vAlign w:val="bottom"/>
            <w:tcBorders>
              <w:bottom w:val="single" w:sz="8" w:color="auto"/>
            </w:tcBorders>
          </w:tcPr>
          <w:p>
            <w:pPr>
              <w:spacing w:after="0"/>
              <w:rPr>
                <w:sz w:val="10"/>
                <w:szCs w:val="10"/>
                <w:color w:val="auto"/>
              </w:rPr>
            </w:pPr>
          </w:p>
        </w:tc>
        <w:tc>
          <w:tcPr>
            <w:tcW w:w="516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17" w:name="page18"/>
    <w:bookmarkEnd w:id="17"/>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following table sets forth the unit sales and revenues for new heavy-duty, new medium-duty, new light-duty and used commercial vehicles and the absorption ratio (revenues in millions):</w:t>
      </w:r>
    </w:p>
    <w:p>
      <w:pPr>
        <w:spacing w:after="0" w:line="166"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2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20" w:type="dxa"/>
            <w:vAlign w:val="bottom"/>
            <w:gridSpan w:val="7"/>
          </w:tcPr>
          <w:p>
            <w:pPr>
              <w:jc w:val="center"/>
              <w:ind w:left="570"/>
              <w:spacing w:after="0"/>
              <w:rPr>
                <w:sz w:val="20"/>
                <w:szCs w:val="20"/>
                <w:color w:val="auto"/>
              </w:rPr>
            </w:pPr>
            <w:r>
              <w:rPr>
                <w:rFonts w:ascii="Arial" w:cs="Arial" w:eastAsia="Arial" w:hAnsi="Arial"/>
                <w:sz w:val="18"/>
                <w:szCs w:val="18"/>
                <w:b w:val="1"/>
                <w:bCs w:val="1"/>
                <w:color w:val="auto"/>
                <w:w w:val="92"/>
              </w:rPr>
              <w:t>Three Months Ended</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00" w:type="dxa"/>
            <w:vAlign w:val="bottom"/>
            <w:gridSpan w:val="4"/>
          </w:tcPr>
          <w:p>
            <w:pPr>
              <w:jc w:val="center"/>
              <w:spacing w:after="0"/>
              <w:rPr>
                <w:sz w:val="20"/>
                <w:szCs w:val="20"/>
                <w:color w:val="auto"/>
              </w:rPr>
            </w:pPr>
            <w:r>
              <w:rPr>
                <w:rFonts w:ascii="Arial" w:cs="Arial" w:eastAsia="Arial" w:hAnsi="Arial"/>
                <w:sz w:val="18"/>
                <w:szCs w:val="18"/>
                <w:b w:val="1"/>
                <w:bCs w:val="1"/>
                <w:color w:val="auto"/>
                <w:w w:val="90"/>
              </w:rPr>
              <w:t>Six Months Ended</w:t>
            </w: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4"/>
        </w:trPr>
        <w:tc>
          <w:tcPr>
            <w:tcW w:w="28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3"/>
          </w:tcPr>
          <w:p>
            <w:pPr>
              <w:jc w:val="center"/>
              <w:ind w:right="520"/>
              <w:spacing w:after="0"/>
              <w:rPr>
                <w:sz w:val="20"/>
                <w:szCs w:val="20"/>
                <w:color w:val="auto"/>
              </w:rPr>
            </w:pPr>
            <w:r>
              <w:rPr>
                <w:rFonts w:ascii="Arial" w:cs="Arial" w:eastAsia="Arial" w:hAnsi="Arial"/>
                <w:sz w:val="18"/>
                <w:szCs w:val="18"/>
                <w:b w:val="1"/>
                <w:bCs w:val="1"/>
                <w:color w:val="auto"/>
                <w:w w:val="88"/>
              </w:rPr>
              <w:t>June 30,</w:t>
            </w:r>
          </w:p>
        </w:tc>
        <w:tc>
          <w:tcPr>
            <w:tcW w:w="88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8"/>
                <w:szCs w:val="18"/>
                <w:b w:val="1"/>
                <w:bCs w:val="1"/>
                <w:color w:val="auto"/>
                <w:w w:val="88"/>
              </w:rPr>
              <w:t>June 30,</w:t>
            </w:r>
          </w:p>
        </w:tc>
        <w:tc>
          <w:tcPr>
            <w:tcW w:w="10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191"/>
        </w:trPr>
        <w:tc>
          <w:tcPr>
            <w:tcW w:w="2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ind w:right="330"/>
              <w:spacing w:after="0" w:line="191" w:lineRule="exact"/>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right"/>
              <w:ind w:right="330"/>
              <w:spacing w:after="0" w:line="191" w:lineRule="exact"/>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6"/>
                <w:szCs w:val="16"/>
                <w:color w:val="auto"/>
              </w:rPr>
            </w:pPr>
          </w:p>
        </w:tc>
      </w:tr>
      <w:tr>
        <w:trPr>
          <w:trHeight w:val="234"/>
        </w:trPr>
        <w:tc>
          <w:tcPr>
            <w:tcW w:w="2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ind w:right="230"/>
              <w:spacing w:after="0"/>
              <w:rPr>
                <w:sz w:val="20"/>
                <w:szCs w:val="20"/>
                <w:color w:val="auto"/>
              </w:rPr>
            </w:pPr>
            <w:r>
              <w:rPr>
                <w:rFonts w:ascii="Arial" w:cs="Arial" w:eastAsia="Arial" w:hAnsi="Arial"/>
                <w:sz w:val="18"/>
                <w:szCs w:val="18"/>
                <w:b w:val="1"/>
                <w:bCs w:val="1"/>
                <w:color w:val="auto"/>
              </w:rPr>
              <w:t>2018</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2017</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Change</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230"/>
              <w:spacing w:after="0"/>
              <w:rPr>
                <w:sz w:val="20"/>
                <w:szCs w:val="20"/>
                <w:color w:val="auto"/>
              </w:rPr>
            </w:pPr>
            <w:r>
              <w:rPr>
                <w:rFonts w:ascii="Arial" w:cs="Arial" w:eastAsia="Arial" w:hAnsi="Arial"/>
                <w:sz w:val="18"/>
                <w:szCs w:val="18"/>
                <w:b w:val="1"/>
                <w:bCs w:val="1"/>
                <w:color w:val="auto"/>
              </w:rPr>
              <w:t>2018</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2017</w:t>
            </w:r>
          </w:p>
        </w:tc>
        <w:tc>
          <w:tcPr>
            <w:tcW w:w="260" w:type="dxa"/>
            <w:vAlign w:val="bottom"/>
          </w:tcPr>
          <w:p>
            <w:pPr>
              <w:spacing w:after="0"/>
              <w:rPr>
                <w:sz w:val="20"/>
                <w:szCs w:val="20"/>
                <w:color w:val="auto"/>
              </w:rPr>
            </w:pPr>
          </w:p>
        </w:tc>
        <w:tc>
          <w:tcPr>
            <w:tcW w:w="11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Change</w:t>
            </w:r>
          </w:p>
        </w:tc>
      </w:tr>
      <w:tr>
        <w:trPr>
          <w:trHeight w:val="210"/>
        </w:trPr>
        <w:tc>
          <w:tcPr>
            <w:tcW w:w="2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Vehicle unit sales:</w:t>
            </w:r>
          </w:p>
        </w:tc>
        <w:tc>
          <w:tcPr>
            <w:tcW w:w="2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840" w:type="dxa"/>
            <w:vAlign w:val="bottom"/>
          </w:tcPr>
          <w:p>
            <w:pPr>
              <w:spacing w:after="0"/>
              <w:rPr>
                <w:sz w:val="20"/>
                <w:szCs w:val="20"/>
                <w:color w:val="auto"/>
              </w:rPr>
            </w:pPr>
            <w:r>
              <w:rPr>
                <w:rFonts w:ascii="Arial" w:cs="Arial" w:eastAsia="Arial" w:hAnsi="Arial"/>
                <w:sz w:val="18"/>
                <w:szCs w:val="18"/>
                <w:color w:val="auto"/>
              </w:rPr>
              <w:t>New heavy-duty vehicles</w:t>
            </w:r>
          </w:p>
        </w:tc>
        <w:tc>
          <w:tcPr>
            <w:tcW w:w="2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3,218</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3,352</w:t>
            </w:r>
          </w:p>
        </w:tc>
        <w:tc>
          <w:tcPr>
            <w:tcW w:w="12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-4.0%</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6,530</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6,058</w:t>
            </w:r>
          </w:p>
        </w:tc>
        <w:tc>
          <w:tcPr>
            <w:tcW w:w="26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7.8%</w:t>
            </w:r>
          </w:p>
        </w:tc>
      </w:tr>
      <w:tr>
        <w:trPr>
          <w:trHeight w:val="216"/>
        </w:trPr>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New medium-duty vehicles</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3,474</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3,073</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13.0%</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6,179</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5,626</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9.8%</w:t>
            </w:r>
          </w:p>
        </w:tc>
      </w:tr>
      <w:tr>
        <w:trPr>
          <w:trHeight w:val="216"/>
        </w:trPr>
        <w:tc>
          <w:tcPr>
            <w:tcW w:w="2840" w:type="dxa"/>
            <w:vAlign w:val="bottom"/>
          </w:tcPr>
          <w:p>
            <w:pPr>
              <w:spacing w:after="0"/>
              <w:rPr>
                <w:sz w:val="20"/>
                <w:szCs w:val="20"/>
                <w:color w:val="auto"/>
              </w:rPr>
            </w:pPr>
            <w:r>
              <w:rPr>
                <w:rFonts w:ascii="Arial" w:cs="Arial" w:eastAsia="Arial" w:hAnsi="Arial"/>
                <w:sz w:val="18"/>
                <w:szCs w:val="18"/>
                <w:color w:val="auto"/>
              </w:rPr>
              <w:t>New light-duty vehicles</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679</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473</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43.6%</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1,110</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820</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35.4%</w:t>
            </w:r>
          </w:p>
        </w:tc>
      </w:tr>
      <w:tr>
        <w:trPr>
          <w:trHeight w:val="20"/>
        </w:trPr>
        <w:tc>
          <w:tcPr>
            <w:tcW w:w="28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new vehicle unit sales</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7,371</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6,898</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6.9%</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13,819</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12,504</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10.5%</w:t>
            </w:r>
          </w:p>
        </w:tc>
      </w:tr>
      <w:tr>
        <w:trPr>
          <w:trHeight w:val="216"/>
        </w:trPr>
        <w:tc>
          <w:tcPr>
            <w:tcW w:w="2840" w:type="dxa"/>
            <w:vAlign w:val="bottom"/>
          </w:tcPr>
          <w:p>
            <w:pPr>
              <w:spacing w:after="0"/>
              <w:rPr>
                <w:sz w:val="20"/>
                <w:szCs w:val="20"/>
                <w:color w:val="auto"/>
              </w:rPr>
            </w:pPr>
            <w:r>
              <w:rPr>
                <w:rFonts w:ascii="Arial" w:cs="Arial" w:eastAsia="Arial" w:hAnsi="Arial"/>
                <w:sz w:val="18"/>
                <w:szCs w:val="18"/>
                <w:color w:val="auto"/>
              </w:rPr>
              <w:t>Used vehicles</w:t>
            </w:r>
          </w:p>
        </w:tc>
        <w:tc>
          <w:tcPr>
            <w:tcW w:w="2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2,055</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1,743</w:t>
            </w:r>
          </w:p>
        </w:tc>
        <w:tc>
          <w:tcPr>
            <w:tcW w:w="12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17.9%</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3,914</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3,454</w:t>
            </w:r>
          </w:p>
        </w:tc>
        <w:tc>
          <w:tcPr>
            <w:tcW w:w="26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13.3%</w:t>
            </w:r>
          </w:p>
        </w:tc>
      </w:tr>
      <w:tr>
        <w:trPr>
          <w:trHeight w:val="216"/>
        </w:trPr>
        <w:tc>
          <w:tcPr>
            <w:tcW w:w="2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Vehicle revenue:</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840" w:type="dxa"/>
            <w:vAlign w:val="bottom"/>
          </w:tcPr>
          <w:p>
            <w:pPr>
              <w:spacing w:after="0"/>
              <w:rPr>
                <w:sz w:val="20"/>
                <w:szCs w:val="20"/>
                <w:color w:val="auto"/>
              </w:rPr>
            </w:pPr>
            <w:r>
              <w:rPr>
                <w:rFonts w:ascii="Arial" w:cs="Arial" w:eastAsia="Arial" w:hAnsi="Arial"/>
                <w:sz w:val="18"/>
                <w:szCs w:val="18"/>
                <w:color w:val="auto"/>
              </w:rPr>
              <w:t>New heavy-duty vehicles</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474.4</w:t>
            </w: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468.3</w:t>
            </w:r>
          </w:p>
        </w:tc>
        <w:tc>
          <w:tcPr>
            <w:tcW w:w="12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1.3%</w:t>
            </w:r>
          </w:p>
        </w:tc>
        <w:tc>
          <w:tcPr>
            <w:tcW w:w="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946.4</w:t>
            </w:r>
          </w:p>
        </w:tc>
        <w:tc>
          <w:tcPr>
            <w:tcW w:w="20" w:type="dxa"/>
            <w:vAlign w:val="bottom"/>
          </w:tcPr>
          <w:p>
            <w:pPr>
              <w:spacing w:after="0"/>
              <w:rPr>
                <w:sz w:val="18"/>
                <w:szCs w:val="18"/>
                <w:color w:val="auto"/>
              </w:rPr>
            </w:pP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829.7</w:t>
            </w:r>
          </w:p>
        </w:tc>
        <w:tc>
          <w:tcPr>
            <w:tcW w:w="26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14.1%</w:t>
            </w:r>
          </w:p>
        </w:tc>
      </w:tr>
      <w:tr>
        <w:trPr>
          <w:trHeight w:val="216"/>
        </w:trPr>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New medium-duty vehicles</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257.0</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213.2</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20.5%</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456.2</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402.5</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13.3%</w:t>
            </w:r>
          </w:p>
        </w:tc>
      </w:tr>
      <w:tr>
        <w:trPr>
          <w:trHeight w:val="216"/>
        </w:trPr>
        <w:tc>
          <w:tcPr>
            <w:tcW w:w="2840" w:type="dxa"/>
            <w:vAlign w:val="bottom"/>
          </w:tcPr>
          <w:p>
            <w:pPr>
              <w:spacing w:after="0"/>
              <w:rPr>
                <w:sz w:val="20"/>
                <w:szCs w:val="20"/>
                <w:color w:val="auto"/>
              </w:rPr>
            </w:pPr>
            <w:r>
              <w:rPr>
                <w:rFonts w:ascii="Arial" w:cs="Arial" w:eastAsia="Arial" w:hAnsi="Arial"/>
                <w:sz w:val="18"/>
                <w:szCs w:val="18"/>
                <w:color w:val="auto"/>
              </w:rPr>
              <w:t>New light-duty vehicles</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27.4</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18.2</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50.5%</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44.0</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31.8</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38.4%</w:t>
            </w:r>
          </w:p>
        </w:tc>
      </w:tr>
      <w:tr>
        <w:trPr>
          <w:trHeight w:val="20"/>
        </w:trPr>
        <w:tc>
          <w:tcPr>
            <w:tcW w:w="28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new vehicle revenue</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758.8</w:t>
            </w:r>
          </w:p>
        </w:tc>
        <w:tc>
          <w:tcPr>
            <w:tcW w:w="2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699.7</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8.4%</w:t>
            </w:r>
          </w:p>
        </w:tc>
        <w:tc>
          <w:tcPr>
            <w:tcW w:w="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1,446.6</w:t>
            </w:r>
          </w:p>
        </w:tc>
        <w:tc>
          <w:tcPr>
            <w:tcW w:w="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1,264.0</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14.4%</w:t>
            </w:r>
          </w:p>
        </w:tc>
      </w:tr>
      <w:tr>
        <w:trPr>
          <w:trHeight w:val="216"/>
        </w:trPr>
        <w:tc>
          <w:tcPr>
            <w:tcW w:w="2840" w:type="dxa"/>
            <w:vAlign w:val="bottom"/>
          </w:tcPr>
          <w:p>
            <w:pPr>
              <w:spacing w:after="0"/>
              <w:rPr>
                <w:sz w:val="20"/>
                <w:szCs w:val="20"/>
                <w:color w:val="auto"/>
              </w:rPr>
            </w:pPr>
            <w:r>
              <w:rPr>
                <w:rFonts w:ascii="Arial" w:cs="Arial" w:eastAsia="Arial" w:hAnsi="Arial"/>
                <w:sz w:val="18"/>
                <w:szCs w:val="18"/>
                <w:color w:val="auto"/>
              </w:rPr>
              <w:t>Used vehicle revenue</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92.8</w:t>
            </w: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72.2</w:t>
            </w:r>
          </w:p>
        </w:tc>
        <w:tc>
          <w:tcPr>
            <w:tcW w:w="12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28.5%</w:t>
            </w:r>
          </w:p>
        </w:tc>
        <w:tc>
          <w:tcPr>
            <w:tcW w:w="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173.4</w:t>
            </w:r>
          </w:p>
        </w:tc>
        <w:tc>
          <w:tcPr>
            <w:tcW w:w="20" w:type="dxa"/>
            <w:vAlign w:val="bottom"/>
          </w:tcPr>
          <w:p>
            <w:pPr>
              <w:spacing w:after="0"/>
              <w:rPr>
                <w:sz w:val="18"/>
                <w:szCs w:val="18"/>
                <w:color w:val="auto"/>
              </w:rPr>
            </w:pP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141.0</w:t>
            </w:r>
          </w:p>
        </w:tc>
        <w:tc>
          <w:tcPr>
            <w:tcW w:w="26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23.0%</w:t>
            </w:r>
          </w:p>
        </w:tc>
      </w:tr>
      <w:tr>
        <w:trPr>
          <w:trHeight w:val="257"/>
        </w:trPr>
        <w:tc>
          <w:tcPr>
            <w:tcW w:w="2840" w:type="dxa"/>
            <w:vAlign w:val="bottom"/>
            <w:shd w:val="clear" w:color="auto" w:fill="CCEEFF"/>
          </w:tcPr>
          <w:p>
            <w:pPr>
              <w:spacing w:after="0" w:line="256" w:lineRule="exact"/>
              <w:rPr>
                <w:sz w:val="20"/>
                <w:szCs w:val="20"/>
                <w:color w:val="auto"/>
              </w:rPr>
            </w:pPr>
            <w:r>
              <w:rPr>
                <w:rFonts w:ascii="Arial" w:cs="Arial" w:eastAsia="Arial" w:hAnsi="Arial"/>
                <w:sz w:val="18"/>
                <w:szCs w:val="18"/>
                <w:b w:val="1"/>
                <w:bCs w:val="1"/>
                <w:color w:val="auto"/>
              </w:rPr>
              <w:t>Other vehicle revenue:</w:t>
            </w:r>
            <w:r>
              <w:rPr>
                <w:rFonts w:ascii="Arial" w:cs="Arial" w:eastAsia="Arial" w:hAnsi="Arial"/>
                <w:sz w:val="29"/>
                <w:szCs w:val="29"/>
                <w:color w:val="auto"/>
                <w:vertAlign w:val="superscript"/>
              </w:rPr>
              <w:t>(1)</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5.4</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4.1</w:t>
            </w:r>
          </w:p>
        </w:tc>
        <w:tc>
          <w:tcPr>
            <w:tcW w:w="12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31.7%</w:t>
            </w:r>
          </w:p>
        </w:tc>
        <w:tc>
          <w:tcPr>
            <w:tcW w:w="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10.1</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26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44.3%</w:t>
            </w:r>
          </w:p>
        </w:tc>
      </w:tr>
      <w:tr>
        <w:trPr>
          <w:trHeight w:val="234"/>
        </w:trPr>
        <w:tc>
          <w:tcPr>
            <w:tcW w:w="2840" w:type="dxa"/>
            <w:vAlign w:val="bottom"/>
          </w:tcPr>
          <w:p>
            <w:pPr>
              <w:spacing w:after="0"/>
              <w:rPr>
                <w:sz w:val="20"/>
                <w:szCs w:val="20"/>
                <w:color w:val="auto"/>
              </w:rPr>
            </w:pPr>
            <w:r>
              <w:rPr>
                <w:rFonts w:ascii="Arial" w:cs="Arial" w:eastAsia="Arial" w:hAnsi="Arial"/>
                <w:sz w:val="18"/>
                <w:szCs w:val="18"/>
                <w:b w:val="1"/>
                <w:bCs w:val="1"/>
                <w:color w:val="auto"/>
              </w:rPr>
              <w:t>Absorption ratio:</w:t>
            </w:r>
          </w:p>
        </w:tc>
        <w:tc>
          <w:tcPr>
            <w:tcW w:w="200" w:type="dxa"/>
            <w:vAlign w:val="bottom"/>
          </w:tcPr>
          <w:p>
            <w:pPr>
              <w:spacing w:after="0"/>
              <w:rPr>
                <w:sz w:val="20"/>
                <w:szCs w:val="20"/>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122.8%</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121.8%</w:t>
            </w:r>
          </w:p>
        </w:tc>
        <w:tc>
          <w:tcPr>
            <w:tcW w:w="120" w:type="dxa"/>
            <w:vAlign w:val="bottom"/>
          </w:tcPr>
          <w:p>
            <w:pPr>
              <w:spacing w:after="0"/>
              <w:rPr>
                <w:sz w:val="20"/>
                <w:szCs w:val="20"/>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0.8%</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3"/>
          </w:tcPr>
          <w:p>
            <w:pPr>
              <w:jc w:val="right"/>
              <w:ind w:right="10"/>
              <w:spacing w:after="0"/>
              <w:rPr>
                <w:sz w:val="20"/>
                <w:szCs w:val="20"/>
                <w:color w:val="auto"/>
              </w:rPr>
            </w:pPr>
            <w:r>
              <w:rPr>
                <w:rFonts w:ascii="Arial" w:cs="Arial" w:eastAsia="Arial" w:hAnsi="Arial"/>
                <w:sz w:val="18"/>
                <w:szCs w:val="18"/>
                <w:color w:val="auto"/>
              </w:rPr>
              <w:t>121.4%</w:t>
            </w:r>
          </w:p>
        </w:tc>
        <w:tc>
          <w:tcPr>
            <w:tcW w:w="14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117.6%</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3.2%</w:t>
            </w:r>
          </w:p>
        </w:tc>
      </w:tr>
    </w:tbl>
    <w:p>
      <w:pPr>
        <w:spacing w:after="0" w:line="21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 Includes sales of truck bodies, trailers and other new equipment.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Performance Indicator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Absorption Ratio</w:t>
      </w:r>
    </w:p>
    <w:p>
      <w:pPr>
        <w:spacing w:after="0" w:line="225" w:lineRule="exact"/>
        <w:rPr>
          <w:sz w:val="20"/>
          <w:szCs w:val="20"/>
          <w:color w:val="auto"/>
        </w:rPr>
      </w:pPr>
    </w:p>
    <w:p>
      <w:pPr>
        <w:jc w:val="both"/>
        <w:ind w:right="20" w:firstLine="648"/>
        <w:spacing w:after="0" w:line="255" w:lineRule="auto"/>
        <w:rPr>
          <w:sz w:val="20"/>
          <w:szCs w:val="20"/>
          <w:color w:val="auto"/>
        </w:rPr>
      </w:pPr>
      <w:r>
        <w:rPr>
          <w:rFonts w:ascii="Arial" w:cs="Arial" w:eastAsia="Arial" w:hAnsi="Arial"/>
          <w:sz w:val="18"/>
          <w:szCs w:val="18"/>
          <w:color w:val="auto"/>
        </w:rPr>
        <w:t>Management uses several performance metrics to evaluate the performance of our commercial vehicle dealerships and considers Rush Truck Centers’ “absorption ratio” to be of critical importance. Absorption ratio is calculated by dividing the gross profit from the parts, service and body shop (collectively, “Aftermarket Products and Services”) departments by the overhead expenses of all of a dealership’s departments, except for the selling expenses of the new and used commercial vehicle departments and carrying costs of new and used commercial vehicle inventory. When 100% absorption is achieved, all of the gross profit from the sale of a commercial vehicle, after sales commissions and inventory carrying costs, directly impacts operating profit. Our commercial vehicle dealerships achieved a 122.8% absorption ratio for the second quarter of 2018 and a 121.8% absorption ratio for the second quarter of 2017.</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June 30, 2018 Compared to Three Months Ended June 30, 2017</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Aftermarket Products and Services revenues totaled $422.9 million in the second quarter of 2018, up 15.4%, compared to the second quarter of 2017. During the second quarter of 2018, Aftermarket Products and Services revenues benefited from our strategic initiatives, particularly through additions to our aftermarket sales organization, a net increase of approximately 300 service technicians in 2018, focus on our all-makes and Rig Tough parts growth, and investment in technology and productivity improvements for our parts operations. We believe our Aftermarket Products and Services revenues will remain solid throughout the second half of 2018.</w:t>
      </w:r>
    </w:p>
    <w:p>
      <w:pPr>
        <w:spacing w:after="0" w:line="18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Our Class 8 vehicle unit sales were down slightly in the second quarter of 2018, compared to 2017, primarily due to the timing of certain large fleet transactions and truck and component manufacturer production capacity constraints, which delayed pending deliveries. However, our new Class 8 truck unit sales are up 7.8% year to date as compared to the first half of last year. The healthy economy created significant activity in virtually all market segments, and especially strong demand from over-the-road, construction and refuse customers. We expect our Class 8 vehicle sales will accelerate through the second half of 2018, although manufacturer production capacity limitations could delay some deliveries into 2019.</w:t>
      </w:r>
    </w:p>
    <w:p>
      <w:pPr>
        <w:spacing w:after="0" w:line="173"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40"/>
          </w:cols>
          <w:pgMar w:left="240" w:top="118" w:right="619" w:bottom="1440" w:gutter="0" w:footer="0" w:header="0"/>
        </w:sectPr>
      </w:pPr>
    </w:p>
    <w:bookmarkStart w:id="18" w:name="page19"/>
    <w:bookmarkEnd w:id="18"/>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Our used commercial vehicle unit sales were up 18% over the second quarter of 2017, and we continue to believe our used commercial vehicle inventory is appropriate to support the market. We believe the strength of the used commercial vehicle market is due in part to extended lead times for new Class 8 truck deliveries, which we believe will help decrease the impact of a large number of used commercial vehicles entering the market through the rest of the year and stabilize used commercial vehicle values.</w:t>
      </w:r>
    </w:p>
    <w:p>
      <w:pPr>
        <w:spacing w:after="0" w:line="187" w:lineRule="exact"/>
        <w:rPr>
          <w:sz w:val="20"/>
          <w:szCs w:val="20"/>
          <w:color w:val="auto"/>
        </w:rPr>
      </w:pPr>
    </w:p>
    <w:p>
      <w:pPr>
        <w:jc w:val="both"/>
        <w:ind w:right="20" w:firstLine="648"/>
        <w:spacing w:after="0" w:line="279" w:lineRule="auto"/>
        <w:rPr>
          <w:sz w:val="20"/>
          <w:szCs w:val="20"/>
          <w:color w:val="auto"/>
        </w:rPr>
      </w:pPr>
      <w:r>
        <w:rPr>
          <w:rFonts w:ascii="Arial" w:cs="Arial" w:eastAsia="Arial" w:hAnsi="Arial"/>
          <w:sz w:val="17"/>
          <w:szCs w:val="17"/>
          <w:color w:val="auto"/>
        </w:rPr>
        <w:t>Our Class 4 through 7 medium-duty commercial vehicle unit sales increased 13.0% in the second quarter of 2018, compared to the second quarter of 2017. Our medium-duty truck sales significantly outpaced the market in the second quarter, due to strong activity from the construction sector and our leasing and rental fleet customers. Due to our continued ability to support customers with a nationwide inventory of ready-to-roll commercial vehicles, we believe our medium-duty commercial vehicle sales will remain strong through the rest of 2018.</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the second quarter of 2018, total revenues increased $145.3 million, or 12.1% compared to the second quarter of 2017.</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Aftermarket Products and Services revenues increased $56.3 million, or 15.4%, in the second quarter of 2018, compared to the second quarter of 2017. This increase was primarily due to increases in aftermarket sales personnel and service technicians, focus on our all-makes parts growth, and investment in technology and productivity improvements for our parts operations. We expect our Aftermarket Products and Services revenues to increase 12% to 15% in 2018, compared to 2017.</w:t>
      </w:r>
    </w:p>
    <w:p>
      <w:pPr>
        <w:spacing w:after="0" w:line="187"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Revenues from sales of new and used commercial vehicles increased $81.0 million, or 10.4%, in the second quarter of 2018, compared to the second quarter of 2017, primarily as a result of strong demand for used commercial vehicles and medium-duty commercial vehicles.</w:t>
      </w:r>
    </w:p>
    <w:p>
      <w:pPr>
        <w:spacing w:after="0" w:line="14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sold 3,218 Class 8 heavy-duty trucks in the second quarter of 2018, a 4.0% decrease compared to 3,352 Class 8 trucks sold in the second quarter of 2017. According to A.C.T. Research Co., LLC (“A.C.T. Research”), a truck industry data and forecasting service provider, the U.S. Class 8 truck market increased 24.7% in the second quarter of 2018 compared to the second quarter of 2017. A.C.T. Research currently forecasts U.S. retail sales of Class 8 trucks of approximately 251,700 units in 2018, 254,000 units in 2019 and 185,000 units in 2020, compared to approximately 197,000 units in 2017. Our share of the U.S. Class 8 truck sales market was approximately 6.6% in 2017. We expect our U.S. Class 8 commercial vehicle sales market share to decline to between 5.5% and 5.9% in 2018. In a robust Class 8 truck market, historically, our market share declines. This market share percentage would result in the sale of approximately 13,800 to 14,850 of Class 8 commercial vehicles in 2018, based on A.C.T. Research’s current U.S. retail sales estimate of 251,700 units.</w:t>
      </w:r>
    </w:p>
    <w:p>
      <w:pPr>
        <w:spacing w:after="0" w:line="19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sold 3,474 Class 4 through 7 medium-duty commercial vehicles, including 399 buses, in the second quarter of 2018, a 13.0% increase compared to 3,073 Class 4 through 7 commercial vehicles, including 202 buses, sold in the second quarter of 2017. A.C.T. Research estimates that unit sales of Class 4 through 7 commercial vehicles in the U.S. increased approximately 3.6% in the second quarter of 2018, compared to the second quarter of 2017. A.C.T. Research currently forecasts U.S. retail sales of Class 4 through 7 medium-duty commercial vehicles of approximately 251,100 units in 2018, 256,000 units in 2019 and 264,000 in 2020. In 2017, we achieved a 4.5% share of the Class 4 through 7 market in the U.S. We expect our market share to range between 4.7% and 5.2% of the U.S. Class 4 through 7 commercial vehicle sales in 2018. This market share percentage would result in the sale of approximately 11,800 to 13,000 of Class 4 through 7 commercial vehicles in 2018, based on A.C.T. Research’s current U.S. retail sales estimates of 251,100 units.</w:t>
      </w:r>
    </w:p>
    <w:p>
      <w:pPr>
        <w:spacing w:after="0" w:line="19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sold 679 light-duty vehicles in the second quarter of 2018, a 43.6% increase compared to 473 light-duty vehicles sold in the second quarter of 2017. We expect to sell approximately 2,000 light-duty vehicles in 2018.</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sold 2,055 used commercial vehicles in the second quarter of 2018, a 17.9% increase compared to 1,743 used commercial vehicles sold in the second quarter of 2017. We expect to sell approximately 7,500 to 8,500 used commercial vehicles in 2018.</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Commercial vehicle lease and rental revenues increased $5.9 million, or 11.2%, in the second quarter of 2018, compared to the second quarter of 2017. We expect lease and rental revenue to increase 5% to 10% during 2018, compared to 2017.</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Finance and insurance revenues increased $1.1 million, or 25.0%, in the second quarter of 2018 compared to the second quarter of 2017. We expect finance and insurance revenues to fluctuate proportionately with our new and used commercial vehicle sales in 2018. Finance and insurance revenues have limited direct costs and, therefore, contribute a disproportionate share of our operating profits.</w:t>
      </w:r>
    </w:p>
    <w:p>
      <w:pPr>
        <w:spacing w:after="0" w:line="181"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60"/>
          </w:cols>
          <w:pgMar w:left="240" w:top="118" w:right="599" w:bottom="1440" w:gutter="0" w:footer="0" w:header="0"/>
        </w:sectPr>
      </w:pPr>
    </w:p>
    <w:bookmarkStart w:id="19" w:name="page20"/>
    <w:bookmarkEnd w:id="19"/>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225" w:lineRule="exact"/>
        <w:rPr>
          <w:sz w:val="20"/>
          <w:szCs w:val="20"/>
          <w:color w:val="auto"/>
        </w:rPr>
      </w:pPr>
    </w:p>
    <w:p>
      <w:pPr>
        <w:jc w:val="both"/>
        <w:ind w:right="40" w:firstLine="648"/>
        <w:spacing w:after="0" w:line="297" w:lineRule="auto"/>
        <w:rPr>
          <w:sz w:val="20"/>
          <w:szCs w:val="20"/>
          <w:color w:val="auto"/>
        </w:rPr>
      </w:pPr>
      <w:r>
        <w:rPr>
          <w:rFonts w:ascii="Arial" w:cs="Arial" w:eastAsia="Arial" w:hAnsi="Arial"/>
          <w:sz w:val="16"/>
          <w:szCs w:val="16"/>
          <w:color w:val="auto"/>
        </w:rPr>
        <w:t>Gross profit increased $34.3 million, or 16.4%, in the second quarter of 2018, compared to the second quarter of 2017. Gross profit as a percentage of sales increased to 18.0% in the second quarter of 2018, from 17.4% in the second quarter of 2017. This increase in gross profit as a percentage of sales is a result of a change in our product sales mix. Commercial vehicle sales, a lower margin revenue item, decreased as a percentage of total revenues to 63.5% in the second quarter of 2018, from 64.5% in the second quarter of 2017. Aftermarket Products and Services revenues, a higher margin revenue item, increased as a percentage of total revenues to 31.4% in the second quarter of 2018, from 30.5% in the second quarter of 2017.</w:t>
      </w:r>
    </w:p>
    <w:p>
      <w:pPr>
        <w:spacing w:after="0" w:line="158" w:lineRule="exact"/>
        <w:rPr>
          <w:sz w:val="20"/>
          <w:szCs w:val="20"/>
          <w:color w:val="auto"/>
        </w:rPr>
      </w:pPr>
    </w:p>
    <w:p>
      <w:pPr>
        <w:jc w:val="both"/>
        <w:ind w:right="40" w:firstLine="648"/>
        <w:spacing w:after="0" w:line="272" w:lineRule="auto"/>
        <w:rPr>
          <w:sz w:val="20"/>
          <w:szCs w:val="20"/>
          <w:color w:val="auto"/>
        </w:rPr>
      </w:pPr>
      <w:r>
        <w:rPr>
          <w:rFonts w:ascii="Arial" w:cs="Arial" w:eastAsia="Arial" w:hAnsi="Arial"/>
          <w:sz w:val="17"/>
          <w:szCs w:val="17"/>
          <w:color w:val="auto"/>
        </w:rPr>
        <w:t>Gross margins from our Aftermarket Products and Services operations increased to 37.3% in the second quarter of 2018, from 36.7% in the second quarter of 2017. Gross profit from our Aftermarket Products and Services operations increased to $157.8 million in the second quarter of 2018, from $134.6 million in the second quarter of 2017. Historically, gross margins on parts sales range from 27% to 28% and gross margins on service and body shop operations range from 61% to 65%. Gross profits from parts sales represented 58% of total gross profit for Aftermarket Products and Services operations in the second quarter of 2018 and the second quarter of 2017. Service and body shop operations represented 42% of total gross profit for Aftermarket Products and Services operations in the second quarter of 2018 and the second quarter of 2017. We expect blended gross margins on Aftermarket Products and Services operations to range from approximately 36.5% to 37.0% in 2018.</w:t>
      </w:r>
    </w:p>
    <w:p>
      <w:pPr>
        <w:spacing w:after="0" w:line="178" w:lineRule="exact"/>
        <w:rPr>
          <w:sz w:val="20"/>
          <w:szCs w:val="20"/>
          <w:color w:val="auto"/>
        </w:rPr>
      </w:pPr>
    </w:p>
    <w:p>
      <w:pPr>
        <w:jc w:val="both"/>
        <w:ind w:right="40" w:firstLine="648"/>
        <w:spacing w:after="0" w:line="277" w:lineRule="auto"/>
        <w:rPr>
          <w:sz w:val="20"/>
          <w:szCs w:val="20"/>
          <w:color w:val="auto"/>
        </w:rPr>
      </w:pPr>
      <w:r>
        <w:rPr>
          <w:rFonts w:ascii="Arial" w:cs="Arial" w:eastAsia="Arial" w:hAnsi="Arial"/>
          <w:sz w:val="18"/>
          <w:szCs w:val="18"/>
          <w:color w:val="auto"/>
        </w:rPr>
        <w:t>Gross margins on Class 8 truck sales increased slightly to 8.1% in the second quarter of 2018, from 8.0% in the second quarter of 2017. In 2018, we expect overall gross margins from Class 8 commercial vehicle sales of approximately 7.5% to 8.0%.</w:t>
      </w:r>
    </w:p>
    <w:p>
      <w:pPr>
        <w:spacing w:after="0" w:line="170"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Gross margins on medium-duty commercial vehicle sales decreased to 5.4% in the second quarter of 2018, from 5.6% in the second quarter of 2017. We sold a larger number of lower margin fleet trucks in the second quarter of 2018, compared to the second quarter of 2017. In 2018, we expect overall gross margins from Class 4 through 7 commercial vehicle sales of approximately 5.7% to 6.2%, but this will largely depend upon the mix of purchasers and types of vehicles sold.</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Gross margins on used commercial vehicle sales increased to 12.1% in the second quarter of 2018, from 11.6% in the second quarter of 2017.</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expect margins on used commercial vehicles to range between 10.0% and 11.5% during 2018.</w:t>
      </w:r>
    </w:p>
    <w:p>
      <w:pPr>
        <w:spacing w:after="0" w:line="211"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Gross margins from truck lease and rental sales increased to 17.5% in the second quarter of 2018, from 16.7% in the second quarter of 2017. This increase is primarily related to increased rental fleet utilization. We expect gross margins from lease and rental sales of approximately 16.0% to 18.0% during 2018. Our policy is to depreciate our lease and rental fleet using a straight line method over each customer’s contractual lease term. The lease unit is depreciated to a residual value that approximates fair value at the expiration of the lease term. This policy results in the Company realizing reasonable gross margins while the unit is in service and a corresponding gain or loss on sale when the unit is sold at the end of the lease term.</w:t>
      </w:r>
    </w:p>
    <w:p>
      <w:pPr>
        <w:spacing w:after="0" w:line="158"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Finance and insurance revenues and other income, as described above, have limited direct costs and, therefore, contribute a disproportionate share of gross profit.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Selling, General and Administrative (“SG&amp;A”) expenses increased $19.3 million, or 12.1%, in the second quarter of 2018, compared to the second quarter of 2017. SG&amp;A expenses as a percentage of total revenues decreased to 13.2% in the second quarter of 2018, from 13.3% in the second quarter of 2017. SG&amp;A expenses as a percentage of total revenues have recently ranged from 12.1% to 14.7%. In general, when new and used commercial vehicle revenues decrease as a percentage of total revenues, SG&amp;A expenses as a percentage of total revenues will be at, or exceed, the higher end of this range. For 2018, we expect SG&amp;A expenses as a percentage of total revenues to range from 13.5% to 14.0% and the selling portion of SG&amp;A expenses to be approximately 25.0% to 30.0% of new and used commercial vehicle gross profit.</w:t>
      </w:r>
    </w:p>
    <w:p>
      <w:pPr>
        <w:spacing w:after="0" w:line="178"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60"/>
          </w:cols>
          <w:pgMar w:left="240" w:top="118" w:right="599" w:bottom="1440" w:gutter="0" w:footer="0" w:header="0"/>
        </w:sectPr>
      </w:pPr>
    </w:p>
    <w:bookmarkStart w:id="20" w:name="page21"/>
    <w:bookmarkEnd w:id="20"/>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 Expense</w:t>
      </w:r>
    </w:p>
    <w:p>
      <w:pPr>
        <w:spacing w:after="0" w:line="225"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Depreciation and amortization expense increased $9.2 million, or 74.3%, in the second quarter of 2018, compared to the second quarter of 2017. This increase is primarily related to the additional amortization expense related to the replacement of our ERP Platform components. See Note 11 –ERP Platform of the Notes to Consolidated Financial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Net interest expense increased $1.7 million, or 59.1%, in the second quarter of 2018, compared to the second quarter of 2017. This increase is primarily related to the increase in the LIBOR rate over the last year and increased inventory levels, compared to the second quarter of 2017. Net interest expense in 2018 will depend on inventory levels, interest rate fluctuations and the amount of cash available to make prepayments on our floor plan arrangements.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before Income Taxes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a result of the factors described above, income before income taxes increased $4.3 million, or 12.6%, in the second quarter of 2018, compared to the second quarter of 2017.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Income taxes decreased $3.0 million, or 24.2%, in the second quarter of 2018, compared to the second quarter of 2017. In the second quarter of 2018, we recorded a $0.2 million tax benefit related to excess tax benefits of equity compensation which reduced income tax expense. In the second quarter of 2017, we recorded a $1.1 million tax benefit related to excess tax benefits of equity compensation which reduced income tax expense. We provided for taxes at a 25.0% effective rate in the second quarter of 2018 and 39.00% in the second quarter of 2017. We expect our effective tax rate to be approximately 25% of pretax income in 2018.</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Months Ended June 30, 2018, Compared to Six Months Ended June 30, 2017</w:t>
      </w:r>
    </w:p>
    <w:p>
      <w:pPr>
        <w:spacing w:after="0" w:line="229" w:lineRule="exact"/>
        <w:rPr>
          <w:sz w:val="20"/>
          <w:szCs w:val="20"/>
          <w:color w:val="auto"/>
        </w:rPr>
      </w:pPr>
    </w:p>
    <w:p>
      <w:pPr>
        <w:jc w:val="both"/>
        <w:ind w:right="40" w:firstLine="648"/>
        <w:spacing w:after="0" w:line="277" w:lineRule="auto"/>
        <w:rPr>
          <w:sz w:val="20"/>
          <w:szCs w:val="20"/>
          <w:color w:val="auto"/>
        </w:rPr>
      </w:pPr>
      <w:r>
        <w:rPr>
          <w:rFonts w:ascii="Arial" w:cs="Arial" w:eastAsia="Arial" w:hAnsi="Arial"/>
          <w:sz w:val="18"/>
          <w:szCs w:val="18"/>
          <w:color w:val="auto"/>
        </w:rPr>
        <w:t>Unless otherwise stated below, our variance explanations and future expectations with regard to the items discussed in this section are set forth in the discussion of the “Three Months Ended June 30, 2018, Compared to Three Months Ended June 30, 2017.”</w:t>
      </w:r>
    </w:p>
    <w:p>
      <w:pPr>
        <w:spacing w:after="0" w:line="170" w:lineRule="exact"/>
        <w:rPr>
          <w:sz w:val="20"/>
          <w:szCs w:val="20"/>
          <w:color w:val="auto"/>
        </w:rPr>
      </w:pPr>
    </w:p>
    <w:p>
      <w:pPr>
        <w:ind w:right="40" w:firstLine="648"/>
        <w:spacing w:after="0" w:line="308" w:lineRule="auto"/>
        <w:rPr>
          <w:sz w:val="20"/>
          <w:szCs w:val="20"/>
          <w:color w:val="auto"/>
        </w:rPr>
      </w:pPr>
      <w:r>
        <w:rPr>
          <w:rFonts w:ascii="Arial" w:cs="Arial" w:eastAsia="Arial" w:hAnsi="Arial"/>
          <w:sz w:val="17"/>
          <w:szCs w:val="17"/>
          <w:color w:val="auto"/>
        </w:rPr>
        <w:t>Total revenues increased $341.3 million, or 15.2%, in the first six months of 2018, compared to the first six months of 2017. Sales of new and used commercial vehicles increased $218.2 million, or 15.5%, in the first six months of 2018, compared to the first six months of 2017.</w:t>
      </w:r>
    </w:p>
    <w:p>
      <w:pPr>
        <w:spacing w:after="0" w:line="147"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Aftermarket Products and Services revenues increased $106.5 million, or 14.9%, in the first six months of 2018, compared to the first six months of 2017.</w:t>
      </w:r>
    </w:p>
    <w:p>
      <w:pPr>
        <w:spacing w:after="0" w:line="170"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We sold 6,530 heavy-duty trucks in the first six months of 2018, a 7.8% increase compared to 6,058 heavy-duty trucks in the first six months of 2017. According to A.C.T. Research, retail sales in the U.S. Class 8 truck market increased 29.6% in the first six months of 2018, compared to the first six months of 2017.</w:t>
      </w:r>
    </w:p>
    <w:p>
      <w:pPr>
        <w:spacing w:after="0" w:line="181" w:lineRule="exact"/>
        <w:rPr>
          <w:sz w:val="20"/>
          <w:szCs w:val="20"/>
          <w:color w:val="auto"/>
        </w:rPr>
      </w:pPr>
    </w:p>
    <w:p>
      <w:pPr>
        <w:jc w:val="both"/>
        <w:ind w:right="40" w:firstLine="648"/>
        <w:spacing w:after="0" w:line="259" w:lineRule="auto"/>
        <w:rPr>
          <w:sz w:val="20"/>
          <w:szCs w:val="20"/>
          <w:color w:val="auto"/>
        </w:rPr>
      </w:pPr>
      <w:r>
        <w:rPr>
          <w:rFonts w:ascii="Arial" w:cs="Arial" w:eastAsia="Arial" w:hAnsi="Arial"/>
          <w:sz w:val="18"/>
          <w:szCs w:val="18"/>
          <w:color w:val="auto"/>
        </w:rPr>
        <w:t>We sold 6,179 medium-duty commercial vehicles, including 687 buses, in the first six months of 2018. This represented a 9.8% increase compared to 5,626 medium-duty commercial vehicles, including 361 buses, in the first six months of 2017. A.C.T. Research estimates that unit sales of Class 4 through 7 commercial vehicles in the United States increased approximately 4.8% in the first six months of 2018, compared to the first six months of 2017.</w:t>
      </w:r>
    </w:p>
    <w:p>
      <w:pPr>
        <w:spacing w:after="0" w:line="187" w:lineRule="exact"/>
        <w:rPr>
          <w:sz w:val="20"/>
          <w:szCs w:val="20"/>
          <w:color w:val="auto"/>
        </w:rPr>
      </w:pPr>
    </w:p>
    <w:p>
      <w:pPr>
        <w:jc w:val="both"/>
        <w:ind w:right="40" w:firstLine="648"/>
        <w:spacing w:after="0" w:line="277" w:lineRule="auto"/>
        <w:rPr>
          <w:sz w:val="20"/>
          <w:szCs w:val="20"/>
          <w:color w:val="auto"/>
        </w:rPr>
      </w:pPr>
      <w:r>
        <w:rPr>
          <w:rFonts w:ascii="Arial" w:cs="Arial" w:eastAsia="Arial" w:hAnsi="Arial"/>
          <w:sz w:val="18"/>
          <w:szCs w:val="18"/>
          <w:color w:val="auto"/>
        </w:rPr>
        <w:t>We sold 1,110 light-duty vehicles in the first six months of 2018, a 35.4% increase compared to 820 light-duty vehicles sold in the first six months of 2017.</w:t>
      </w:r>
    </w:p>
    <w:p>
      <w:pPr>
        <w:spacing w:after="0" w:line="170" w:lineRule="exact"/>
        <w:rPr>
          <w:sz w:val="20"/>
          <w:szCs w:val="20"/>
          <w:color w:val="auto"/>
        </w:rPr>
      </w:pPr>
    </w:p>
    <w:p>
      <w:pPr>
        <w:jc w:val="both"/>
        <w:ind w:right="40" w:firstLine="648"/>
        <w:spacing w:after="0" w:line="277" w:lineRule="auto"/>
        <w:rPr>
          <w:sz w:val="20"/>
          <w:szCs w:val="20"/>
          <w:color w:val="auto"/>
        </w:rPr>
      </w:pPr>
      <w:r>
        <w:rPr>
          <w:rFonts w:ascii="Arial" w:cs="Arial" w:eastAsia="Arial" w:hAnsi="Arial"/>
          <w:sz w:val="18"/>
          <w:szCs w:val="18"/>
          <w:color w:val="auto"/>
        </w:rPr>
        <w:t>We sold 3,914 used commercial vehicles in the first six months of 2018, a 13.3% increase compared to 3,454 used commercial vehicles in the first six months of 2017.</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Truck lease and rental revenues increased $12.2 million, or 11.7%, in the first six months of 2018, compared to the first six months of 2017.</w:t>
      </w:r>
    </w:p>
    <w:p>
      <w:pPr>
        <w:spacing w:after="0" w:line="248" w:lineRule="exact"/>
        <w:rPr>
          <w:sz w:val="20"/>
          <w:szCs w:val="20"/>
          <w:color w:val="auto"/>
        </w:rPr>
      </w:pPr>
    </w:p>
    <w:p>
      <w:pPr>
        <w:jc w:val="center"/>
        <w:ind w:right="-259"/>
        <w:spacing w:after="0"/>
        <w:rPr>
          <w:sz w:val="20"/>
          <w:szCs w:val="20"/>
          <w:color w:val="auto"/>
        </w:rPr>
      </w:pPr>
      <w:r>
        <w:rPr>
          <w:rFonts w:ascii="Arial" w:cs="Arial" w:eastAsia="Arial" w:hAnsi="Arial"/>
          <w:sz w:val="17"/>
          <w:szCs w:val="17"/>
          <w:color w:val="auto"/>
        </w:rPr>
        <w:t>Finance and insurance revenues increased $1.9 million, or 23.0%, in the first six months of 2018, compared to the first six months of 2017.</w:t>
      </w:r>
    </w:p>
    <w:p>
      <w:pPr>
        <w:spacing w:after="0" w:line="237"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60"/>
          </w:cols>
          <w:pgMar w:left="240" w:top="118" w:right="599" w:bottom="1440" w:gutter="0" w:footer="0" w:header="0"/>
        </w:sectPr>
      </w:pPr>
    </w:p>
    <w:bookmarkStart w:id="21" w:name="page22"/>
    <w:bookmarkEnd w:id="21"/>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225" w:lineRule="exact"/>
        <w:rPr>
          <w:sz w:val="20"/>
          <w:szCs w:val="20"/>
          <w:color w:val="auto"/>
        </w:rPr>
      </w:pPr>
    </w:p>
    <w:p>
      <w:pPr>
        <w:jc w:val="both"/>
        <w:ind w:right="40" w:firstLine="648"/>
        <w:spacing w:after="0" w:line="277" w:lineRule="auto"/>
        <w:rPr>
          <w:sz w:val="20"/>
          <w:szCs w:val="20"/>
          <w:color w:val="auto"/>
        </w:rPr>
      </w:pPr>
      <w:r>
        <w:rPr>
          <w:rFonts w:ascii="Arial" w:cs="Arial" w:eastAsia="Arial" w:hAnsi="Arial"/>
          <w:sz w:val="18"/>
          <w:szCs w:val="18"/>
          <w:color w:val="auto"/>
        </w:rPr>
        <w:t>Gross profit increased $73.4 million, or 18.5%, in the first six months of 2018, compared to the first six months of 2017. Gross profit as a percentage of sales increased to 18.2% in the first six months of 2018, from 17.7% in the first six months of 2017.</w:t>
      </w:r>
    </w:p>
    <w:p>
      <w:pPr>
        <w:spacing w:after="0" w:line="170" w:lineRule="exact"/>
        <w:rPr>
          <w:sz w:val="20"/>
          <w:szCs w:val="20"/>
          <w:color w:val="auto"/>
        </w:rPr>
      </w:pPr>
    </w:p>
    <w:p>
      <w:pPr>
        <w:jc w:val="both"/>
        <w:ind w:right="40" w:firstLine="648"/>
        <w:spacing w:after="0" w:line="276" w:lineRule="auto"/>
        <w:rPr>
          <w:sz w:val="20"/>
          <w:szCs w:val="20"/>
          <w:color w:val="auto"/>
        </w:rPr>
      </w:pPr>
      <w:r>
        <w:rPr>
          <w:rFonts w:ascii="Arial" w:cs="Arial" w:eastAsia="Arial" w:hAnsi="Arial"/>
          <w:sz w:val="17"/>
          <w:szCs w:val="17"/>
          <w:color w:val="auto"/>
        </w:rPr>
        <w:t>Gross margins from Aftermarket Products and Services operations increased to 36.9% in the first six months of 2018, from 36.3% in the first six months of 2017. Gross profit for Aftermarket Products and Services was $303.6 million in the first six months of 2018, compared to $260.2 million in the first six months of 2017. Gross profit from parts sales represented 58% of the total gross profit for Aftermarket Products and Services operations in the first six months of 2018 and 57% in the first six months of 2017. Service and body shop operations represented 42% of the total gross profit for Aftermarket Products and Services operations in the first six months of 2018 and 43% in the first six months of 2017.</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Gross margins on Class 8 truck sales were flat at 8.1% in the first six months of 2018, compared to the first six months of 2017.</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Gross margins on medium-duty commercial vehicle sales decreased to 6.0% in the first six months of 2018, from 6.1% in the first six months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of 2017.</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Gross margins on used commercial vehicle sales increased to 11.7% in the first six months of 2018, from 10.1% in the first six months of 2017.</w:t>
      </w:r>
    </w:p>
    <w:p>
      <w:pPr>
        <w:spacing w:after="0" w:line="200" w:lineRule="exact"/>
        <w:rPr>
          <w:sz w:val="20"/>
          <w:szCs w:val="20"/>
          <w:color w:val="auto"/>
        </w:rPr>
      </w:pPr>
    </w:p>
    <w:p>
      <w:pPr>
        <w:spacing w:after="0" w:line="26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Gross margins from truck lease and rental sales increased to 16.7% in the first six months of 2018, from 15.1% in the first six months of 2017.</w:t>
      </w:r>
    </w:p>
    <w:p>
      <w:pPr>
        <w:spacing w:after="0" w:line="248" w:lineRule="exact"/>
        <w:rPr>
          <w:sz w:val="20"/>
          <w:szCs w:val="20"/>
          <w:color w:val="auto"/>
        </w:rPr>
      </w:pPr>
    </w:p>
    <w:p>
      <w:pPr>
        <w:jc w:val="both"/>
        <w:ind w:right="40" w:firstLine="648"/>
        <w:spacing w:after="0" w:line="277" w:lineRule="auto"/>
        <w:rPr>
          <w:sz w:val="20"/>
          <w:szCs w:val="20"/>
          <w:color w:val="auto"/>
        </w:rPr>
      </w:pPr>
      <w:r>
        <w:rPr>
          <w:rFonts w:ascii="Arial" w:cs="Arial" w:eastAsia="Arial" w:hAnsi="Arial"/>
          <w:sz w:val="18"/>
          <w:szCs w:val="18"/>
          <w:color w:val="auto"/>
        </w:rPr>
        <w:t>Finance and insurance revenues and other income, as described above, have limited direct costs and, therefore, contribute a disproportionate share of gross profit.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25" w:lineRule="exact"/>
        <w:rPr>
          <w:sz w:val="20"/>
          <w:szCs w:val="20"/>
          <w:color w:val="auto"/>
        </w:rPr>
      </w:pPr>
    </w:p>
    <w:p>
      <w:pPr>
        <w:jc w:val="both"/>
        <w:ind w:right="40" w:firstLine="648"/>
        <w:spacing w:after="0" w:line="277" w:lineRule="auto"/>
        <w:rPr>
          <w:sz w:val="20"/>
          <w:szCs w:val="20"/>
          <w:color w:val="auto"/>
        </w:rPr>
      </w:pPr>
      <w:r>
        <w:rPr>
          <w:rFonts w:ascii="Arial" w:cs="Arial" w:eastAsia="Arial" w:hAnsi="Arial"/>
          <w:sz w:val="18"/>
          <w:szCs w:val="18"/>
          <w:color w:val="auto"/>
        </w:rPr>
        <w:t>SG&amp;A expenses increased $40.6 million, or 13.1%, in the first six months of 2018, compared to the first six months of 2017. SG&amp;A expenses equaled 13.5% of total revenue in the first six months of 2018, compared to 13.8% in the first six months of 2017.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 Expense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Depreciation and amortization expense increased $19.7 million, or 78.9%, in the first six months of 2018, compared to the first six months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2017.</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interest expense increased $3.2 million, or 56.7%, in the first six months of 2018, compared to the first six months of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before Income Taxes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Income before income taxes increased $10.4 million, or 18.3%, in the first six months of 2018, compared to the first six months of 2017.</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Income Taxes</w:t>
      </w:r>
    </w:p>
    <w:p>
      <w:pPr>
        <w:spacing w:after="0" w:line="225" w:lineRule="exact"/>
        <w:rPr>
          <w:sz w:val="20"/>
          <w:szCs w:val="20"/>
          <w:color w:val="auto"/>
        </w:rPr>
      </w:pPr>
    </w:p>
    <w:p>
      <w:pPr>
        <w:jc w:val="both"/>
        <w:ind w:right="40" w:firstLine="648"/>
        <w:spacing w:after="0" w:line="279" w:lineRule="auto"/>
        <w:rPr>
          <w:sz w:val="20"/>
          <w:szCs w:val="20"/>
          <w:color w:val="auto"/>
        </w:rPr>
      </w:pPr>
      <w:r>
        <w:rPr>
          <w:rFonts w:ascii="Arial" w:cs="Arial" w:eastAsia="Arial" w:hAnsi="Arial"/>
          <w:sz w:val="17"/>
          <w:szCs w:val="17"/>
          <w:color w:val="auto"/>
        </w:rPr>
        <w:t>Income taxes decreased $3.6 million, or 17.7%, in the first six months of 2018, compared to the first six months of 2017. In the first six months of 2018, we recorded a $169,000 tax benefit related to excess tax benefits of equity compensation, which reduced income tax expense. In the first six months of 2017, we recorded a $1.8 million tax benefit related to excess tax benefits of equity compensation, which reduced income tax expense. We provided for taxes at a 25.0% rate in the first six months of 2018 and a 38.75% rate in the first six months of 2017.</w:t>
      </w:r>
    </w:p>
    <w:p>
      <w:pPr>
        <w:spacing w:after="0" w:line="171"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60"/>
          </w:cols>
          <w:pgMar w:left="240" w:top="118" w:right="599" w:bottom="1440" w:gutter="0" w:footer="0" w:header="0"/>
        </w:sectPr>
      </w:pPr>
    </w:p>
    <w:bookmarkStart w:id="22" w:name="page23"/>
    <w:bookmarkEnd w:id="22"/>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Our short-term cash requirements are primarily for working capital, inventory financing, the renovation and expansion of existing facilities and the construction or purchase of new facilities. Historically, these cash requirements have been met through the retention of profits, borrowings under our floor plan arrangements and bank financings. As of June 30, 2018, we had working capital of approximately $200.1 million, including $148.3 million in cash, available to fund our operations. We believe that these funds, together with expected cash flows from operations, are sufficient to meet our operating requirements for at least the next twelve months. From time to time, we utilize our excess cash on hand to pay down our outstanding borrowings under our credit agreement with BMO Harris Bank N.A. (“BMO Harris”) (the “Floor Plan Credit Agreement”), and the resulting interest earned is recognized as an offset to our gross interest expense under the Floor Plan Credit Agreement.</w:t>
      </w:r>
    </w:p>
    <w:p>
      <w:pPr>
        <w:spacing w:after="0" w:line="17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have a secured line of credit that provides for a maximum borrowing of $17.5 million. There were no advances outstanding under this secured line of credit at June 30, 2018, however, $11.6 million was pledged to secure various letters of credit related to self-insurance products, leaving $5.9 million available for future borrowings as of June 30, 2018.</w:t>
      </w:r>
    </w:p>
    <w:p>
      <w:pPr>
        <w:spacing w:after="0" w:line="181"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On March 21, 2017, we entered into a working capital facility with BMO Harris (the “Working Capital Facility”). The Working Capital Facility includes up to $100 million of revolving credit loans available to us for working capital, capital expenditures and other general corporate purposes. The amount of the borrowings under the Working Capital Facility are subject to borrowing base limitations based on the value of our eligible parts inventory and company vehicles. The Working Capital Facility includes a $20 million letter of credit sublimit. Borrowings under the Working Capital Facility bear interest at rates based on LIBOR or the Base Rate (as such terms are defined in the Working Capital Facility), plus an applicable margin determined based on outstanding borrowing under the Working Capital Facility. In addition, we are required to pay a commitment fee on the amount unused under the Working Capital Facility. The Working Capital Facility expires on the earlier of (i) March 21, 2020 and (ii) the date on which all commitments under the Floor Plan Working Capital Facility shall have terminated, whether as a result of the occurrence of the Commitment Termination Date (as defined in the Floor Plan Working Capital Facility) or otherwise. There were no advances outstanding under the Working Capital Facility as of June 30, 2018.</w:t>
      </w:r>
    </w:p>
    <w:p>
      <w:pPr>
        <w:spacing w:after="0" w:line="167" w:lineRule="exact"/>
        <w:rPr>
          <w:sz w:val="20"/>
          <w:szCs w:val="20"/>
          <w:color w:val="auto"/>
        </w:rPr>
      </w:pPr>
    </w:p>
    <w:p>
      <w:pPr>
        <w:jc w:val="both"/>
        <w:ind w:right="20" w:firstLine="648"/>
        <w:spacing w:after="0" w:line="279" w:lineRule="auto"/>
        <w:rPr>
          <w:sz w:val="20"/>
          <w:szCs w:val="20"/>
          <w:color w:val="auto"/>
        </w:rPr>
      </w:pPr>
      <w:r>
        <w:rPr>
          <w:rFonts w:ascii="Arial" w:cs="Arial" w:eastAsia="Arial" w:hAnsi="Arial"/>
          <w:sz w:val="17"/>
          <w:szCs w:val="17"/>
          <w:color w:val="auto"/>
        </w:rPr>
        <w:t>Our long-term real estate debt, floor plan financing agreements and the Working Capital Facility require us to satisfy various financial ratios such as the debt-to-worth ratio, leverage ratio and the fixed charge coverage ratio and certain requirements for tangible net worth and GAAP net worth. As of June 30, 2018, we were in compliance with all debt covenants related to debt secured by real estate, lease and rental units, our floor plan credit agreements and the Working Capital Facility. We do not anticipate any breach of the covenants in the foreseeable future.</w:t>
      </w:r>
    </w:p>
    <w:p>
      <w:pPr>
        <w:spacing w:after="0" w:line="171"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We expect to purchase or lease trucks worth approximately $165.0 million to $190.0 million for our leasing operations during 2018, depending on customer demand, all of which will be financed. We also expect to make capital expenditures for recurring items such as computers, shop tools and equipment and vehicles of approximately $25.0 million to $30.0 million during 2018.</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are currently under contract to construct a new facility in Atlanta, Georgia at an estimated cost of $8.6 million.</w:t>
      </w:r>
    </w:p>
    <w:p>
      <w:pPr>
        <w:spacing w:after="0" w:line="225"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On July 24, 2018, our Board of Directors authorized the Company to initiate a quarterly cash dividend as part of its capital allocation strategy. Accordingly, on July 24, 2018, our Board of Directors declared an initial quarterly cash dividend of $0.12 per share of Class A and Class B Common Stock, to be paid on August 29, 2018, to all shareholders of record as of August 8, 2018. The total dividend disbursement is estimated at approximately $4.7 million.</w:t>
      </w:r>
    </w:p>
    <w:p>
      <w:pPr>
        <w:spacing w:after="0" w:line="187"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On November 30, 2017, we announced that our Board of Directors authorized the repurchase, from time to time, of up to an aggregate of $40.0 million shares of Class A Common Stock and/or Class B Common Stock. On March 14, 2018, we announced that our Board of Directors approved an increase of $35.0 million to our existing stock purchase program, up to an aggregate of $75.0 million of our shares of Class A Common Stock and/or Class B Common Stock. Repurchases, if any, will be made at times and in amounts as we deem appropriate and may be made through open market transactions at prevailing market prices, privately negotiated transactions or by other means in accordance with federal securities laws. The actual timing, number and value of repurchases under the stock repurchase program will be determined by management at its discretion and will depend on a number of factors, including market conditions, stock price and other factors, including those related to the ownership requirements of our dealership agreements with Peterbilt. The stock repurchase program expires on November 29, 2018, and may be suspended or discontinued at any time.</w:t>
      </w:r>
    </w:p>
    <w:p>
      <w:pPr>
        <w:spacing w:after="0" w:line="166"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60"/>
          </w:cols>
          <w:pgMar w:left="240" w:top="118" w:right="599" w:bottom="1440" w:gutter="0" w:footer="0" w:header="0"/>
        </w:sectPr>
      </w:pPr>
    </w:p>
    <w:bookmarkStart w:id="23" w:name="page24"/>
    <w:bookmarkEnd w:id="23"/>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We anticipate funding the capital expenditures for the improvement and expansion of existing facilities and recurring expenses through our operating cash flows. We have the ability to fund the construction or purchase of new facilities through our operating cash flows or by financing.</w:t>
      </w:r>
    </w:p>
    <w:p>
      <w:pPr>
        <w:spacing w:after="0" w:line="14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have no other material commitments for capital expenditures as of June 30, 2018. However, we will continue to purchase vehicles for our lease and rental division and authorize capital expenditures for improvement and expansion of our existing dealership facilities and construction or purchase of new facilities based on market opportunities.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29"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Cash and cash equivalents increased by $23.8 million during the six months ended June 30, 2018, and increased by $41.8 million during the six months ended June 30, 2017. The major components of these changes are discussed below.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Operating Activities</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Cash flows from operating activities include net income adjusted for non-cash items and the effects of changes in working capital. During the first six months of 2018, operating activities resulted in net cash provided by operations of $190.0 million. Net cash provided by operating activities primarily consisted of $50.4 million in net income, as well as non-cash adjustments related to depreciation and amortization of $101.0 million, stock-based compensation of $13.8 million and the provision for deferred income tax expense of $4.8 million. Cash provided by operating activities included an aggregate of $20.3 million net change in operating assets and liabilities. Included in the net change in operating assets and liabilities were cash inflows of $33.6 million from increases in accounts payable and accrued liabilities, $4.7 million from an increase in customer deposits and $71.3 million from the net increase in floor plan, trade which were offset by cash outflows of $65.6 million from increases in inventory and $22.8 million from the increase in accounts receivable. The majority of commercial vehicle inventory is financed through our floor plan credit agreements.</w:t>
      </w:r>
    </w:p>
    <w:p>
      <w:pPr>
        <w:spacing w:after="0" w:line="16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During the first six months of 2017, operating activities resulted in net cash provided by operations of $130.7 million. Net cash provided by operating activities primarily consisted of $36.5 million in net income, as well as non-cash adjustments related to depreciation and amortization of $77.7 million and stock-based compensation of $8.7 million. Cash provided by operating activities included an aggregate of $5.3 million net change in operating assets and liabilities. Included in the net change in operating assets and liabilities were cash inflows of $7.1 million from the decrease in accounts receivable, $19.5 million from increases in accounts payable and accrued liabilities, $11.3 million from an increase in customer deposits and $21.0 million from the net increase in floor plan, trade which were offset by cash outflows of $52.4 million from increases in inventory. The majority of commercial vehicle inventory is financed through our floor plan credit agreements.</w:t>
      </w:r>
    </w:p>
    <w:p>
      <w:pPr>
        <w:spacing w:after="0" w:line="178" w:lineRule="exact"/>
        <w:rPr>
          <w:sz w:val="20"/>
          <w:szCs w:val="20"/>
          <w:color w:val="auto"/>
        </w:rPr>
      </w:pPr>
    </w:p>
    <w:p>
      <w:pPr>
        <w:jc w:val="both"/>
        <w:ind w:right="40" w:firstLine="648"/>
        <w:spacing w:after="0" w:line="257" w:lineRule="auto"/>
        <w:rPr>
          <w:sz w:val="20"/>
          <w:szCs w:val="20"/>
          <w:color w:val="auto"/>
        </w:rPr>
      </w:pPr>
      <w:r>
        <w:rPr>
          <w:rFonts w:ascii="Arial" w:cs="Arial" w:eastAsia="Arial" w:hAnsi="Arial"/>
          <w:sz w:val="18"/>
          <w:szCs w:val="18"/>
          <w:color w:val="auto"/>
        </w:rPr>
        <w:t>In June 2012, we entered into a wholesale financing agreement with Ford Motor Credit Company that provides for the financing of, and is collateralized by, our Ford new vehicle inventory. This wholesale financing agreement bears interest at a rate of Prime plus 150 basis points minus certain incentives and rebates. As of June 30, 2018, the interest rate on the wholesale financing agreement was 6.50% before considering the applicable incentives. As of June 30, 2018, we had an outstanding balance of approximately $133.8 million under the Ford Motor Credit Company wholesale financing agreement.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Investing Activities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During the first six months of 2018, cash used in investing activities was $112.5 million. Cash flows used in investing activities consists primarily of cash used for capital expenditures. Capital expenditures were $116.2 million during the first six months of 2018 and consisted primarily of purchases of property and equipment and improvements to our existing dealership facilities. Property and equipment purchases during the first six months of 2018 included $73.8 million for additional units for the rental and leasing operations, which were directly offset by borrowings of long-term debt. We expect to purchase or lease trucks worth approximately $165.0 million to $190.0 million for our rental and leasing operations in 2018, depending on customer demand, all of which will be financed. During 2018, we expect to make capital expenditures for recurring items such as computers, shop equipment and vehicles of $25.0 million to $30.0 million.</w:t>
      </w:r>
    </w:p>
    <w:p>
      <w:pPr>
        <w:spacing w:after="0" w:line="189"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60"/>
          </w:cols>
          <w:pgMar w:left="240" w:top="118" w:right="599" w:bottom="1440" w:gutter="0" w:footer="0" w:header="0"/>
        </w:sectPr>
      </w:pPr>
    </w:p>
    <w:bookmarkStart w:id="24" w:name="page25"/>
    <w:bookmarkEnd w:id="24"/>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During the first six months of 2017, cash used in investing activities was $71.2 million. Cash flows used in investing activities consist primarily of cash used for capital expenditures. Capital expenditures were $79.6 million during the first six months of 2018 and consisted primarily of purchases of property and equipment and improvements to our existing dealership facilities. Property and equipment purchases during the first six months of 2018 included $56.2 million for additional units for the rental and leasing operations, which were directly offset by borrowings of long-term debt.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Financing Activities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Cash flows from financing activities include borrowings and repayments of long-term debt and net proceeds of floor plan notes payable, non-trade. During the first six months of 2018, we used $53.7 million in net cash from financing activities, primarily related to $95.7 million used for principal repayments of long-term debt and capital lease obligations and $45.9 million used for repurchases of common stock. These cash outflows were partially offset by $18.1 million from net draws on floor plan notes payable, non-trade, borrowings of $68.3 million of long-term debt, and $1.6 million from the issuance of shares related to equity compensation plans. The borrowings of long-term debt were primarily related to purchasing units for the rental and leasing operations.</w:t>
      </w:r>
    </w:p>
    <w:p>
      <w:pPr>
        <w:spacing w:after="0" w:line="19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During the first six months of 2017, we used $17.8 million in net cash from financing activities, primarily related to $81.0 million used for principal repayments of long-term debt and capital lease obligations and $24.4 million used for repurchases of common stock. These cash outflows were partially offset by $24.2 million from net draws on floor plan notes payable, non-trade, borrowings of $51.1 million of long-term debt, and $12.8 million from the issuance of shares related to equity compensation plans. The borrowings of long-term debt were primarily related to purchasing units for the rental and leasing operations.</w:t>
      </w:r>
    </w:p>
    <w:p>
      <w:pPr>
        <w:spacing w:after="0" w:line="188"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Most of our commercial vehicle purchases are made on terms requiring payment to the manufacturer within 15 days or less from the date the commercial vehicles are invoiced from the factory. We finance the majority of all new commercial vehicle inventory and the loan value of our used commercial vehicle inventory under the Floor Plan Credit Agreement. The Floor Plan Credit Agreement includes an aggregate loan commitment of $875.0 million. Borrowings under the Floor Plan Credit Agreement bear interest at an annual rate equal to (A) the greater of (i) zero and (ii) three month LIBOR rate, determined on the last day of the prior month, plus (B) 1.51% and are payable monthly. In addition, we are required to pay a monthly working capital fee equal to 0.16% per annum multiplied by the amount of voluntary prepayments of new and used inventory loans. Loans under the Floor Plan Credit Agreement for the purchase of used inventory are limited to $150.0 million. We may terminate the Floor Plan Credit Agreement at any time, although if we do so we must pay a prepayment processing fee equal to 1.0% of the aggregate revolving loan commitments if such termination occurs after July 1, 2018 and prior to June 30, 2019, subject to specified limited exceptions. On June 30, 2018, we had approximately $665.8 million outstanding under the Floor Plan Credit Agreement. The average daily outstanding borrowings under the Floor Plan Credit Agreement were $646.0 million during the quarter ended June 30, 2018. We utilize our excess cash on hand to pay down our outstanding borrowings under the Floor Plan Credit Agreement, and the resulting interest earned is recognized as an offset to our gross interest expense under the Floor Plan Credit Agreement.</w:t>
      </w:r>
    </w:p>
    <w:p>
      <w:pPr>
        <w:spacing w:after="0" w:line="16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Navistar Financial Corporation and Peterbilt offer trade terms that provide an interest-free inventory stocking period for certain new commercial vehicles. This interest-free period is generally 15 days. If the commercial vehicle is not sold within the interest-free period, we then finance the commercial vehicle under the Floor Plan Credit Agreement.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Backlog</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On June 30, 2018, our backlog of commercial vehicle orders was approximately $1,719.1 million, compared to a backlog of commercial vehicle orders of approximately $1,127.5 million on June 30, 2017. Our backlog is determined quarterly by multiplying the number of new commercial vehicles for each particular type of commercial vehicle ordered by a customer at our Rush Truck Centers by the recent average selling price for that type of commercial vehicle. We include only confirmed orders in our backlog. However, such orders are subject to cancellation. In the event of order cancellation, we have no contractual right to the total revenues reflected in our backlog. The delivery time for a custom-ordered commercial vehicle varies depending on the truck specifications and demand for the particular model ordered. We sell the majority of our new heavy-duty commercial vehicles by customer special order and we sell the majority of our medium- and light-duty commercial vehicles out of inventory. Orders from a number of our major fleet customers are included in our backlog as of June 30, 2018 and we expect to fill our backlog orders during the remainder of 2018 and the first quarter of 2019.</w:t>
      </w:r>
    </w:p>
    <w:p>
      <w:pPr>
        <w:spacing w:after="0" w:line="182"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60"/>
          </w:cols>
          <w:pgMar w:left="240" w:top="118" w:right="599" w:bottom="1440" w:gutter="0" w:footer="0" w:header="0"/>
        </w:sectPr>
      </w:pPr>
    </w:p>
    <w:bookmarkStart w:id="25" w:name="page26"/>
    <w:bookmarkEnd w:id="25"/>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Seasonality</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Truck Segment is moderately seasonal. Seasonal effects on new commercial vehicle sales related to the seasonal purchasing patterns of any single customer type are mitigated by the diverse geographic locations of our dealerships and our diverse customer base, including regional and national fleets, local and state governments, corporations and owner-operators. However, commercial vehicle parts and service operations historically have experienced higher sales volumes in the second and third quarters.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Cyclicality</w:t>
      </w:r>
    </w:p>
    <w:p>
      <w:pPr>
        <w:spacing w:after="0" w:line="225" w:lineRule="exact"/>
        <w:rPr>
          <w:sz w:val="20"/>
          <w:szCs w:val="20"/>
          <w:color w:val="auto"/>
        </w:rPr>
      </w:pPr>
    </w:p>
    <w:p>
      <w:pPr>
        <w:jc w:val="both"/>
        <w:ind w:right="20" w:firstLine="648"/>
        <w:spacing w:after="0" w:line="255" w:lineRule="auto"/>
        <w:rPr>
          <w:sz w:val="20"/>
          <w:szCs w:val="20"/>
          <w:color w:val="auto"/>
        </w:rPr>
      </w:pPr>
      <w:r>
        <w:rPr>
          <w:rFonts w:ascii="Arial" w:cs="Arial" w:eastAsia="Arial" w:hAnsi="Arial"/>
          <w:sz w:val="18"/>
          <w:szCs w:val="18"/>
          <w:color w:val="auto"/>
        </w:rPr>
        <w:t>Our business is dependent on a number of factors including general economic conditions, fuel prices, interest rate fluctuations, credit availability, environmental and other government regulations and customer business cycles. Unit sales of new commercial vehicles have historically been subject to substantial cyclical variation based on these general economic conditions. According to data published by A.C.T. Research, in recent years, total U.S. retail sales of new Class 8 commercial vehicles have ranged from a low of approximately 97,000 in 2009, to a high of approximately 253,000 in 2015. Through geographic expansion, concentration on higher margin Aftermarket Products and Services and diversification of our customer base, we have attempted to reduce the negative impact of adverse general economic conditions or cyclical trends affecting the Class 8 commercial vehicle industry on our earnings.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Off-Balance Sheet Arrangements</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Other than operating leases, we do not have any obligation under any transaction, agreement or other contractual arrangement to which an entity unconsolidated with the Company is a party, that has or is reasonably likely to have a material effect on our financial condition, changes in financial condition, revenues or expenses, results of operations, liquidity, capital expenditures or capital resources that is material to investors.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Environmental Standards and Other Governmental Regulations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are subject to federal, state and local environmental laws and regulations governing the following: discharges into the air and water; the operation and removal of underground and aboveground storage tanks; the use, handling, storage and disposal of hazardous substances, petroleum and other materials; and the investigation and remediation of environmental impacts. As with commercial vehicle dealerships generally, and vehicle service, parts and body shop operations in particular, our business involves the generation, use, storage, handling and contracting for recycling or disposal of hazardous materials or wastes and other environmentally sensitive materials. We have incurred, and will continue to incur, capital and operating expenditures and other costs in complying with such laws and regulations.</w:t>
      </w:r>
    </w:p>
    <w:p>
      <w:pPr>
        <w:spacing w:after="0" w:line="17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Our operations involving the use, handling, storage and disposal of hazardous and nonhazardous materials are subject to the requirements of the federal Resource Conservation and Recovery Act, or RCRA, and comparable state statutes. Pursuant to these laws, federal and state environmental agencies have established approved methods for handling, storage, treatment, transportation and disposal of regulated substances with which we must comply. Our business also involves the operation and use of aboveground and underground storage tanks. These storage tanks are subject to periodic testing, containment, upgrading and removal under RCRA and comparable state statutes. Furthermore, investigation or remediation may be necessary in the event of leaks or other discharges from current or former underground or aboveground storage tanks.</w:t>
      </w:r>
    </w:p>
    <w:p>
      <w:pPr>
        <w:spacing w:after="0" w:line="16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may also have liability in connection with materials that were sent to third-party recycling, treatment, or disposal facilities under the federal Comprehensive Environmental Response, Compensation and Liability Act, or CERCLA, and comparable state statutes. These statutes impose liability for investigation and remediation of environmental impacts without regard to fault or the legality of the conduct that contributed to the impacts. Responsible parties under these statutes may include the owner or operator of the site where impacts occurred and companies that disposed, or arranged for the disposal, of the hazardous substances released at these sites. These responsible parties also may be liable for damages to natural resources. In addition, it is not uncommon for neighboring landowners and other third parties to file claims for personal injury and property damage allegedly caused by the release of hazardous substances or other materials into the environment.</w:t>
      </w:r>
    </w:p>
    <w:p>
      <w:pPr>
        <w:spacing w:after="0" w:line="178"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60"/>
          </w:cols>
          <w:pgMar w:left="240" w:top="118" w:right="599" w:bottom="1440" w:gutter="0" w:footer="0" w:header="0"/>
        </w:sectPr>
      </w:pPr>
    </w:p>
    <w:bookmarkStart w:id="26" w:name="page27"/>
    <w:bookmarkEnd w:id="26"/>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federal Clean Water Act and comparable state statutes require containment of potential discharges of oil or hazardous substances, and require preparation of spill contingency plans. Water quality protection programs govern certain discharges from some of our operations. Similarly, the federal Clean Air Act and comparable state statutes regulate emissions of various air emissions through permitting programs and the imposition of standards and other requirements.</w:t>
      </w:r>
    </w:p>
    <w:p>
      <w:pPr>
        <w:spacing w:after="0" w:line="187" w:lineRule="exact"/>
        <w:rPr>
          <w:sz w:val="20"/>
          <w:szCs w:val="20"/>
          <w:color w:val="auto"/>
        </w:rPr>
      </w:pPr>
    </w:p>
    <w:p>
      <w:pPr>
        <w:jc w:val="both"/>
        <w:ind w:right="20" w:firstLine="648"/>
        <w:spacing w:after="0" w:line="273" w:lineRule="auto"/>
        <w:rPr>
          <w:sz w:val="20"/>
          <w:szCs w:val="20"/>
          <w:color w:val="auto"/>
        </w:rPr>
      </w:pPr>
      <w:r>
        <w:rPr>
          <w:rFonts w:ascii="Arial" w:cs="Arial" w:eastAsia="Arial" w:hAnsi="Arial"/>
          <w:sz w:val="17"/>
          <w:szCs w:val="17"/>
          <w:color w:val="auto"/>
        </w:rPr>
        <w:t>The Environmental Protection Agency (“EPA”) and the National Highway Traffic Safety Administration (“NHTSA”), on behalf of the U.S. Department of Transportation, issued rules associated with reducing greenhouse gas (“GHG”) emissions and improving the fuel efficiency of medium and heavy-duty trucks and buses for model years 2021 through 2027. We do not believe that these rules will negatively impact our business, however, future legislation or other new regulations that may be adopted to address GHG emissions or fuel efficiency standards may negatively impact our business. Additional regulations could result in increased compliance costs, additional operating restrictions or changes in demand for our products and services, which could have a material adverse effect on our business, financial condition and results of operations.</w:t>
      </w:r>
    </w:p>
    <w:p>
      <w:pPr>
        <w:spacing w:after="0" w:line="17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do not believe that we currently have any material environmental liabilities or that compliance with environmental laws and regulations will have a material adverse effect on our results of operations, financial condition or cash flows. However, soil and groundwater impacts are known to exist at some of our dealerships. Further, environmental laws and regulations are complex and subject to change. In addition, in connection with acquisitions, it is possible that we will assume or become subject to new or unforeseen environmental costs or liabilities, some of which may be material. In connection with our dispositions, or prior dispositions made by companies we acquire, we may retain exposure for environmental costs and liabilities, some of which may be material. Compliance with current or amended, or new or more stringent, laws or regulations, stricter interpretations of existing laws or the future discovery of environmental conditions could require additional expenditures by us, and those expenditures could be material.</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jc w:val="both"/>
        <w:ind w:right="40" w:firstLine="648"/>
        <w:spacing w:after="0" w:line="277" w:lineRule="auto"/>
        <w:rPr>
          <w:sz w:val="20"/>
          <w:szCs w:val="20"/>
          <w:color w:val="auto"/>
        </w:rPr>
      </w:pPr>
      <w:r>
        <w:rPr>
          <w:rFonts w:ascii="Arial" w:cs="Arial" w:eastAsia="Arial" w:hAnsi="Arial"/>
          <w:sz w:val="18"/>
          <w:szCs w:val="18"/>
          <w:color w:val="auto"/>
        </w:rPr>
        <w:t>Market risk represents the risk of loss that may impact the financial position, results of operations, or cash flows of the Company due to adverse changes in financial market prices, including interest rate risk, and other relevant market rate or price risks.</w:t>
      </w:r>
    </w:p>
    <w:p>
      <w:pPr>
        <w:spacing w:after="0" w:line="170" w:lineRule="exact"/>
        <w:rPr>
          <w:sz w:val="20"/>
          <w:szCs w:val="20"/>
          <w:color w:val="auto"/>
        </w:rPr>
      </w:pPr>
    </w:p>
    <w:p>
      <w:pPr>
        <w:jc w:val="both"/>
        <w:ind w:right="40" w:firstLine="648"/>
        <w:spacing w:after="0" w:line="302" w:lineRule="auto"/>
        <w:rPr>
          <w:sz w:val="20"/>
          <w:szCs w:val="20"/>
          <w:color w:val="auto"/>
        </w:rPr>
      </w:pPr>
      <w:r>
        <w:rPr>
          <w:rFonts w:ascii="Arial" w:cs="Arial" w:eastAsia="Arial" w:hAnsi="Arial"/>
          <w:sz w:val="16"/>
          <w:szCs w:val="16"/>
          <w:color w:val="auto"/>
        </w:rPr>
        <w:t>We are exposed to market risk through interest rates related to our floor plan financing agreements, the Working Capital Facility, variable rate real estate debt and discount rates related to finance sales. The majority of floor plan debt and variable rate real estate debt is based on LIBOR. As of June 30, 2018, we had floor plan borrowings and variable interest rate real estate debt of approximately $953.7 million. Assuming an increase or decrease in LIBOR of 100 basis points, annual interest expense could correspondingly increase or decrease by approximately $9.5 million.</w:t>
      </w:r>
    </w:p>
    <w:p>
      <w:pPr>
        <w:spacing w:after="0" w:line="154" w:lineRule="exact"/>
        <w:rPr>
          <w:sz w:val="20"/>
          <w:szCs w:val="20"/>
          <w:color w:val="auto"/>
        </w:rPr>
      </w:pPr>
    </w:p>
    <w:p>
      <w:pPr>
        <w:jc w:val="both"/>
        <w:ind w:right="20" w:firstLine="648"/>
        <w:spacing w:after="0" w:line="270" w:lineRule="auto"/>
        <w:rPr>
          <w:sz w:val="20"/>
          <w:szCs w:val="20"/>
          <w:color w:val="auto"/>
        </w:rPr>
      </w:pPr>
      <w:r>
        <w:rPr>
          <w:rFonts w:ascii="Arial" w:cs="Arial" w:eastAsia="Arial" w:hAnsi="Arial"/>
          <w:sz w:val="17"/>
          <w:szCs w:val="17"/>
          <w:color w:val="auto"/>
        </w:rPr>
        <w:t>In the past, we invested in interest-bearing short-term investments consisting of investment-grade auction rate securities classified as available-for-sale. Auctions for investment grade securities held by us have failed. The auction rate securities continue to pay interest in accordance with the terms of the underlying security; however, liquidity will be limited until there is a successful auction or until such time as other markets for these investments develop. As of June 30, 2018, we hold auction rate securities, with underlying tax-exempt municipal bonds that mature in 2030, that have a fair value of $6.0 million. Given the current market conditions in the auction rate securities market, if we determine that the fair value of these securities temporarily decreases by an additional 10%, our equity could correspondingly decrease by approximately $0.6 million. If it is determined that the fair value of these securities is other-than-temporarily impaired by 10%, we could record a loss on our Consolidated Statements of Income and Comprehensive Income of approximately $0.6 million. For further discussion of the risks related to our auction rate securities, see Note 6 – Financial Instruments and Fair Value of the Notes to Consolidated Financial Statements.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jc w:val="both"/>
        <w:ind w:right="40" w:firstLine="648"/>
        <w:spacing w:after="0" w:line="255" w:lineRule="auto"/>
        <w:rPr>
          <w:sz w:val="20"/>
          <w:szCs w:val="20"/>
          <w:color w:val="auto"/>
        </w:rPr>
      </w:pPr>
      <w:r>
        <w:rPr>
          <w:rFonts w:ascii="Arial" w:cs="Arial" w:eastAsia="Arial" w:hAnsi="Arial"/>
          <w:sz w:val="18"/>
          <w:szCs w:val="18"/>
          <w:color w:val="auto"/>
        </w:rPr>
        <w:t>The Company, under the supervision and with the participation of management, including the Company’s principal executive officer and chief financial officer, evaluated the effectiveness of our disclosure controls and procedures as of the end of the period covered by this report. Based on that evaluation, the principal executive officer and chief financial officer concluded that our disclosure controls and procedures were effective as of June 30, 2018 to ensure that information required to be disclosed in the reports filed or submitted under the Securities Exchange Act of 1934 is (i) recorded, processed, summarized and reported within the time periods specified in the Securities and Exchange Commission’s rules and forms, and (ii) is accumulated and communicated to Company management, including the principal executive officer and chief financial officer, as appropriate, to allow timely decisions regarding required disclosure.</w:t>
      </w:r>
    </w:p>
    <w:p>
      <w:pPr>
        <w:spacing w:after="0" w:line="189" w:lineRule="exact"/>
        <w:rPr>
          <w:sz w:val="20"/>
          <w:szCs w:val="20"/>
          <w:color w:val="auto"/>
        </w:rPr>
      </w:pPr>
    </w:p>
    <w:p>
      <w:pPr>
        <w:jc w:val="both"/>
        <w:ind w:right="40" w:firstLine="648"/>
        <w:spacing w:after="0" w:line="277" w:lineRule="auto"/>
        <w:rPr>
          <w:sz w:val="20"/>
          <w:szCs w:val="20"/>
          <w:color w:val="auto"/>
        </w:rPr>
      </w:pPr>
      <w:r>
        <w:rPr>
          <w:rFonts w:ascii="Arial" w:cs="Arial" w:eastAsia="Arial" w:hAnsi="Arial"/>
          <w:sz w:val="18"/>
          <w:szCs w:val="18"/>
          <w:color w:val="auto"/>
        </w:rPr>
        <w:t>There has been no change in our internal control over financial reporting that occurred during the three months ended June 30, 2018 that has materially affected, or is reasonably likely to materially affect, our internal control over financial reporting.</w:t>
      </w:r>
    </w:p>
    <w:p>
      <w:pPr>
        <w:spacing w:after="0" w:line="170"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60"/>
          </w:cols>
          <w:pgMar w:left="240" w:top="118" w:right="599" w:bottom="1440" w:gutter="0" w:footer="0" w:header="0"/>
        </w:sectPr>
      </w:pPr>
    </w:p>
    <w:bookmarkStart w:id="27" w:name="page28"/>
    <w:bookmarkEnd w:id="27"/>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ind w:right="400" w:firstLine="648"/>
        <w:spacing w:after="0" w:line="272" w:lineRule="auto"/>
        <w:rPr>
          <w:sz w:val="20"/>
          <w:szCs w:val="20"/>
          <w:color w:val="auto"/>
        </w:rPr>
      </w:pPr>
      <w:r>
        <w:rPr>
          <w:rFonts w:ascii="Arial" w:cs="Arial" w:eastAsia="Arial" w:hAnsi="Arial"/>
          <w:sz w:val="17"/>
          <w:szCs w:val="17"/>
          <w:color w:val="auto"/>
        </w:rPr>
        <w:t>From time to time, we are involved in litigation arising out of our operations in the ordinary course of business. We maintain liability insurance, including product liability coverage, in amounts deemed adequate by management. To date, aggregate costs to us for claims, including product liability actions, have not been material. However, an uninsured or partially insured claim, or claim for which indemnification is not available, could have a material adverse effect on our financial condition or results of operations. We believe that there are no claims or litigation pending, the outcome of which could have a material adverse effect on our financial position or results of operations. However, due to the inherent uncertainty of litigation, there can be no assurance that the resolution of any particular claim or proceeding would not have a material adverse effect on our financial condition or results of operations for the fiscal period in which such resolution occurred.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right="400" w:firstLine="648"/>
        <w:spacing w:after="0" w:line="259" w:lineRule="auto"/>
        <w:rPr>
          <w:sz w:val="20"/>
          <w:szCs w:val="20"/>
          <w:color w:val="auto"/>
        </w:rPr>
      </w:pPr>
      <w:r>
        <w:rPr>
          <w:rFonts w:ascii="Arial" w:cs="Arial" w:eastAsia="Arial" w:hAnsi="Arial"/>
          <w:sz w:val="18"/>
          <w:szCs w:val="18"/>
          <w:color w:val="auto"/>
        </w:rPr>
        <w:t>While we attempt to identify, manage and mitigate risks and uncertainties associated with our business to the extent practical under the circumstances, some level of risk and uncertainty will always be present. Item 1A, Part I of our 2017 Annual Report on Form 10-K (the “2017 Annual Report”) describes some of the risks and uncertainties associated with our business that have the potential to materially affect our business, financial condition or results of operations.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has been no material change in our risk factors disclosed in our 2017 Annual Report.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did not make any unregistered sales of equity securities during the second quarter of 2018.</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the Company’s stock repurchase activity for the second quarter of 2018 is as follows:</w:t>
      </w:r>
    </w:p>
    <w:p>
      <w:pPr>
        <w:spacing w:after="0" w:line="14"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Approximate</w:t>
            </w:r>
          </w:p>
        </w:tc>
      </w:tr>
      <w:tr>
        <w:trPr>
          <w:trHeight w:val="216"/>
        </w:trPr>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2"/>
              </w:rPr>
              <w:t>Total Number of</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Dollar Value of</w:t>
            </w:r>
          </w:p>
        </w:tc>
      </w:tr>
      <w:tr>
        <w:trPr>
          <w:trHeight w:val="216"/>
        </w:trPr>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Total Number of</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0" w:type="dxa"/>
            <w:vAlign w:val="bottom"/>
            <w:gridSpan w:val="2"/>
          </w:tcPr>
          <w:p>
            <w:pPr>
              <w:jc w:val="center"/>
              <w:ind w:right="640"/>
              <w:spacing w:after="0"/>
              <w:rPr>
                <w:sz w:val="20"/>
                <w:szCs w:val="20"/>
                <w:color w:val="auto"/>
              </w:rPr>
            </w:pPr>
            <w:r>
              <w:rPr>
                <w:rFonts w:ascii="Arial" w:cs="Arial" w:eastAsia="Arial" w:hAnsi="Arial"/>
                <w:sz w:val="18"/>
                <w:szCs w:val="18"/>
                <w:b w:val="1"/>
                <w:bCs w:val="1"/>
                <w:color w:val="auto"/>
                <w:w w:val="90"/>
              </w:rPr>
              <w:t>Average</w:t>
            </w:r>
          </w:p>
        </w:tc>
        <w:tc>
          <w:tcPr>
            <w:tcW w:w="18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6"/>
              </w:rPr>
              <w:t>Shares Purchased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Shares that May</w:t>
            </w:r>
          </w:p>
        </w:tc>
      </w:tr>
      <w:tr>
        <w:trPr>
          <w:trHeight w:val="216"/>
        </w:trPr>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6"/>
              </w:rPr>
              <w:t>Shares</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0" w:type="dxa"/>
            <w:vAlign w:val="bottom"/>
            <w:gridSpan w:val="2"/>
          </w:tcPr>
          <w:p>
            <w:pPr>
              <w:jc w:val="center"/>
              <w:ind w:right="640"/>
              <w:spacing w:after="0"/>
              <w:rPr>
                <w:sz w:val="20"/>
                <w:szCs w:val="20"/>
                <w:color w:val="auto"/>
              </w:rPr>
            </w:pPr>
            <w:r>
              <w:rPr>
                <w:rFonts w:ascii="Arial" w:cs="Arial" w:eastAsia="Arial" w:hAnsi="Arial"/>
                <w:sz w:val="18"/>
                <w:szCs w:val="18"/>
                <w:b w:val="1"/>
                <w:bCs w:val="1"/>
                <w:color w:val="auto"/>
                <w:w w:val="91"/>
              </w:rPr>
              <w:t>Price Paid</w:t>
            </w:r>
          </w:p>
        </w:tc>
        <w:tc>
          <w:tcPr>
            <w:tcW w:w="18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as Part of Publicly</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Yet be Purchased</w:t>
            </w:r>
          </w:p>
        </w:tc>
      </w:tr>
      <w:tr>
        <w:trPr>
          <w:trHeight w:val="216"/>
        </w:trPr>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Purchased</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0" w:type="dxa"/>
            <w:vAlign w:val="bottom"/>
            <w:gridSpan w:val="2"/>
          </w:tcPr>
          <w:p>
            <w:pPr>
              <w:jc w:val="center"/>
              <w:ind w:right="640"/>
              <w:spacing w:after="0"/>
              <w:rPr>
                <w:sz w:val="20"/>
                <w:szCs w:val="20"/>
                <w:color w:val="auto"/>
              </w:rPr>
            </w:pPr>
            <w:r>
              <w:rPr>
                <w:rFonts w:ascii="Arial" w:cs="Arial" w:eastAsia="Arial" w:hAnsi="Arial"/>
                <w:sz w:val="18"/>
                <w:szCs w:val="18"/>
                <w:b w:val="1"/>
                <w:bCs w:val="1"/>
                <w:color w:val="auto"/>
                <w:w w:val="90"/>
              </w:rPr>
              <w:t>Per Share</w:t>
            </w:r>
          </w:p>
        </w:tc>
        <w:tc>
          <w:tcPr>
            <w:tcW w:w="18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Announced Plans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Under the Plans</w:t>
            </w:r>
          </w:p>
        </w:tc>
      </w:tr>
      <w:tr>
        <w:trPr>
          <w:trHeight w:val="234"/>
        </w:trPr>
        <w:tc>
          <w:tcPr>
            <w:tcW w:w="5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9"/>
              </w:rPr>
              <w:t>Period</w:t>
            </w:r>
          </w:p>
        </w:tc>
        <w:tc>
          <w:tcPr>
            <w:tcW w:w="20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(1)(2)(3)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w w:val="90"/>
              </w:rPr>
              <w:t>(1)</w:t>
            </w:r>
          </w:p>
        </w:tc>
        <w:tc>
          <w:tcPr>
            <w:tcW w:w="360" w:type="dxa"/>
            <w:vAlign w:val="bottom"/>
          </w:tcPr>
          <w:p>
            <w:pPr>
              <w:spacing w:after="0"/>
              <w:rPr>
                <w:sz w:val="20"/>
                <w:szCs w:val="20"/>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or Programs (2)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0"/>
              </w:rPr>
              <w:t>or Programs (3)</w:t>
            </w:r>
          </w:p>
        </w:tc>
        <w:tc>
          <w:tcPr>
            <w:tcW w:w="100" w:type="dxa"/>
            <w:vAlign w:val="bottom"/>
          </w:tcPr>
          <w:p>
            <w:pPr>
              <w:spacing w:after="0"/>
              <w:rPr>
                <w:sz w:val="20"/>
                <w:szCs w:val="20"/>
                <w:color w:val="auto"/>
              </w:rPr>
            </w:pPr>
          </w:p>
        </w:tc>
      </w:tr>
      <w:tr>
        <w:trPr>
          <w:trHeight w:val="210"/>
        </w:trPr>
        <w:tc>
          <w:tcPr>
            <w:tcW w:w="580" w:type="dxa"/>
            <w:vAlign w:val="bottom"/>
            <w:shd w:val="clear" w:color="auto" w:fill="CCEEFF"/>
          </w:tcPr>
          <w:p>
            <w:pPr>
              <w:spacing w:after="0"/>
              <w:rPr>
                <w:sz w:val="20"/>
                <w:szCs w:val="20"/>
                <w:color w:val="auto"/>
              </w:rPr>
            </w:pPr>
            <w:r>
              <w:rPr>
                <w:rFonts w:ascii="Arial" w:cs="Arial" w:eastAsia="Arial" w:hAnsi="Arial"/>
                <w:sz w:val="18"/>
                <w:szCs w:val="18"/>
                <w:color w:val="auto"/>
              </w:rPr>
              <w:t>April 1</w:t>
            </w:r>
          </w:p>
        </w:tc>
        <w:tc>
          <w:tcPr>
            <w:tcW w:w="20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660" w:type="dxa"/>
            <w:vAlign w:val="bottom"/>
            <w:shd w:val="clear" w:color="auto" w:fill="CCEEFF"/>
          </w:tcPr>
          <w:p>
            <w:pPr>
              <w:ind w:left="60"/>
              <w:spacing w:after="0"/>
              <w:rPr>
                <w:sz w:val="20"/>
                <w:szCs w:val="20"/>
                <w:color w:val="auto"/>
              </w:rPr>
            </w:pPr>
            <w:r>
              <w:rPr>
                <w:rFonts w:ascii="Arial" w:cs="Arial" w:eastAsia="Arial" w:hAnsi="Arial"/>
                <w:sz w:val="18"/>
                <w:szCs w:val="18"/>
                <w:color w:val="auto"/>
              </w:rPr>
              <w:t>April 30, 2018</w:t>
            </w:r>
          </w:p>
        </w:tc>
        <w:tc>
          <w:tcPr>
            <w:tcW w:w="15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78,545</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39.02</w:t>
            </w:r>
            <w:r>
              <w:rPr>
                <w:rFonts w:ascii="Arial" w:cs="Arial" w:eastAsia="Arial" w:hAnsi="Arial"/>
                <w:sz w:val="18"/>
                <w:szCs w:val="18"/>
                <w:b w:val="1"/>
                <w:bCs w:val="1"/>
                <w:color w:val="auto"/>
              </w:rPr>
              <w:t>(4)</w:t>
            </w:r>
          </w:p>
        </w:tc>
        <w:tc>
          <w:tcPr>
            <w:tcW w:w="1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78,545</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31,423,416</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May 1</w:t>
            </w:r>
          </w:p>
        </w:tc>
        <w:tc>
          <w:tcPr>
            <w:tcW w:w="200" w:type="dxa"/>
            <w:vAlign w:val="bottom"/>
          </w:tcPr>
          <w:p>
            <w:pPr>
              <w:ind w:left="60"/>
              <w:spacing w:after="0"/>
              <w:rPr>
                <w:sz w:val="20"/>
                <w:szCs w:val="20"/>
                <w:color w:val="auto"/>
              </w:rPr>
            </w:pPr>
            <w:r>
              <w:rPr>
                <w:rFonts w:ascii="Arial" w:cs="Arial" w:eastAsia="Arial" w:hAnsi="Arial"/>
                <w:sz w:val="18"/>
                <w:szCs w:val="18"/>
                <w:color w:val="auto"/>
              </w:rPr>
              <w:t>–</w:t>
            </w:r>
          </w:p>
        </w:tc>
        <w:tc>
          <w:tcPr>
            <w:tcW w:w="2660" w:type="dxa"/>
            <w:vAlign w:val="bottom"/>
          </w:tcPr>
          <w:p>
            <w:pPr>
              <w:ind w:left="60"/>
              <w:spacing w:after="0"/>
              <w:rPr>
                <w:sz w:val="20"/>
                <w:szCs w:val="20"/>
                <w:color w:val="auto"/>
              </w:rPr>
            </w:pPr>
            <w:r>
              <w:rPr>
                <w:rFonts w:ascii="Arial" w:cs="Arial" w:eastAsia="Arial" w:hAnsi="Arial"/>
                <w:sz w:val="18"/>
                <w:szCs w:val="18"/>
                <w:color w:val="auto"/>
              </w:rPr>
              <w:t>May 31, 2018</w:t>
            </w:r>
          </w:p>
        </w:tc>
        <w:tc>
          <w:tcPr>
            <w:tcW w:w="1500" w:type="dxa"/>
            <w:vAlign w:val="bottom"/>
            <w:gridSpan w:val="3"/>
          </w:tcPr>
          <w:p>
            <w:pPr>
              <w:jc w:val="right"/>
              <w:ind w:right="100"/>
              <w:spacing w:after="0"/>
              <w:rPr>
                <w:sz w:val="20"/>
                <w:szCs w:val="20"/>
                <w:color w:val="auto"/>
              </w:rPr>
            </w:pPr>
            <w:r>
              <w:rPr>
                <w:rFonts w:ascii="Arial" w:cs="Arial" w:eastAsia="Arial" w:hAnsi="Arial"/>
                <w:sz w:val="18"/>
                <w:szCs w:val="18"/>
                <w:color w:val="auto"/>
              </w:rPr>
              <w:t>51,346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0" w:type="dxa"/>
            <w:vAlign w:val="bottom"/>
            <w:gridSpan w:val="2"/>
          </w:tcPr>
          <w:p>
            <w:pPr>
              <w:jc w:val="right"/>
              <w:ind w:right="140"/>
              <w:spacing w:after="0"/>
              <w:rPr>
                <w:sz w:val="20"/>
                <w:szCs w:val="20"/>
                <w:color w:val="auto"/>
              </w:rPr>
            </w:pPr>
            <w:r>
              <w:rPr>
                <w:rFonts w:ascii="Arial" w:cs="Arial" w:eastAsia="Arial" w:hAnsi="Arial"/>
                <w:sz w:val="18"/>
                <w:szCs w:val="18"/>
                <w:color w:val="auto"/>
              </w:rPr>
              <w:t>41.67</w:t>
            </w:r>
            <w:r>
              <w:rPr>
                <w:rFonts w:ascii="Arial" w:cs="Arial" w:eastAsia="Arial" w:hAnsi="Arial"/>
                <w:sz w:val="18"/>
                <w:szCs w:val="18"/>
                <w:b w:val="1"/>
                <w:bCs w:val="1"/>
                <w:color w:val="auto"/>
              </w:rPr>
              <w:t>(5)</w:t>
            </w:r>
          </w:p>
        </w:tc>
        <w:tc>
          <w:tcPr>
            <w:tcW w:w="1840" w:type="dxa"/>
            <w:vAlign w:val="bottom"/>
            <w:gridSpan w:val="2"/>
          </w:tcPr>
          <w:p>
            <w:pPr>
              <w:jc w:val="right"/>
              <w:ind w:right="100"/>
              <w:spacing w:after="0"/>
              <w:rPr>
                <w:sz w:val="20"/>
                <w:szCs w:val="20"/>
                <w:color w:val="auto"/>
              </w:rPr>
            </w:pPr>
            <w:r>
              <w:rPr>
                <w:rFonts w:ascii="Arial" w:cs="Arial" w:eastAsia="Arial" w:hAnsi="Arial"/>
                <w:sz w:val="18"/>
                <w:szCs w:val="18"/>
                <w:color w:val="auto"/>
              </w:rPr>
              <w:t>51,346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29,282,074</w:t>
            </w:r>
          </w:p>
        </w:tc>
      </w:tr>
      <w:tr>
        <w:trPr>
          <w:trHeight w:val="216"/>
        </w:trPr>
        <w:tc>
          <w:tcPr>
            <w:tcW w:w="580" w:type="dxa"/>
            <w:vAlign w:val="bottom"/>
            <w:shd w:val="clear" w:color="auto" w:fill="CCEEFF"/>
          </w:tcPr>
          <w:p>
            <w:pPr>
              <w:spacing w:after="0"/>
              <w:rPr>
                <w:sz w:val="20"/>
                <w:szCs w:val="20"/>
                <w:color w:val="auto"/>
              </w:rPr>
            </w:pPr>
            <w:r>
              <w:rPr>
                <w:rFonts w:ascii="Arial" w:cs="Arial" w:eastAsia="Arial" w:hAnsi="Arial"/>
                <w:sz w:val="18"/>
                <w:szCs w:val="18"/>
                <w:color w:val="auto"/>
              </w:rPr>
              <w:t>June 1</w:t>
            </w:r>
          </w:p>
        </w:tc>
        <w:tc>
          <w:tcPr>
            <w:tcW w:w="20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660" w:type="dxa"/>
            <w:vAlign w:val="bottom"/>
            <w:shd w:val="clear" w:color="auto" w:fill="CCEEFF"/>
          </w:tcPr>
          <w:p>
            <w:pPr>
              <w:ind w:left="60"/>
              <w:spacing w:after="0"/>
              <w:rPr>
                <w:sz w:val="20"/>
                <w:szCs w:val="20"/>
                <w:color w:val="auto"/>
              </w:rPr>
            </w:pPr>
            <w:r>
              <w:rPr>
                <w:rFonts w:ascii="Arial" w:cs="Arial" w:eastAsia="Arial" w:hAnsi="Arial"/>
                <w:sz w:val="18"/>
                <w:szCs w:val="18"/>
                <w:color w:val="auto"/>
              </w:rPr>
              <w:t>June 30, 2018</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63,458</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43.72</w:t>
            </w:r>
            <w:r>
              <w:rPr>
                <w:rFonts w:ascii="Arial" w:cs="Arial" w:eastAsia="Arial" w:hAnsi="Arial"/>
                <w:sz w:val="18"/>
                <w:szCs w:val="18"/>
                <w:b w:val="1"/>
                <w:bCs w:val="1"/>
                <w:color w:val="auto"/>
              </w:rPr>
              <w:t>(6)</w:t>
            </w:r>
          </w:p>
        </w:tc>
        <w:tc>
          <w:tcPr>
            <w:tcW w:w="1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63,458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26,506,037</w:t>
            </w:r>
          </w:p>
        </w:tc>
      </w:tr>
      <w:tr>
        <w:trPr>
          <w:trHeight w:val="20"/>
        </w:trPr>
        <w:tc>
          <w:tcPr>
            <w:tcW w:w="5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6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4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24"/>
        </w:trPr>
        <w:tc>
          <w:tcPr>
            <w:tcW w:w="580" w:type="dxa"/>
            <w:vAlign w:val="bottom"/>
          </w:tcPr>
          <w:p>
            <w:pPr>
              <w:spacing w:after="0"/>
              <w:rPr>
                <w:sz w:val="20"/>
                <w:szCs w:val="20"/>
                <w:color w:val="auto"/>
              </w:rPr>
            </w:pPr>
            <w:r>
              <w:rPr>
                <w:rFonts w:ascii="Arial" w:cs="Arial" w:eastAsia="Arial" w:hAnsi="Arial"/>
                <w:sz w:val="18"/>
                <w:szCs w:val="18"/>
                <w:color w:val="auto"/>
              </w:rPr>
              <w:t>Total</w:t>
            </w:r>
          </w:p>
        </w:tc>
        <w:tc>
          <w:tcPr>
            <w:tcW w:w="20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193,349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193,349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26,506,037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2466340</wp:posOffset>
            </wp:positionH>
            <wp:positionV relativeFrom="paragraph">
              <wp:posOffset>-8255</wp:posOffset>
            </wp:positionV>
            <wp:extent cx="82359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23595" cy="8890"/>
                    </a:xfrm>
                    <a:prstGeom prst="rect">
                      <a:avLst/>
                    </a:prstGeom>
                    <a:noFill/>
                  </pic:spPr>
                </pic:pic>
              </a:graphicData>
            </a:graphic>
          </wp:anchor>
        </w:drawing>
        <w:drawing>
          <wp:anchor simplePos="0" relativeHeight="251657728" behindDoc="1" locked="0" layoutInCell="0" allowOverlap="1">
            <wp:simplePos x="0" y="0"/>
            <wp:positionH relativeFrom="column">
              <wp:posOffset>4756150</wp:posOffset>
            </wp:positionH>
            <wp:positionV relativeFrom="paragraph">
              <wp:posOffset>-8255</wp:posOffset>
            </wp:positionV>
            <wp:extent cx="226377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263775" cy="8890"/>
                    </a:xfrm>
                    <a:prstGeom prst="rect">
                      <a:avLst/>
                    </a:prstGeom>
                    <a:noFill/>
                  </pic:spPr>
                </pic:pic>
              </a:graphicData>
            </a:graphic>
          </wp:anchor>
        </w:drawing>
      </w:r>
    </w:p>
    <w:p>
      <w:pPr>
        <w:ind w:left="60"/>
        <w:spacing w:after="0"/>
        <w:rPr>
          <w:sz w:val="20"/>
          <w:szCs w:val="20"/>
          <w:color w:val="auto"/>
        </w:rPr>
      </w:pPr>
      <w:r>
        <w:rPr>
          <w:rFonts w:ascii="Arial" w:cs="Arial" w:eastAsia="Arial" w:hAnsi="Arial"/>
          <w:sz w:val="18"/>
          <w:szCs w:val="18"/>
          <w:color w:val="auto"/>
        </w:rPr>
        <w:t>______________</w:t>
      </w:r>
    </w:p>
    <w:p>
      <w:pPr>
        <w:spacing w:after="0" w:line="8" w:lineRule="exact"/>
        <w:rPr>
          <w:sz w:val="20"/>
          <w:szCs w:val="20"/>
          <w:color w:val="auto"/>
        </w:rPr>
      </w:pPr>
    </w:p>
    <w:p>
      <w:pPr>
        <w:ind w:left="660" w:right="380" w:hanging="652"/>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calculation of the average price paid per share does not give effect to any fees, commissions or other costs associated with the repurchase of such shares.</w:t>
      </w: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shares represent Class A and Class B Common Stock repurchased by the Company.</w:t>
      </w:r>
    </w:p>
    <w:p>
      <w:pPr>
        <w:spacing w:after="0" w:line="9" w:lineRule="exact"/>
        <w:rPr>
          <w:rFonts w:ascii="Arial" w:cs="Arial" w:eastAsia="Arial" w:hAnsi="Arial"/>
          <w:sz w:val="18"/>
          <w:szCs w:val="18"/>
          <w:color w:val="auto"/>
        </w:rPr>
      </w:pPr>
    </w:p>
    <w:p>
      <w:pPr>
        <w:jc w:val="both"/>
        <w:ind w:left="660" w:hanging="652"/>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 repurchased shares under a stock repurchase program announced on November 30, 2017, which authorized the repurchase of up to $40.0 million of its shares of Class A Common Stock and/or Class B Common Stock and will expire on November 29, 2018. On March 14, 2018, the Company announced the approval of an increase of $35.0 million to its existing stock purchase program, up to an aggregate of $75.0 million of its shares of Class A Common Stock and/or Class B Common Stock.</w:t>
      </w:r>
    </w:p>
    <w:p>
      <w:pPr>
        <w:spacing w:after="0" w:line="1" w:lineRule="exact"/>
        <w:rPr>
          <w:rFonts w:ascii="Arial" w:cs="Arial" w:eastAsia="Arial" w:hAnsi="Arial"/>
          <w:sz w:val="18"/>
          <w:szCs w:val="18"/>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Represents 78,545 shares of Class B Common Stock at an average price paid per share of $39.02.</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Represents 51,346 shares of Class B Common Stock at an average price paid per share of $41.67.</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Represents 63,458 shares of Class B Common Stock at an average price paid per share of $43.72.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8" w:name="page29"/>
    <w:bookmarkEnd w:id="28"/>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0" w:type="dxa"/>
            <w:vAlign w:val="bottom"/>
          </w:tcPr>
          <w:p>
            <w:pPr>
              <w:spacing w:after="0"/>
              <w:rPr>
                <w:sz w:val="17"/>
                <w:szCs w:val="17"/>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6"/>
              </w:rPr>
              <w:t>Exhibit</w:t>
            </w:r>
          </w:p>
        </w:tc>
        <w:tc>
          <w:tcPr>
            <w:tcW w:w="5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i w:val="1"/>
                <w:iCs w:val="1"/>
                <w:color w:val="auto"/>
                <w:w w:val="89"/>
              </w:rPr>
              <w:t>Exhibit</w:t>
            </w:r>
          </w:p>
        </w:tc>
        <w:tc>
          <w:tcPr>
            <w:tcW w:w="982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840" w:type="dxa"/>
            <w:vAlign w:val="bottom"/>
            <w:gridSpan w:val="2"/>
          </w:tcPr>
          <w:p>
            <w:pPr>
              <w:jc w:val="center"/>
              <w:ind w:right="200"/>
              <w:spacing w:after="0" w:line="196" w:lineRule="exact"/>
              <w:rPr>
                <w:sz w:val="20"/>
                <w:szCs w:val="20"/>
                <w:color w:val="auto"/>
              </w:rPr>
            </w:pPr>
            <w:r>
              <w:rPr>
                <w:rFonts w:ascii="Arial" w:cs="Arial" w:eastAsia="Arial" w:hAnsi="Arial"/>
                <w:sz w:val="18"/>
                <w:szCs w:val="18"/>
                <w:b w:val="1"/>
                <w:bCs w:val="1"/>
                <w:color w:val="auto"/>
                <w:w w:val="94"/>
              </w:rPr>
              <w:t>Number</w:t>
            </w:r>
          </w:p>
        </w:tc>
        <w:tc>
          <w:tcPr>
            <w:tcW w:w="10380" w:type="dxa"/>
            <w:vAlign w:val="bottom"/>
            <w:gridSpan w:val="9"/>
          </w:tcPr>
          <w:p>
            <w:pPr>
              <w:spacing w:after="0" w:line="196" w:lineRule="exact"/>
              <w:rPr>
                <w:sz w:val="20"/>
                <w:szCs w:val="20"/>
                <w:color w:val="auto"/>
              </w:rPr>
            </w:pPr>
            <w:r>
              <w:rPr>
                <w:rFonts w:ascii="Arial" w:cs="Arial" w:eastAsia="Arial" w:hAnsi="Arial"/>
                <w:sz w:val="18"/>
                <w:szCs w:val="18"/>
                <w:b w:val="1"/>
                <w:bCs w:val="1"/>
                <w:i w:val="1"/>
                <w:iCs w:val="1"/>
                <w:color w:val="auto"/>
              </w:rPr>
              <w:t>Title</w:t>
            </w:r>
          </w:p>
        </w:tc>
        <w:tc>
          <w:tcPr>
            <w:tcW w:w="0" w:type="dxa"/>
            <w:vAlign w:val="bottom"/>
          </w:tcPr>
          <w:p>
            <w:pPr>
              <w:spacing w:after="0"/>
              <w:rPr>
                <w:sz w:val="1"/>
                <w:szCs w:val="1"/>
                <w:color w:val="auto"/>
              </w:rPr>
            </w:pPr>
          </w:p>
        </w:tc>
      </w:tr>
      <w:tr>
        <w:trPr>
          <w:trHeight w:val="237"/>
        </w:trPr>
        <w:tc>
          <w:tcPr>
            <w:tcW w:w="200" w:type="dxa"/>
            <w:vAlign w:val="bottom"/>
            <w:vMerge w:val="restart"/>
          </w:tcPr>
          <w:p>
            <w:pPr>
              <w:spacing w:after="0"/>
              <w:rPr>
                <w:sz w:val="20"/>
                <w:szCs w:val="20"/>
                <w:color w:val="auto"/>
              </w:rPr>
            </w:pPr>
          </w:p>
        </w:tc>
        <w:tc>
          <w:tcPr>
            <w:tcW w:w="640" w:type="dxa"/>
            <w:vAlign w:val="bottom"/>
            <w:tcBorders>
              <w:top w:val="single" w:sz="8" w:color="auto"/>
              <w:bottom w:val="single" w:sz="8" w:color="auto"/>
            </w:tcBorders>
            <w:vMerge w:val="restart"/>
          </w:tcPr>
          <w:p>
            <w:pPr>
              <w:jc w:val="right"/>
              <w:ind w:right="110"/>
              <w:spacing w:after="0"/>
              <w:rPr>
                <w:sz w:val="20"/>
                <w:szCs w:val="20"/>
                <w:color w:val="auto"/>
              </w:rPr>
            </w:pPr>
            <w:r>
              <w:rPr>
                <w:rFonts w:ascii="Arial" w:cs="Arial" w:eastAsia="Arial" w:hAnsi="Arial"/>
                <w:sz w:val="18"/>
                <w:szCs w:val="18"/>
                <w:color w:val="auto"/>
              </w:rPr>
              <w:t>3.1</w:t>
            </w:r>
          </w:p>
        </w:tc>
        <w:tc>
          <w:tcPr>
            <w:tcW w:w="200" w:type="dxa"/>
            <w:vAlign w:val="bottom"/>
            <w:vMerge w:val="restart"/>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2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c>
          <w:tcPr>
            <w:tcW w:w="39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0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10380" w:type="dxa"/>
            <w:vAlign w:val="bottom"/>
            <w:tcBorders>
              <w:bottom w:val="single" w:sz="8" w:color="0000EE"/>
            </w:tcBorders>
            <w:gridSpan w:val="9"/>
          </w:tcPr>
          <w:p>
            <w:pPr>
              <w:spacing w:after="0" w:line="170" w:lineRule="exact"/>
              <w:rPr>
                <w:rFonts w:ascii="Arial" w:cs="Arial" w:eastAsia="Arial" w:hAnsi="Arial"/>
                <w:sz w:val="18"/>
                <w:szCs w:val="18"/>
                <w:color w:val="0000EE"/>
                <w:w w:val="91"/>
              </w:rPr>
            </w:pPr>
            <w:hyperlink r:id="rId32">
              <w:r>
                <w:rPr>
                  <w:rFonts w:ascii="Arial" w:cs="Arial" w:eastAsia="Arial" w:hAnsi="Arial"/>
                  <w:sz w:val="18"/>
                  <w:szCs w:val="18"/>
                  <w:color w:val="0000EE"/>
                  <w:w w:val="91"/>
                </w:rPr>
                <w:t>Restated Articles of Incorporation of Rush Enterprises, Inc. (incorporated herein by reference to Exhibit 3.1 of the Company’s Quarterly Report</w:t>
              </w:r>
            </w:hyperlink>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80" w:type="dxa"/>
            <w:vAlign w:val="bottom"/>
            <w:tcBorders>
              <w:bottom w:val="single" w:sz="8" w:color="0000EE"/>
            </w:tcBorders>
            <w:gridSpan w:val="4"/>
          </w:tcPr>
          <w:p>
            <w:pPr>
              <w:spacing w:after="0" w:line="196" w:lineRule="exact"/>
              <w:rPr>
                <w:rFonts w:ascii="Arial" w:cs="Arial" w:eastAsia="Arial" w:hAnsi="Arial"/>
                <w:sz w:val="18"/>
                <w:szCs w:val="18"/>
                <w:color w:val="0000EE"/>
                <w:w w:val="90"/>
              </w:rPr>
            </w:pPr>
            <w:hyperlink r:id="rId32">
              <w:r>
                <w:rPr>
                  <w:rFonts w:ascii="Arial" w:cs="Arial" w:eastAsia="Arial" w:hAnsi="Arial"/>
                  <w:sz w:val="18"/>
                  <w:szCs w:val="18"/>
                  <w:color w:val="0000EE"/>
                  <w:w w:val="90"/>
                </w:rPr>
                <w:t>on Form 10-Q (File No. 000-20797) for the quarter ended June 30, 2008)</w:t>
              </w:r>
            </w:hyperlink>
          </w:p>
        </w:tc>
        <w:tc>
          <w:tcPr>
            <w:tcW w:w="510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40" w:type="dxa"/>
            <w:vAlign w:val="bottom"/>
            <w:gridSpan w:val="2"/>
          </w:tcPr>
          <w:p>
            <w:pPr>
              <w:jc w:val="right"/>
              <w:ind w:right="110"/>
              <w:spacing w:after="0"/>
              <w:rPr>
                <w:sz w:val="20"/>
                <w:szCs w:val="20"/>
                <w:color w:val="auto"/>
              </w:rPr>
            </w:pPr>
            <w:r>
              <w:rPr>
                <w:rFonts w:ascii="Arial" w:cs="Arial" w:eastAsia="Arial" w:hAnsi="Arial"/>
                <w:sz w:val="18"/>
                <w:szCs w:val="18"/>
                <w:color w:val="auto"/>
              </w:rPr>
              <w:t>3.2</w:t>
            </w:r>
          </w:p>
        </w:tc>
        <w:tc>
          <w:tcPr>
            <w:tcW w:w="200" w:type="dxa"/>
            <w:vAlign w:val="bottom"/>
          </w:tcPr>
          <w:p>
            <w:pPr>
              <w:spacing w:after="0"/>
              <w:rPr>
                <w:sz w:val="24"/>
                <w:szCs w:val="24"/>
                <w:color w:val="auto"/>
              </w:rPr>
            </w:pPr>
          </w:p>
        </w:tc>
        <w:tc>
          <w:tcPr>
            <w:tcW w:w="10380" w:type="dxa"/>
            <w:vAlign w:val="bottom"/>
            <w:tcBorders>
              <w:bottom w:val="single" w:sz="8" w:color="0000EE"/>
            </w:tcBorders>
            <w:gridSpan w:val="9"/>
          </w:tcPr>
          <w:p>
            <w:pPr>
              <w:spacing w:after="0"/>
              <w:rPr>
                <w:rFonts w:ascii="Arial" w:cs="Arial" w:eastAsia="Arial" w:hAnsi="Arial"/>
                <w:sz w:val="18"/>
                <w:szCs w:val="18"/>
                <w:color w:val="0000EE"/>
                <w:w w:val="93"/>
              </w:rPr>
            </w:pPr>
            <w:hyperlink r:id="rId33">
              <w:r>
                <w:rPr>
                  <w:rFonts w:ascii="Arial" w:cs="Arial" w:eastAsia="Arial" w:hAnsi="Arial"/>
                  <w:sz w:val="18"/>
                  <w:szCs w:val="18"/>
                  <w:color w:val="0000EE"/>
                  <w:w w:val="93"/>
                </w:rPr>
                <w:t>Rush Enterprises, Inc. Amended and Restated Bylaws (incorporated herein by reference to Exhibit 3.1 of the Company’s Current Report on</w:t>
              </w:r>
            </w:hyperlink>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380" w:type="dxa"/>
            <w:vAlign w:val="bottom"/>
            <w:gridSpan w:val="9"/>
          </w:tcPr>
          <w:p>
            <w:pPr>
              <w:spacing w:after="0" w:line="196" w:lineRule="exact"/>
              <w:rPr>
                <w:rFonts w:ascii="Arial" w:cs="Arial" w:eastAsia="Arial" w:hAnsi="Arial"/>
                <w:sz w:val="18"/>
                <w:szCs w:val="18"/>
                <w:color w:val="0000EE"/>
              </w:rPr>
            </w:pPr>
            <w:hyperlink r:id="rId33">
              <w:r>
                <w:rPr>
                  <w:rFonts w:ascii="Arial" w:cs="Arial" w:eastAsia="Arial" w:hAnsi="Arial"/>
                  <w:sz w:val="18"/>
                  <w:szCs w:val="18"/>
                  <w:color w:val="0000EE"/>
                </w:rPr>
                <w:t>Form 8-K (File No. 000-20797) filed May 21, 2013)</w:t>
              </w:r>
            </w:hyperlink>
          </w:p>
        </w:tc>
        <w:tc>
          <w:tcPr>
            <w:tcW w:w="0" w:type="dxa"/>
            <w:vAlign w:val="bottom"/>
          </w:tcPr>
          <w:p>
            <w:pPr>
              <w:spacing w:after="0"/>
              <w:rPr>
                <w:sz w:val="1"/>
                <w:szCs w:val="1"/>
                <w:color w:val="auto"/>
              </w:rPr>
            </w:pPr>
          </w:p>
        </w:tc>
      </w:tr>
      <w:tr>
        <w:trPr>
          <w:trHeight w:val="20"/>
        </w:trPr>
        <w:tc>
          <w:tcPr>
            <w:tcW w:w="8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780" w:type="dxa"/>
            <w:vAlign w:val="bottom"/>
            <w:gridSpan w:val="3"/>
            <w:shd w:val="clear" w:color="auto" w:fill="0000EE"/>
          </w:tcPr>
          <w:p>
            <w:pPr>
              <w:spacing w:after="0" w:line="20" w:lineRule="exact"/>
              <w:rPr>
                <w:sz w:val="1"/>
                <w:szCs w:val="1"/>
                <w:color w:val="auto"/>
              </w:rPr>
            </w:pPr>
          </w:p>
        </w:tc>
        <w:tc>
          <w:tcPr>
            <w:tcW w:w="5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40" w:type="dxa"/>
            <w:vAlign w:val="bottom"/>
            <w:gridSpan w:val="2"/>
          </w:tcPr>
          <w:p>
            <w:pPr>
              <w:jc w:val="right"/>
              <w:ind w:right="10"/>
              <w:spacing w:after="0"/>
              <w:rPr>
                <w:sz w:val="20"/>
                <w:szCs w:val="20"/>
                <w:color w:val="auto"/>
              </w:rPr>
            </w:pPr>
            <w:r>
              <w:rPr>
                <w:rFonts w:ascii="Arial" w:cs="Arial" w:eastAsia="Arial" w:hAnsi="Arial"/>
                <w:sz w:val="18"/>
                <w:szCs w:val="18"/>
                <w:color w:val="auto"/>
              </w:rPr>
              <w:t>31.1*</w:t>
            </w:r>
          </w:p>
        </w:tc>
        <w:tc>
          <w:tcPr>
            <w:tcW w:w="200" w:type="dxa"/>
            <w:vAlign w:val="bottom"/>
          </w:tcPr>
          <w:p>
            <w:pPr>
              <w:spacing w:after="0"/>
              <w:rPr>
                <w:sz w:val="24"/>
                <w:szCs w:val="24"/>
                <w:color w:val="auto"/>
              </w:rPr>
            </w:pPr>
          </w:p>
        </w:tc>
        <w:tc>
          <w:tcPr>
            <w:tcW w:w="9600" w:type="dxa"/>
            <w:vAlign w:val="bottom"/>
            <w:tcBorders>
              <w:bottom w:val="single" w:sz="8" w:color="0000EE"/>
            </w:tcBorders>
            <w:gridSpan w:val="8"/>
          </w:tcPr>
          <w:p>
            <w:pPr>
              <w:spacing w:after="0"/>
              <w:rPr>
                <w:rFonts w:ascii="Arial" w:cs="Arial" w:eastAsia="Arial" w:hAnsi="Arial"/>
                <w:sz w:val="18"/>
                <w:szCs w:val="18"/>
                <w:color w:val="0000EE"/>
                <w:w w:val="90"/>
              </w:rPr>
            </w:pPr>
            <w:hyperlink w:anchor="page32">
              <w:r>
                <w:rPr>
                  <w:rFonts w:ascii="Arial" w:cs="Arial" w:eastAsia="Arial" w:hAnsi="Arial"/>
                  <w:sz w:val="18"/>
                  <w:szCs w:val="18"/>
                  <w:color w:val="0000EE"/>
                  <w:w w:val="90"/>
                </w:rPr>
                <w:t>Certification of CEO pursuant to Rules 13a-14(a) and 15d-14(a) adopted pursuant to Section 302 of the Sarbanes-Oxley Act of 2002.</w:t>
              </w:r>
            </w:hyperlink>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840" w:type="dxa"/>
            <w:vAlign w:val="bottom"/>
            <w:gridSpan w:val="2"/>
          </w:tcPr>
          <w:p>
            <w:pPr>
              <w:jc w:val="right"/>
              <w:ind w:right="10"/>
              <w:spacing w:after="0"/>
              <w:rPr>
                <w:sz w:val="20"/>
                <w:szCs w:val="20"/>
                <w:color w:val="auto"/>
              </w:rPr>
            </w:pPr>
            <w:r>
              <w:rPr>
                <w:rFonts w:ascii="Arial" w:cs="Arial" w:eastAsia="Arial" w:hAnsi="Arial"/>
                <w:sz w:val="18"/>
                <w:szCs w:val="18"/>
                <w:color w:val="auto"/>
              </w:rPr>
              <w:t>31.2*</w:t>
            </w:r>
          </w:p>
        </w:tc>
        <w:tc>
          <w:tcPr>
            <w:tcW w:w="200" w:type="dxa"/>
            <w:vAlign w:val="bottom"/>
          </w:tcPr>
          <w:p>
            <w:pPr>
              <w:spacing w:after="0"/>
              <w:rPr>
                <w:sz w:val="24"/>
                <w:szCs w:val="24"/>
                <w:color w:val="auto"/>
              </w:rPr>
            </w:pPr>
          </w:p>
        </w:tc>
        <w:tc>
          <w:tcPr>
            <w:tcW w:w="10380" w:type="dxa"/>
            <w:vAlign w:val="bottom"/>
            <w:gridSpan w:val="9"/>
          </w:tcPr>
          <w:p>
            <w:pPr>
              <w:spacing w:after="0"/>
              <w:rPr>
                <w:rFonts w:ascii="Arial" w:cs="Arial" w:eastAsia="Arial" w:hAnsi="Arial"/>
                <w:sz w:val="18"/>
                <w:szCs w:val="18"/>
                <w:color w:val="0000EE"/>
                <w:w w:val="98"/>
              </w:rPr>
            </w:pPr>
            <w:hyperlink w:anchor="page33">
              <w:r>
                <w:rPr>
                  <w:rFonts w:ascii="Arial" w:cs="Arial" w:eastAsia="Arial" w:hAnsi="Arial"/>
                  <w:sz w:val="18"/>
                  <w:szCs w:val="18"/>
                  <w:color w:val="0000EE"/>
                  <w:w w:val="98"/>
                </w:rPr>
                <w:t>Certification of CFO pursuant to Rules 13a-14(a) and 15d-14(a) adopted pursuant to Section 302 of the Sarbanes-Oxley Act of 2002.</w:t>
              </w:r>
            </w:hyperlink>
          </w:p>
        </w:tc>
        <w:tc>
          <w:tcPr>
            <w:tcW w:w="0" w:type="dxa"/>
            <w:vAlign w:val="bottom"/>
          </w:tcPr>
          <w:p>
            <w:pPr>
              <w:spacing w:after="0"/>
              <w:rPr>
                <w:sz w:val="1"/>
                <w:szCs w:val="1"/>
                <w:color w:val="auto"/>
              </w:rPr>
            </w:pPr>
          </w:p>
        </w:tc>
      </w:tr>
      <w:tr>
        <w:trPr>
          <w:trHeight w:val="412"/>
        </w:trPr>
        <w:tc>
          <w:tcPr>
            <w:tcW w:w="840" w:type="dxa"/>
            <w:vAlign w:val="bottom"/>
            <w:gridSpan w:val="2"/>
          </w:tcPr>
          <w:p>
            <w:pPr>
              <w:jc w:val="center"/>
              <w:ind w:left="170"/>
              <w:spacing w:after="0"/>
              <w:rPr>
                <w:sz w:val="20"/>
                <w:szCs w:val="20"/>
                <w:color w:val="auto"/>
              </w:rPr>
            </w:pPr>
            <w:r>
              <w:rPr>
                <w:rFonts w:ascii="Arial" w:cs="Arial" w:eastAsia="Arial" w:hAnsi="Arial"/>
                <w:sz w:val="18"/>
                <w:szCs w:val="18"/>
                <w:color w:val="auto"/>
              </w:rPr>
              <w:t>32.1**</w:t>
            </w:r>
          </w:p>
        </w:tc>
        <w:tc>
          <w:tcPr>
            <w:tcW w:w="200" w:type="dxa"/>
            <w:vAlign w:val="bottom"/>
          </w:tcPr>
          <w:p>
            <w:pPr>
              <w:spacing w:after="0"/>
              <w:rPr>
                <w:sz w:val="24"/>
                <w:szCs w:val="24"/>
                <w:color w:val="auto"/>
              </w:rPr>
            </w:pPr>
          </w:p>
        </w:tc>
        <w:tc>
          <w:tcPr>
            <w:tcW w:w="928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90"/>
              </w:rPr>
            </w:pPr>
            <w:hyperlink w:anchor="page34">
              <w:r>
                <w:rPr>
                  <w:rFonts w:ascii="Arial" w:cs="Arial" w:eastAsia="Arial" w:hAnsi="Arial"/>
                  <w:sz w:val="18"/>
                  <w:szCs w:val="18"/>
                  <w:color w:val="0000EE"/>
                  <w:w w:val="90"/>
                </w:rPr>
                <w:t>Certification of CEO pursuant to 18 U.S.C. Section 1350 as adopted pursuant to Section 906 of the Sarbanes-Oxley Act of 2002.</w:t>
              </w:r>
            </w:hyperlink>
          </w:p>
        </w:tc>
        <w:tc>
          <w:tcPr>
            <w:tcW w:w="300" w:type="dxa"/>
            <w:vAlign w:val="bottom"/>
            <w:tcBorders>
              <w:top w:val="single" w:sz="8" w:color="0000EE"/>
            </w:tcBorders>
          </w:tcPr>
          <w:p>
            <w:pPr>
              <w:spacing w:after="0"/>
              <w:rPr>
                <w:sz w:val="24"/>
                <w:szCs w:val="24"/>
                <w:color w:val="auto"/>
              </w:rPr>
            </w:pPr>
          </w:p>
        </w:tc>
        <w:tc>
          <w:tcPr>
            <w:tcW w:w="8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840" w:type="dxa"/>
            <w:vAlign w:val="bottom"/>
            <w:gridSpan w:val="2"/>
          </w:tcPr>
          <w:p>
            <w:pPr>
              <w:jc w:val="center"/>
              <w:ind w:left="170"/>
              <w:spacing w:after="0"/>
              <w:rPr>
                <w:sz w:val="20"/>
                <w:szCs w:val="20"/>
                <w:color w:val="auto"/>
              </w:rPr>
            </w:pPr>
            <w:r>
              <w:rPr>
                <w:rFonts w:ascii="Arial" w:cs="Arial" w:eastAsia="Arial" w:hAnsi="Arial"/>
                <w:sz w:val="18"/>
                <w:szCs w:val="18"/>
                <w:color w:val="auto"/>
              </w:rPr>
              <w:t>32.2**</w:t>
            </w:r>
          </w:p>
        </w:tc>
        <w:tc>
          <w:tcPr>
            <w:tcW w:w="200" w:type="dxa"/>
            <w:vAlign w:val="bottom"/>
          </w:tcPr>
          <w:p>
            <w:pPr>
              <w:spacing w:after="0"/>
              <w:rPr>
                <w:sz w:val="24"/>
                <w:szCs w:val="24"/>
                <w:color w:val="auto"/>
              </w:rPr>
            </w:pPr>
          </w:p>
        </w:tc>
        <w:tc>
          <w:tcPr>
            <w:tcW w:w="10380" w:type="dxa"/>
            <w:vAlign w:val="bottom"/>
            <w:gridSpan w:val="9"/>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Certification of CFO pursuant to 18 U.S.C. Section 1350 as adopted pursuant to Section 906 of the Sarbanes-Oxley Act of 2002.</w:t>
              </w:r>
            </w:hyperlink>
          </w:p>
        </w:tc>
        <w:tc>
          <w:tcPr>
            <w:tcW w:w="0" w:type="dxa"/>
            <w:vAlign w:val="bottom"/>
          </w:tcPr>
          <w:p>
            <w:pPr>
              <w:spacing w:after="0"/>
              <w:rPr>
                <w:sz w:val="1"/>
                <w:szCs w:val="1"/>
                <w:color w:val="auto"/>
              </w:rPr>
            </w:pPr>
          </w:p>
        </w:tc>
      </w:tr>
      <w:tr>
        <w:trPr>
          <w:trHeight w:val="438"/>
        </w:trPr>
        <w:tc>
          <w:tcPr>
            <w:tcW w:w="1040" w:type="dxa"/>
            <w:vAlign w:val="bottom"/>
            <w:gridSpan w:val="3"/>
          </w:tcPr>
          <w:p>
            <w:pPr>
              <w:spacing w:after="0"/>
              <w:rPr>
                <w:sz w:val="20"/>
                <w:szCs w:val="20"/>
                <w:color w:val="auto"/>
              </w:rPr>
            </w:pPr>
            <w:r>
              <w:rPr>
                <w:rFonts w:ascii="Arial" w:cs="Arial" w:eastAsia="Arial" w:hAnsi="Arial"/>
                <w:sz w:val="18"/>
                <w:szCs w:val="18"/>
                <w:color w:val="auto"/>
              </w:rPr>
              <w:t>101.INS*</w:t>
            </w:r>
          </w:p>
        </w:tc>
        <w:tc>
          <w:tcPr>
            <w:tcW w:w="9260" w:type="dxa"/>
            <w:vAlign w:val="bottom"/>
            <w:tcBorders>
              <w:top w:val="single" w:sz="8" w:color="0000EE"/>
            </w:tcBorders>
            <w:gridSpan w:val="5"/>
          </w:tcPr>
          <w:p>
            <w:pPr>
              <w:spacing w:after="0"/>
              <w:rPr>
                <w:sz w:val="20"/>
                <w:szCs w:val="20"/>
                <w:color w:val="auto"/>
              </w:rPr>
            </w:pPr>
            <w:r>
              <w:rPr>
                <w:rFonts w:ascii="Arial" w:cs="Arial" w:eastAsia="Arial" w:hAnsi="Arial"/>
                <w:sz w:val="18"/>
                <w:szCs w:val="18"/>
                <w:color w:val="auto"/>
              </w:rPr>
              <w:t>XBRL Instance Document.</w:t>
            </w:r>
          </w:p>
        </w:tc>
        <w:tc>
          <w:tcPr>
            <w:tcW w:w="112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40" w:type="dxa"/>
            <w:vAlign w:val="bottom"/>
            <w:gridSpan w:val="3"/>
          </w:tcPr>
          <w:p>
            <w:pPr>
              <w:spacing w:after="0"/>
              <w:rPr>
                <w:sz w:val="20"/>
                <w:szCs w:val="20"/>
                <w:color w:val="auto"/>
              </w:rPr>
            </w:pPr>
            <w:r>
              <w:rPr>
                <w:rFonts w:ascii="Arial" w:cs="Arial" w:eastAsia="Arial" w:hAnsi="Arial"/>
                <w:sz w:val="18"/>
                <w:szCs w:val="18"/>
                <w:color w:val="auto"/>
              </w:rPr>
              <w:t>101.SCH*</w:t>
            </w:r>
          </w:p>
        </w:tc>
        <w:tc>
          <w:tcPr>
            <w:tcW w:w="10380" w:type="dxa"/>
            <w:vAlign w:val="bottom"/>
            <w:gridSpan w:val="9"/>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216"/>
        </w:trPr>
        <w:tc>
          <w:tcPr>
            <w:tcW w:w="1040" w:type="dxa"/>
            <w:vAlign w:val="bottom"/>
            <w:gridSpan w:val="3"/>
          </w:tcPr>
          <w:p>
            <w:pPr>
              <w:spacing w:after="0"/>
              <w:rPr>
                <w:sz w:val="20"/>
                <w:szCs w:val="20"/>
                <w:color w:val="auto"/>
              </w:rPr>
            </w:pPr>
            <w:r>
              <w:rPr>
                <w:rFonts w:ascii="Arial" w:cs="Arial" w:eastAsia="Arial" w:hAnsi="Arial"/>
                <w:sz w:val="18"/>
                <w:szCs w:val="18"/>
                <w:color w:val="auto"/>
              </w:rPr>
              <w:t>101.CAL*</w:t>
            </w:r>
          </w:p>
        </w:tc>
        <w:tc>
          <w:tcPr>
            <w:tcW w:w="10380" w:type="dxa"/>
            <w:vAlign w:val="bottom"/>
            <w:gridSpan w:val="9"/>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216"/>
        </w:trPr>
        <w:tc>
          <w:tcPr>
            <w:tcW w:w="1040" w:type="dxa"/>
            <w:vAlign w:val="bottom"/>
            <w:gridSpan w:val="3"/>
          </w:tcPr>
          <w:p>
            <w:pPr>
              <w:spacing w:after="0"/>
              <w:rPr>
                <w:sz w:val="20"/>
                <w:szCs w:val="20"/>
                <w:color w:val="auto"/>
              </w:rPr>
            </w:pPr>
            <w:r>
              <w:rPr>
                <w:rFonts w:ascii="Arial" w:cs="Arial" w:eastAsia="Arial" w:hAnsi="Arial"/>
                <w:sz w:val="18"/>
                <w:szCs w:val="18"/>
                <w:color w:val="auto"/>
              </w:rPr>
              <w:t>101.DEF*</w:t>
            </w:r>
          </w:p>
        </w:tc>
        <w:tc>
          <w:tcPr>
            <w:tcW w:w="10380" w:type="dxa"/>
            <w:vAlign w:val="bottom"/>
            <w:gridSpan w:val="9"/>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216"/>
        </w:trPr>
        <w:tc>
          <w:tcPr>
            <w:tcW w:w="1040" w:type="dxa"/>
            <w:vAlign w:val="bottom"/>
            <w:gridSpan w:val="3"/>
          </w:tcPr>
          <w:p>
            <w:pPr>
              <w:spacing w:after="0"/>
              <w:rPr>
                <w:sz w:val="20"/>
                <w:szCs w:val="20"/>
                <w:color w:val="auto"/>
              </w:rPr>
            </w:pPr>
            <w:r>
              <w:rPr>
                <w:rFonts w:ascii="Arial" w:cs="Arial" w:eastAsia="Arial" w:hAnsi="Arial"/>
                <w:sz w:val="18"/>
                <w:szCs w:val="18"/>
                <w:color w:val="auto"/>
              </w:rPr>
              <w:t>101.LAB*</w:t>
            </w:r>
          </w:p>
        </w:tc>
        <w:tc>
          <w:tcPr>
            <w:tcW w:w="10380" w:type="dxa"/>
            <w:vAlign w:val="bottom"/>
            <w:gridSpan w:val="9"/>
          </w:tcPr>
          <w:p>
            <w:pPr>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230"/>
        </w:trPr>
        <w:tc>
          <w:tcPr>
            <w:tcW w:w="1040" w:type="dxa"/>
            <w:vAlign w:val="bottom"/>
            <w:gridSpan w:val="3"/>
          </w:tcPr>
          <w:p>
            <w:pPr>
              <w:spacing w:after="0"/>
              <w:rPr>
                <w:sz w:val="20"/>
                <w:szCs w:val="20"/>
                <w:color w:val="auto"/>
              </w:rPr>
            </w:pPr>
            <w:r>
              <w:rPr>
                <w:rFonts w:ascii="Arial" w:cs="Arial" w:eastAsia="Arial" w:hAnsi="Arial"/>
                <w:sz w:val="18"/>
                <w:szCs w:val="18"/>
                <w:color w:val="auto"/>
              </w:rPr>
              <w:t>101.PRE*</w:t>
            </w:r>
          </w:p>
        </w:tc>
        <w:tc>
          <w:tcPr>
            <w:tcW w:w="10380" w:type="dxa"/>
            <w:vAlign w:val="bottom"/>
            <w:gridSpan w:val="9"/>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hanging="652"/>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660" w:right="100" w:hanging="652"/>
        <w:spacing w:after="0" w:line="255"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This exhibit shall not be deemed “filed” for purposes of Section 18 of the Securities Exchange Act of 1934, or otherwise subject to the liability of that section, and shall not be deemed to be incorporated by reference into any filing under the Securities Act of 1933 or the Securities Exchange Act of 1934.</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9" w:name="page30"/>
    <w:bookmarkEnd w:id="29"/>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ind w:right="380"/>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45" w:lineRule="exact"/>
        <w:rPr>
          <w:sz w:val="20"/>
          <w:szCs w:val="20"/>
          <w:color w:val="auto"/>
        </w:rPr>
      </w:pPr>
    </w:p>
    <w:p>
      <w:pPr>
        <w:ind w:right="400" w:firstLine="40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RUSH ENTERPRISES,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0" w:type="dxa"/>
            <w:vAlign w:val="bottom"/>
          </w:tcPr>
          <w:p>
            <w:pPr>
              <w:spacing w:after="0"/>
              <w:rPr>
                <w:sz w:val="20"/>
                <w:szCs w:val="20"/>
                <w:color w:val="auto"/>
              </w:rPr>
            </w:pPr>
            <w:r>
              <w:rPr>
                <w:rFonts w:ascii="Arial" w:cs="Arial" w:eastAsia="Arial" w:hAnsi="Arial"/>
                <w:sz w:val="18"/>
                <w:szCs w:val="18"/>
                <w:color w:val="auto"/>
              </w:rPr>
              <w:t>Date:</w:t>
            </w:r>
          </w:p>
        </w:tc>
        <w:tc>
          <w:tcPr>
            <w:tcW w:w="3180" w:type="dxa"/>
            <w:vAlign w:val="bottom"/>
          </w:tcPr>
          <w:p>
            <w:pPr>
              <w:ind w:left="120"/>
              <w:spacing w:after="0"/>
              <w:rPr>
                <w:sz w:val="20"/>
                <w:szCs w:val="20"/>
                <w:color w:val="auto"/>
              </w:rPr>
            </w:pPr>
            <w:r>
              <w:rPr>
                <w:rFonts w:ascii="Arial" w:cs="Arial" w:eastAsia="Arial" w:hAnsi="Arial"/>
                <w:sz w:val="18"/>
                <w:szCs w:val="18"/>
                <w:color w:val="auto"/>
              </w:rPr>
              <w:t>August 9, 2018</w:t>
            </w:r>
          </w:p>
        </w:tc>
        <w:tc>
          <w:tcPr>
            <w:tcW w:w="7740" w:type="dxa"/>
            <w:vAlign w:val="bottom"/>
            <w:gridSpan w:val="4"/>
          </w:tcPr>
          <w:p>
            <w:pPr>
              <w:ind w:left="2040"/>
              <w:spacing w:after="0"/>
              <w:rPr>
                <w:sz w:val="20"/>
                <w:szCs w:val="20"/>
                <w:color w:val="auto"/>
              </w:rPr>
            </w:pPr>
            <w:r>
              <w:rPr>
                <w:rFonts w:ascii="Arial" w:cs="Arial" w:eastAsia="Arial" w:hAnsi="Arial"/>
                <w:sz w:val="18"/>
                <w:szCs w:val="18"/>
                <w:color w:val="auto"/>
              </w:rPr>
              <w:t>By: /S/ W.M. “RUSTY” RUSH</w:t>
            </w:r>
          </w:p>
        </w:tc>
      </w:tr>
      <w:tr>
        <w:trPr>
          <w:trHeight w:val="222"/>
        </w:trPr>
        <w:tc>
          <w:tcPr>
            <w:tcW w:w="50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9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W.M. “Rusty” Rush</w:t>
            </w:r>
          </w:p>
        </w:tc>
        <w:tc>
          <w:tcPr>
            <w:tcW w:w="3380" w:type="dxa"/>
            <w:vAlign w:val="bottom"/>
          </w:tcPr>
          <w:p>
            <w:pPr>
              <w:spacing w:after="0"/>
              <w:rPr>
                <w:sz w:val="19"/>
                <w:szCs w:val="19"/>
                <w:color w:val="auto"/>
              </w:rPr>
            </w:pPr>
          </w:p>
        </w:tc>
      </w:tr>
      <w:tr>
        <w:trPr>
          <w:trHeight w:val="216"/>
        </w:trPr>
        <w:tc>
          <w:tcPr>
            <w:tcW w:w="50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5340" w:type="dxa"/>
            <w:vAlign w:val="bottom"/>
            <w:gridSpan w:val="3"/>
          </w:tcPr>
          <w:p>
            <w:pPr>
              <w:spacing w:after="0"/>
              <w:rPr>
                <w:sz w:val="20"/>
                <w:szCs w:val="20"/>
                <w:color w:val="auto"/>
              </w:rPr>
            </w:pPr>
            <w:r>
              <w:rPr>
                <w:rFonts w:ascii="Arial" w:cs="Arial" w:eastAsia="Arial" w:hAnsi="Arial"/>
                <w:sz w:val="18"/>
                <w:szCs w:val="18"/>
                <w:color w:val="auto"/>
              </w:rPr>
              <w:t>President, Chief Executive Officer and</w:t>
            </w:r>
          </w:p>
        </w:tc>
      </w:tr>
      <w:tr>
        <w:trPr>
          <w:trHeight w:val="216"/>
        </w:trPr>
        <w:tc>
          <w:tcPr>
            <w:tcW w:w="50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5340" w:type="dxa"/>
            <w:vAlign w:val="bottom"/>
            <w:gridSpan w:val="3"/>
          </w:tcPr>
          <w:p>
            <w:pPr>
              <w:spacing w:after="0"/>
              <w:rPr>
                <w:sz w:val="20"/>
                <w:szCs w:val="20"/>
                <w:color w:val="auto"/>
              </w:rPr>
            </w:pPr>
            <w:r>
              <w:rPr>
                <w:rFonts w:ascii="Arial" w:cs="Arial" w:eastAsia="Arial" w:hAnsi="Arial"/>
                <w:sz w:val="18"/>
                <w:szCs w:val="18"/>
                <w:color w:val="auto"/>
              </w:rPr>
              <w:t>Chairman of the Board</w:t>
            </w:r>
          </w:p>
        </w:tc>
      </w:tr>
      <w:tr>
        <w:trPr>
          <w:trHeight w:val="230"/>
        </w:trPr>
        <w:tc>
          <w:tcPr>
            <w:tcW w:w="50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5340" w:type="dxa"/>
            <w:vAlign w:val="bottom"/>
            <w:gridSpan w:val="3"/>
          </w:tcPr>
          <w:p>
            <w:pPr>
              <w:spacing w:after="0"/>
              <w:rPr>
                <w:sz w:val="20"/>
                <w:szCs w:val="20"/>
                <w:color w:val="auto"/>
              </w:rPr>
            </w:pPr>
            <w:r>
              <w:rPr>
                <w:rFonts w:ascii="Arial" w:cs="Arial" w:eastAsia="Arial" w:hAnsi="Arial"/>
                <w:sz w:val="18"/>
                <w:szCs w:val="18"/>
                <w:color w:val="auto"/>
              </w:rPr>
              <w:t>(Principal Executive Officer)</w:t>
            </w:r>
          </w:p>
        </w:tc>
      </w:tr>
      <w:tr>
        <w:trPr>
          <w:trHeight w:val="824"/>
        </w:trPr>
        <w:tc>
          <w:tcPr>
            <w:tcW w:w="500" w:type="dxa"/>
            <w:vAlign w:val="bottom"/>
          </w:tcPr>
          <w:p>
            <w:pPr>
              <w:spacing w:after="0"/>
              <w:rPr>
                <w:sz w:val="20"/>
                <w:szCs w:val="20"/>
                <w:color w:val="auto"/>
              </w:rPr>
            </w:pPr>
            <w:r>
              <w:rPr>
                <w:rFonts w:ascii="Arial" w:cs="Arial" w:eastAsia="Arial" w:hAnsi="Arial"/>
                <w:sz w:val="18"/>
                <w:szCs w:val="18"/>
                <w:color w:val="auto"/>
              </w:rPr>
              <w:t>Date:</w:t>
            </w:r>
          </w:p>
        </w:tc>
        <w:tc>
          <w:tcPr>
            <w:tcW w:w="3180" w:type="dxa"/>
            <w:vAlign w:val="bottom"/>
          </w:tcPr>
          <w:p>
            <w:pPr>
              <w:ind w:left="120"/>
              <w:spacing w:after="0"/>
              <w:rPr>
                <w:sz w:val="20"/>
                <w:szCs w:val="20"/>
                <w:color w:val="auto"/>
              </w:rPr>
            </w:pPr>
            <w:r>
              <w:rPr>
                <w:rFonts w:ascii="Arial" w:cs="Arial" w:eastAsia="Arial" w:hAnsi="Arial"/>
                <w:sz w:val="18"/>
                <w:szCs w:val="18"/>
                <w:color w:val="auto"/>
              </w:rPr>
              <w:t>August 9, 2018</w:t>
            </w:r>
          </w:p>
        </w:tc>
        <w:tc>
          <w:tcPr>
            <w:tcW w:w="7740" w:type="dxa"/>
            <w:vAlign w:val="bottom"/>
            <w:gridSpan w:val="4"/>
          </w:tcPr>
          <w:p>
            <w:pPr>
              <w:ind w:left="2040"/>
              <w:spacing w:after="0"/>
              <w:rPr>
                <w:sz w:val="20"/>
                <w:szCs w:val="20"/>
                <w:color w:val="auto"/>
              </w:rPr>
            </w:pPr>
            <w:r>
              <w:rPr>
                <w:rFonts w:ascii="Arial" w:cs="Arial" w:eastAsia="Arial" w:hAnsi="Arial"/>
                <w:sz w:val="18"/>
                <w:szCs w:val="18"/>
                <w:color w:val="auto"/>
              </w:rPr>
              <w:t>By: /S/ STEVEN L. KELLER</w:t>
            </w:r>
          </w:p>
        </w:tc>
      </w:tr>
      <w:tr>
        <w:trPr>
          <w:trHeight w:val="222"/>
        </w:trPr>
        <w:tc>
          <w:tcPr>
            <w:tcW w:w="50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8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Steven L. Keller</w:t>
            </w:r>
          </w:p>
        </w:tc>
        <w:tc>
          <w:tcPr>
            <w:tcW w:w="3480" w:type="dxa"/>
            <w:vAlign w:val="bottom"/>
            <w:gridSpan w:val="2"/>
          </w:tcPr>
          <w:p>
            <w:pPr>
              <w:spacing w:after="0"/>
              <w:rPr>
                <w:sz w:val="19"/>
                <w:szCs w:val="19"/>
                <w:color w:val="auto"/>
              </w:rPr>
            </w:pPr>
          </w:p>
        </w:tc>
      </w:tr>
      <w:tr>
        <w:trPr>
          <w:trHeight w:val="216"/>
        </w:trPr>
        <w:tc>
          <w:tcPr>
            <w:tcW w:w="50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5340" w:type="dxa"/>
            <w:vAlign w:val="bottom"/>
            <w:gridSpan w:val="3"/>
          </w:tcPr>
          <w:p>
            <w:pPr>
              <w:spacing w:after="0"/>
              <w:rPr>
                <w:sz w:val="20"/>
                <w:szCs w:val="20"/>
                <w:color w:val="auto"/>
              </w:rPr>
            </w:pPr>
            <w:r>
              <w:rPr>
                <w:rFonts w:ascii="Arial" w:cs="Arial" w:eastAsia="Arial" w:hAnsi="Arial"/>
                <w:sz w:val="18"/>
                <w:szCs w:val="18"/>
                <w:color w:val="auto"/>
              </w:rPr>
              <w:t>Chief Financial Officer and Treasurer</w:t>
            </w:r>
          </w:p>
        </w:tc>
      </w:tr>
      <w:tr>
        <w:trPr>
          <w:trHeight w:val="230"/>
        </w:trPr>
        <w:tc>
          <w:tcPr>
            <w:tcW w:w="50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5340" w:type="dxa"/>
            <w:vAlign w:val="bottom"/>
            <w:gridSpan w:val="3"/>
          </w:tcPr>
          <w:p>
            <w:pPr>
              <w:spacing w:after="0"/>
              <w:rPr>
                <w:sz w:val="20"/>
                <w:szCs w:val="20"/>
                <w:color w:val="auto"/>
              </w:rPr>
            </w:pPr>
            <w:r>
              <w:rPr>
                <w:rFonts w:ascii="Arial" w:cs="Arial" w:eastAsia="Arial" w:hAnsi="Arial"/>
                <w:sz w:val="18"/>
                <w:szCs w:val="18"/>
                <w:color w:val="auto"/>
              </w:rPr>
              <w:t>(Principal Financial and Accounting Officer)</w:t>
            </w:r>
          </w:p>
        </w:tc>
      </w:tr>
      <w:tr>
        <w:trPr>
          <w:trHeight w:val="864"/>
        </w:trPr>
        <w:tc>
          <w:tcPr>
            <w:tcW w:w="50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2400" w:type="dxa"/>
            <w:vAlign w:val="bottom"/>
          </w:tcPr>
          <w:p>
            <w:pPr>
              <w:jc w:val="right"/>
              <w:ind w:right="190"/>
              <w:spacing w:after="0"/>
              <w:rPr>
                <w:sz w:val="20"/>
                <w:szCs w:val="20"/>
                <w:color w:val="auto"/>
              </w:rPr>
            </w:pPr>
            <w:r>
              <w:rPr>
                <w:rFonts w:ascii="Arial" w:cs="Arial" w:eastAsia="Arial" w:hAnsi="Arial"/>
                <w:sz w:val="18"/>
                <w:szCs w:val="18"/>
                <w:color w:val="auto"/>
              </w:rPr>
              <w:t>30</w:t>
            </w: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115"/>
        </w:trPr>
        <w:tc>
          <w:tcPr>
            <w:tcW w:w="500" w:type="dxa"/>
            <w:vAlign w:val="bottom"/>
            <w:tcBorders>
              <w:bottom w:val="single" w:sz="8" w:color="auto"/>
            </w:tcBorders>
          </w:tcPr>
          <w:p>
            <w:pPr>
              <w:spacing w:after="0"/>
              <w:rPr>
                <w:sz w:val="10"/>
                <w:szCs w:val="10"/>
                <w:color w:val="auto"/>
              </w:rPr>
            </w:pPr>
          </w:p>
        </w:tc>
        <w:tc>
          <w:tcPr>
            <w:tcW w:w="3180" w:type="dxa"/>
            <w:vAlign w:val="bottom"/>
            <w:tcBorders>
              <w:bottom w:val="single" w:sz="8" w:color="auto"/>
            </w:tcBorders>
          </w:tcPr>
          <w:p>
            <w:pPr>
              <w:spacing w:after="0"/>
              <w:rPr>
                <w:sz w:val="10"/>
                <w:szCs w:val="10"/>
                <w:color w:val="auto"/>
              </w:rPr>
            </w:pPr>
          </w:p>
        </w:tc>
        <w:tc>
          <w:tcPr>
            <w:tcW w:w="2400" w:type="dxa"/>
            <w:vAlign w:val="bottom"/>
            <w:tcBorders>
              <w:bottom w:val="single" w:sz="8" w:color="auto"/>
            </w:tcBorders>
          </w:tcPr>
          <w:p>
            <w:pPr>
              <w:spacing w:after="0"/>
              <w:rPr>
                <w:sz w:val="10"/>
                <w:szCs w:val="10"/>
                <w:color w:val="auto"/>
              </w:rPr>
            </w:pPr>
          </w:p>
        </w:tc>
        <w:tc>
          <w:tcPr>
            <w:tcW w:w="18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38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118" w:right="239" w:bottom="1440" w:gutter="0" w:footer="0" w:header="0"/>
        </w:sectPr>
      </w:pPr>
    </w:p>
    <w:bookmarkStart w:id="30" w:name="page31"/>
    <w:bookmarkEnd w:id="30"/>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ind w:right="380"/>
        <w:spacing w:after="0"/>
        <w:rPr>
          <w:sz w:val="20"/>
          <w:szCs w:val="20"/>
          <w:color w:val="auto"/>
        </w:rPr>
      </w:pPr>
      <w:r>
        <w:rPr>
          <w:rFonts w:ascii="Arial" w:cs="Arial" w:eastAsia="Arial" w:hAnsi="Arial"/>
          <w:sz w:val="18"/>
          <w:szCs w:val="18"/>
          <w:b w:val="1"/>
          <w:bCs w:val="1"/>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0" w:type="dxa"/>
            <w:vAlign w:val="bottom"/>
          </w:tcPr>
          <w:p>
            <w:pPr>
              <w:spacing w:after="0"/>
              <w:rPr>
                <w:sz w:val="17"/>
                <w:szCs w:val="17"/>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6"/>
              </w:rPr>
              <w:t>Exhibit</w:t>
            </w:r>
          </w:p>
        </w:tc>
        <w:tc>
          <w:tcPr>
            <w:tcW w:w="5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3"/>
              </w:rPr>
              <w:t>Exhibit</w:t>
            </w:r>
          </w:p>
        </w:tc>
        <w:tc>
          <w:tcPr>
            <w:tcW w:w="9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840" w:type="dxa"/>
            <w:vAlign w:val="bottom"/>
            <w:gridSpan w:val="2"/>
          </w:tcPr>
          <w:p>
            <w:pPr>
              <w:jc w:val="center"/>
              <w:ind w:right="200"/>
              <w:spacing w:after="0" w:line="196" w:lineRule="exact"/>
              <w:rPr>
                <w:sz w:val="20"/>
                <w:szCs w:val="20"/>
                <w:color w:val="auto"/>
              </w:rPr>
            </w:pPr>
            <w:r>
              <w:rPr>
                <w:rFonts w:ascii="Arial" w:cs="Arial" w:eastAsia="Arial" w:hAnsi="Arial"/>
                <w:sz w:val="18"/>
                <w:szCs w:val="18"/>
                <w:b w:val="1"/>
                <w:bCs w:val="1"/>
                <w:color w:val="auto"/>
                <w:w w:val="94"/>
              </w:rPr>
              <w:t>Number</w:t>
            </w:r>
          </w:p>
        </w:tc>
        <w:tc>
          <w:tcPr>
            <w:tcW w:w="10380" w:type="dxa"/>
            <w:vAlign w:val="bottom"/>
            <w:gridSpan w:val="3"/>
          </w:tcPr>
          <w:p>
            <w:pPr>
              <w:spacing w:after="0" w:line="196" w:lineRule="exact"/>
              <w:rPr>
                <w:sz w:val="20"/>
                <w:szCs w:val="20"/>
                <w:color w:val="auto"/>
              </w:rPr>
            </w:pPr>
            <w:r>
              <w:rPr>
                <w:rFonts w:ascii="Arial" w:cs="Arial" w:eastAsia="Arial" w:hAnsi="Arial"/>
                <w:sz w:val="18"/>
                <w:szCs w:val="18"/>
                <w:b w:val="1"/>
                <w:bCs w:val="1"/>
                <w:color w:val="auto"/>
              </w:rPr>
              <w:t>Title</w:t>
            </w:r>
          </w:p>
        </w:tc>
        <w:tc>
          <w:tcPr>
            <w:tcW w:w="0" w:type="dxa"/>
            <w:vAlign w:val="bottom"/>
          </w:tcPr>
          <w:p>
            <w:pPr>
              <w:spacing w:after="0"/>
              <w:rPr>
                <w:sz w:val="1"/>
                <w:szCs w:val="1"/>
                <w:color w:val="auto"/>
              </w:rPr>
            </w:pPr>
          </w:p>
        </w:tc>
      </w:tr>
      <w:tr>
        <w:trPr>
          <w:trHeight w:val="237"/>
        </w:trPr>
        <w:tc>
          <w:tcPr>
            <w:tcW w:w="200" w:type="dxa"/>
            <w:vAlign w:val="bottom"/>
            <w:vMerge w:val="restart"/>
          </w:tcPr>
          <w:p>
            <w:pPr>
              <w:spacing w:after="0"/>
              <w:rPr>
                <w:sz w:val="20"/>
                <w:szCs w:val="20"/>
                <w:color w:val="auto"/>
              </w:rPr>
            </w:pPr>
          </w:p>
        </w:tc>
        <w:tc>
          <w:tcPr>
            <w:tcW w:w="640" w:type="dxa"/>
            <w:vAlign w:val="bottom"/>
            <w:tcBorders>
              <w:top w:val="single" w:sz="8" w:color="auto"/>
              <w:bottom w:val="single" w:sz="8" w:color="auto"/>
            </w:tcBorders>
            <w:vMerge w:val="restart"/>
          </w:tcPr>
          <w:p>
            <w:pPr>
              <w:jc w:val="right"/>
              <w:ind w:right="110"/>
              <w:spacing w:after="0"/>
              <w:rPr>
                <w:sz w:val="20"/>
                <w:szCs w:val="20"/>
                <w:color w:val="auto"/>
              </w:rPr>
            </w:pPr>
            <w:r>
              <w:rPr>
                <w:rFonts w:ascii="Arial" w:cs="Arial" w:eastAsia="Arial" w:hAnsi="Arial"/>
                <w:sz w:val="18"/>
                <w:szCs w:val="18"/>
                <w:color w:val="auto"/>
              </w:rPr>
              <w:t>3.1</w:t>
            </w:r>
          </w:p>
        </w:tc>
        <w:tc>
          <w:tcPr>
            <w:tcW w:w="200" w:type="dxa"/>
            <w:vAlign w:val="bottom"/>
            <w:vMerge w:val="restart"/>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8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00" w:type="dxa"/>
            <w:vAlign w:val="bottom"/>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200" w:type="dxa"/>
            <w:vAlign w:val="bottom"/>
            <w:vMerge w:val="continue"/>
          </w:tcPr>
          <w:p>
            <w:pPr>
              <w:spacing w:after="0"/>
              <w:rPr>
                <w:sz w:val="16"/>
                <w:szCs w:val="16"/>
                <w:color w:val="auto"/>
              </w:rPr>
            </w:pPr>
          </w:p>
        </w:tc>
        <w:tc>
          <w:tcPr>
            <w:tcW w:w="10380" w:type="dxa"/>
            <w:vAlign w:val="bottom"/>
            <w:gridSpan w:val="3"/>
          </w:tcPr>
          <w:p>
            <w:pPr>
              <w:spacing w:after="0" w:line="195" w:lineRule="exact"/>
              <w:rPr>
                <w:sz w:val="20"/>
                <w:szCs w:val="20"/>
                <w:color w:val="auto"/>
              </w:rPr>
            </w:pPr>
            <w:r>
              <w:rPr>
                <w:rFonts w:ascii="Arial" w:cs="Arial" w:eastAsia="Arial" w:hAnsi="Arial"/>
                <w:sz w:val="18"/>
                <w:szCs w:val="18"/>
                <w:color w:val="auto"/>
                <w:w w:val="91"/>
              </w:rPr>
              <w:t>Restated Articles of Incorporation of Rush Enterprises, Inc. (incorporated herein by reference to Exhibit 3.1 of the Company’s Quarterly Report</w:t>
            </w:r>
          </w:p>
        </w:tc>
        <w:tc>
          <w:tcPr>
            <w:tcW w:w="0" w:type="dxa"/>
            <w:vAlign w:val="bottom"/>
          </w:tcPr>
          <w:p>
            <w:pPr>
              <w:spacing w:after="0"/>
              <w:rPr>
                <w:sz w:val="1"/>
                <w:szCs w:val="1"/>
                <w:color w:val="auto"/>
              </w:rPr>
            </w:pPr>
          </w:p>
        </w:tc>
      </w:tr>
      <w:tr>
        <w:trPr>
          <w:trHeight w:val="230"/>
        </w:trPr>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380" w:type="dxa"/>
            <w:vAlign w:val="bottom"/>
            <w:gridSpan w:val="3"/>
          </w:tcPr>
          <w:p>
            <w:pPr>
              <w:spacing w:after="0"/>
              <w:rPr>
                <w:sz w:val="20"/>
                <w:szCs w:val="20"/>
                <w:color w:val="auto"/>
              </w:rPr>
            </w:pPr>
            <w:r>
              <w:rPr>
                <w:rFonts w:ascii="Arial" w:cs="Arial" w:eastAsia="Arial" w:hAnsi="Arial"/>
                <w:sz w:val="18"/>
                <w:szCs w:val="18"/>
                <w:color w:val="auto"/>
              </w:rPr>
              <w:t>on Form 10-Q (File No. 000-20797) for the quarter ended June 30, 2008)</w:t>
            </w:r>
          </w:p>
        </w:tc>
        <w:tc>
          <w:tcPr>
            <w:tcW w:w="0" w:type="dxa"/>
            <w:vAlign w:val="bottom"/>
          </w:tcPr>
          <w:p>
            <w:pPr>
              <w:spacing w:after="0"/>
              <w:rPr>
                <w:sz w:val="1"/>
                <w:szCs w:val="1"/>
                <w:color w:val="auto"/>
              </w:rPr>
            </w:pPr>
          </w:p>
        </w:tc>
      </w:tr>
      <w:tr>
        <w:trPr>
          <w:trHeight w:val="418"/>
        </w:trPr>
        <w:tc>
          <w:tcPr>
            <w:tcW w:w="840" w:type="dxa"/>
            <w:vAlign w:val="bottom"/>
            <w:gridSpan w:val="2"/>
          </w:tcPr>
          <w:p>
            <w:pPr>
              <w:jc w:val="right"/>
              <w:ind w:right="110"/>
              <w:spacing w:after="0"/>
              <w:rPr>
                <w:sz w:val="20"/>
                <w:szCs w:val="20"/>
                <w:color w:val="auto"/>
              </w:rPr>
            </w:pPr>
            <w:r>
              <w:rPr>
                <w:rFonts w:ascii="Arial" w:cs="Arial" w:eastAsia="Arial" w:hAnsi="Arial"/>
                <w:sz w:val="18"/>
                <w:szCs w:val="18"/>
                <w:color w:val="auto"/>
              </w:rPr>
              <w:t>3.2</w:t>
            </w:r>
          </w:p>
        </w:tc>
        <w:tc>
          <w:tcPr>
            <w:tcW w:w="200" w:type="dxa"/>
            <w:vAlign w:val="bottom"/>
          </w:tcPr>
          <w:p>
            <w:pPr>
              <w:spacing w:after="0"/>
              <w:rPr>
                <w:sz w:val="24"/>
                <w:szCs w:val="24"/>
                <w:color w:val="auto"/>
              </w:rPr>
            </w:pPr>
          </w:p>
        </w:tc>
        <w:tc>
          <w:tcPr>
            <w:tcW w:w="10380" w:type="dxa"/>
            <w:vAlign w:val="bottom"/>
            <w:gridSpan w:val="3"/>
          </w:tcPr>
          <w:p>
            <w:pPr>
              <w:spacing w:after="0"/>
              <w:rPr>
                <w:sz w:val="20"/>
                <w:szCs w:val="20"/>
                <w:color w:val="auto"/>
              </w:rPr>
            </w:pPr>
            <w:r>
              <w:rPr>
                <w:rFonts w:ascii="Arial" w:cs="Arial" w:eastAsia="Arial" w:hAnsi="Arial"/>
                <w:sz w:val="18"/>
                <w:szCs w:val="18"/>
                <w:color w:val="auto"/>
                <w:w w:val="93"/>
              </w:rPr>
              <w:t>Rush Enterprises, Inc. Amended and Restated Bylaws (incorporated herein by reference to Exhibit 3.1 of the Company’s Current Report on</w:t>
            </w:r>
          </w:p>
        </w:tc>
        <w:tc>
          <w:tcPr>
            <w:tcW w:w="0" w:type="dxa"/>
            <w:vAlign w:val="bottom"/>
          </w:tcPr>
          <w:p>
            <w:pPr>
              <w:spacing w:after="0"/>
              <w:rPr>
                <w:sz w:val="1"/>
                <w:szCs w:val="1"/>
                <w:color w:val="auto"/>
              </w:rPr>
            </w:pPr>
          </w:p>
        </w:tc>
      </w:tr>
      <w:tr>
        <w:trPr>
          <w:trHeight w:val="230"/>
        </w:trPr>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380" w:type="dxa"/>
            <w:vAlign w:val="bottom"/>
            <w:gridSpan w:val="3"/>
          </w:tcPr>
          <w:p>
            <w:pPr>
              <w:spacing w:after="0"/>
              <w:rPr>
                <w:sz w:val="20"/>
                <w:szCs w:val="20"/>
                <w:color w:val="auto"/>
              </w:rPr>
            </w:pPr>
            <w:r>
              <w:rPr>
                <w:rFonts w:ascii="Arial" w:cs="Arial" w:eastAsia="Arial" w:hAnsi="Arial"/>
                <w:sz w:val="18"/>
                <w:szCs w:val="18"/>
                <w:color w:val="auto"/>
              </w:rPr>
              <w:t>Form 8-K (File No. 000-20797) filed May 21,2013)</w:t>
            </w:r>
          </w:p>
        </w:tc>
        <w:tc>
          <w:tcPr>
            <w:tcW w:w="0" w:type="dxa"/>
            <w:vAlign w:val="bottom"/>
          </w:tcPr>
          <w:p>
            <w:pPr>
              <w:spacing w:after="0"/>
              <w:rPr>
                <w:sz w:val="1"/>
                <w:szCs w:val="1"/>
                <w:color w:val="auto"/>
              </w:rPr>
            </w:pPr>
          </w:p>
        </w:tc>
      </w:tr>
      <w:tr>
        <w:trPr>
          <w:trHeight w:val="432"/>
        </w:trPr>
        <w:tc>
          <w:tcPr>
            <w:tcW w:w="840" w:type="dxa"/>
            <w:vAlign w:val="bottom"/>
            <w:gridSpan w:val="2"/>
          </w:tcPr>
          <w:p>
            <w:pPr>
              <w:jc w:val="right"/>
              <w:ind w:right="10"/>
              <w:spacing w:after="0"/>
              <w:rPr>
                <w:sz w:val="20"/>
                <w:szCs w:val="20"/>
                <w:color w:val="auto"/>
              </w:rPr>
            </w:pPr>
            <w:r>
              <w:rPr>
                <w:rFonts w:ascii="Arial" w:cs="Arial" w:eastAsia="Arial" w:hAnsi="Arial"/>
                <w:sz w:val="18"/>
                <w:szCs w:val="18"/>
                <w:color w:val="auto"/>
              </w:rPr>
              <w:t>31.1*</w:t>
            </w:r>
          </w:p>
        </w:tc>
        <w:tc>
          <w:tcPr>
            <w:tcW w:w="200" w:type="dxa"/>
            <w:vAlign w:val="bottom"/>
          </w:tcPr>
          <w:p>
            <w:pPr>
              <w:spacing w:after="0"/>
              <w:rPr>
                <w:sz w:val="24"/>
                <w:szCs w:val="24"/>
                <w:color w:val="auto"/>
              </w:rPr>
            </w:pPr>
          </w:p>
        </w:tc>
        <w:tc>
          <w:tcPr>
            <w:tcW w:w="10380" w:type="dxa"/>
            <w:vAlign w:val="bottom"/>
            <w:gridSpan w:val="3"/>
          </w:tcPr>
          <w:p>
            <w:pPr>
              <w:spacing w:after="0"/>
              <w:rPr>
                <w:sz w:val="20"/>
                <w:szCs w:val="20"/>
                <w:color w:val="auto"/>
              </w:rPr>
            </w:pPr>
            <w:r>
              <w:rPr>
                <w:rFonts w:ascii="Arial" w:cs="Arial" w:eastAsia="Arial" w:hAnsi="Arial"/>
                <w:sz w:val="18"/>
                <w:szCs w:val="18"/>
                <w:color w:val="auto"/>
                <w:w w:val="98"/>
              </w:rPr>
              <w:t>Certification of CEO pursuant to Rules 13a-14(a) and 15d-14(a) adopted pursuant to Section 302 of the Sarbanes-Oxley Act of 2002.</w:t>
            </w:r>
          </w:p>
        </w:tc>
        <w:tc>
          <w:tcPr>
            <w:tcW w:w="0" w:type="dxa"/>
            <w:vAlign w:val="bottom"/>
          </w:tcPr>
          <w:p>
            <w:pPr>
              <w:spacing w:after="0"/>
              <w:rPr>
                <w:sz w:val="1"/>
                <w:szCs w:val="1"/>
                <w:color w:val="auto"/>
              </w:rPr>
            </w:pPr>
          </w:p>
        </w:tc>
      </w:tr>
      <w:tr>
        <w:trPr>
          <w:trHeight w:val="432"/>
        </w:trPr>
        <w:tc>
          <w:tcPr>
            <w:tcW w:w="840" w:type="dxa"/>
            <w:vAlign w:val="bottom"/>
            <w:gridSpan w:val="2"/>
          </w:tcPr>
          <w:p>
            <w:pPr>
              <w:jc w:val="right"/>
              <w:ind w:right="10"/>
              <w:spacing w:after="0"/>
              <w:rPr>
                <w:sz w:val="20"/>
                <w:szCs w:val="20"/>
                <w:color w:val="auto"/>
              </w:rPr>
            </w:pPr>
            <w:r>
              <w:rPr>
                <w:rFonts w:ascii="Arial" w:cs="Arial" w:eastAsia="Arial" w:hAnsi="Arial"/>
                <w:sz w:val="18"/>
                <w:szCs w:val="18"/>
                <w:color w:val="auto"/>
              </w:rPr>
              <w:t>31.2*</w:t>
            </w:r>
          </w:p>
        </w:tc>
        <w:tc>
          <w:tcPr>
            <w:tcW w:w="200" w:type="dxa"/>
            <w:vAlign w:val="bottom"/>
          </w:tcPr>
          <w:p>
            <w:pPr>
              <w:spacing w:after="0"/>
              <w:rPr>
                <w:sz w:val="24"/>
                <w:szCs w:val="24"/>
                <w:color w:val="auto"/>
              </w:rPr>
            </w:pPr>
          </w:p>
        </w:tc>
        <w:tc>
          <w:tcPr>
            <w:tcW w:w="10380" w:type="dxa"/>
            <w:vAlign w:val="bottom"/>
            <w:gridSpan w:val="3"/>
          </w:tcPr>
          <w:p>
            <w:pPr>
              <w:spacing w:after="0"/>
              <w:rPr>
                <w:sz w:val="20"/>
                <w:szCs w:val="20"/>
                <w:color w:val="auto"/>
              </w:rPr>
            </w:pPr>
            <w:r>
              <w:rPr>
                <w:rFonts w:ascii="Arial" w:cs="Arial" w:eastAsia="Arial" w:hAnsi="Arial"/>
                <w:sz w:val="18"/>
                <w:szCs w:val="18"/>
                <w:color w:val="auto"/>
                <w:w w:val="98"/>
              </w:rPr>
              <w:t>Certification of CFO pursuant to Rules 13a-14(a) and 15d-14(a) adopted pursuant to Section 302 of the Sarbanes-Oxley Act of 2002.</w:t>
            </w:r>
          </w:p>
        </w:tc>
        <w:tc>
          <w:tcPr>
            <w:tcW w:w="0" w:type="dxa"/>
            <w:vAlign w:val="bottom"/>
          </w:tcPr>
          <w:p>
            <w:pPr>
              <w:spacing w:after="0"/>
              <w:rPr>
                <w:sz w:val="1"/>
                <w:szCs w:val="1"/>
                <w:color w:val="auto"/>
              </w:rPr>
            </w:pPr>
          </w:p>
        </w:tc>
      </w:tr>
      <w:tr>
        <w:trPr>
          <w:trHeight w:val="432"/>
        </w:trPr>
        <w:tc>
          <w:tcPr>
            <w:tcW w:w="840" w:type="dxa"/>
            <w:vAlign w:val="bottom"/>
            <w:gridSpan w:val="2"/>
          </w:tcPr>
          <w:p>
            <w:pPr>
              <w:jc w:val="center"/>
              <w:ind w:left="170"/>
              <w:spacing w:after="0"/>
              <w:rPr>
                <w:sz w:val="20"/>
                <w:szCs w:val="20"/>
                <w:color w:val="auto"/>
              </w:rPr>
            </w:pPr>
            <w:r>
              <w:rPr>
                <w:rFonts w:ascii="Arial" w:cs="Arial" w:eastAsia="Arial" w:hAnsi="Arial"/>
                <w:sz w:val="18"/>
                <w:szCs w:val="18"/>
                <w:color w:val="auto"/>
              </w:rPr>
              <w:t>32.1**</w:t>
            </w:r>
          </w:p>
        </w:tc>
        <w:tc>
          <w:tcPr>
            <w:tcW w:w="200" w:type="dxa"/>
            <w:vAlign w:val="bottom"/>
          </w:tcPr>
          <w:p>
            <w:pPr>
              <w:spacing w:after="0"/>
              <w:rPr>
                <w:sz w:val="24"/>
                <w:szCs w:val="24"/>
                <w:color w:val="auto"/>
              </w:rPr>
            </w:pPr>
          </w:p>
        </w:tc>
        <w:tc>
          <w:tcPr>
            <w:tcW w:w="10380" w:type="dxa"/>
            <w:vAlign w:val="bottom"/>
            <w:gridSpan w:val="3"/>
          </w:tcPr>
          <w:p>
            <w:pPr>
              <w:spacing w:after="0"/>
              <w:rPr>
                <w:sz w:val="20"/>
                <w:szCs w:val="20"/>
                <w:color w:val="auto"/>
              </w:rPr>
            </w:pPr>
            <w:r>
              <w:rPr>
                <w:rFonts w:ascii="Arial" w:cs="Arial" w:eastAsia="Arial" w:hAnsi="Arial"/>
                <w:sz w:val="18"/>
                <w:szCs w:val="18"/>
                <w:color w:val="auto"/>
              </w:rPr>
              <w:t>Certification of CEO pursuant to 18 U.S.C. Section 1350 as adopted pursuant to Section 906 of the Sarbanes-Oxley Act of 2002.</w:t>
            </w:r>
          </w:p>
        </w:tc>
        <w:tc>
          <w:tcPr>
            <w:tcW w:w="0" w:type="dxa"/>
            <w:vAlign w:val="bottom"/>
          </w:tcPr>
          <w:p>
            <w:pPr>
              <w:spacing w:after="0"/>
              <w:rPr>
                <w:sz w:val="1"/>
                <w:szCs w:val="1"/>
                <w:color w:val="auto"/>
              </w:rPr>
            </w:pPr>
          </w:p>
        </w:tc>
      </w:tr>
      <w:tr>
        <w:trPr>
          <w:trHeight w:val="432"/>
        </w:trPr>
        <w:tc>
          <w:tcPr>
            <w:tcW w:w="840" w:type="dxa"/>
            <w:vAlign w:val="bottom"/>
            <w:gridSpan w:val="2"/>
          </w:tcPr>
          <w:p>
            <w:pPr>
              <w:jc w:val="center"/>
              <w:ind w:left="170"/>
              <w:spacing w:after="0"/>
              <w:rPr>
                <w:sz w:val="20"/>
                <w:szCs w:val="20"/>
                <w:color w:val="auto"/>
              </w:rPr>
            </w:pPr>
            <w:r>
              <w:rPr>
                <w:rFonts w:ascii="Arial" w:cs="Arial" w:eastAsia="Arial" w:hAnsi="Arial"/>
                <w:sz w:val="18"/>
                <w:szCs w:val="18"/>
                <w:color w:val="auto"/>
              </w:rPr>
              <w:t>32.2**</w:t>
            </w:r>
          </w:p>
        </w:tc>
        <w:tc>
          <w:tcPr>
            <w:tcW w:w="200" w:type="dxa"/>
            <w:vAlign w:val="bottom"/>
          </w:tcPr>
          <w:p>
            <w:pPr>
              <w:spacing w:after="0"/>
              <w:rPr>
                <w:sz w:val="24"/>
                <w:szCs w:val="24"/>
                <w:color w:val="auto"/>
              </w:rPr>
            </w:pPr>
          </w:p>
        </w:tc>
        <w:tc>
          <w:tcPr>
            <w:tcW w:w="10380" w:type="dxa"/>
            <w:vAlign w:val="bottom"/>
            <w:gridSpan w:val="3"/>
          </w:tcPr>
          <w:p>
            <w:pPr>
              <w:spacing w:after="0"/>
              <w:rPr>
                <w:sz w:val="20"/>
                <w:szCs w:val="20"/>
                <w:color w:val="auto"/>
              </w:rPr>
            </w:pPr>
            <w:r>
              <w:rPr>
                <w:rFonts w:ascii="Arial" w:cs="Arial" w:eastAsia="Arial" w:hAnsi="Arial"/>
                <w:sz w:val="18"/>
                <w:szCs w:val="18"/>
                <w:color w:val="auto"/>
              </w:rPr>
              <w:t>Certification of CFO pursuant to 18 U.S.C. Section 1350 as adopted pursuant to Section 906 of the Sarbanes-Oxley Act of 2002.</w:t>
            </w:r>
          </w:p>
        </w:tc>
        <w:tc>
          <w:tcPr>
            <w:tcW w:w="0" w:type="dxa"/>
            <w:vAlign w:val="bottom"/>
          </w:tcPr>
          <w:p>
            <w:pPr>
              <w:spacing w:after="0"/>
              <w:rPr>
                <w:sz w:val="1"/>
                <w:szCs w:val="1"/>
                <w:color w:val="auto"/>
              </w:rPr>
            </w:pPr>
          </w:p>
        </w:tc>
      </w:tr>
      <w:tr>
        <w:trPr>
          <w:trHeight w:val="418"/>
        </w:trPr>
        <w:tc>
          <w:tcPr>
            <w:tcW w:w="1040" w:type="dxa"/>
            <w:vAlign w:val="bottom"/>
            <w:gridSpan w:val="3"/>
          </w:tcPr>
          <w:p>
            <w:pPr>
              <w:spacing w:after="0"/>
              <w:rPr>
                <w:sz w:val="20"/>
                <w:szCs w:val="20"/>
                <w:color w:val="auto"/>
              </w:rPr>
            </w:pPr>
            <w:r>
              <w:rPr>
                <w:rFonts w:ascii="Arial" w:cs="Arial" w:eastAsia="Arial" w:hAnsi="Arial"/>
                <w:sz w:val="18"/>
                <w:szCs w:val="18"/>
                <w:color w:val="auto"/>
              </w:rPr>
              <w:t>101.INS*</w:t>
            </w:r>
          </w:p>
        </w:tc>
        <w:tc>
          <w:tcPr>
            <w:tcW w:w="10380" w:type="dxa"/>
            <w:vAlign w:val="bottom"/>
            <w:gridSpan w:val="3"/>
          </w:tcPr>
          <w:p>
            <w:pPr>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216"/>
        </w:trPr>
        <w:tc>
          <w:tcPr>
            <w:tcW w:w="1040" w:type="dxa"/>
            <w:vAlign w:val="bottom"/>
            <w:gridSpan w:val="3"/>
          </w:tcPr>
          <w:p>
            <w:pPr>
              <w:spacing w:after="0"/>
              <w:rPr>
                <w:sz w:val="20"/>
                <w:szCs w:val="20"/>
                <w:color w:val="auto"/>
              </w:rPr>
            </w:pPr>
            <w:r>
              <w:rPr>
                <w:rFonts w:ascii="Arial" w:cs="Arial" w:eastAsia="Arial" w:hAnsi="Arial"/>
                <w:sz w:val="18"/>
                <w:szCs w:val="18"/>
                <w:color w:val="auto"/>
              </w:rPr>
              <w:t>101.SCH*</w:t>
            </w:r>
          </w:p>
        </w:tc>
        <w:tc>
          <w:tcPr>
            <w:tcW w:w="10380" w:type="dxa"/>
            <w:vAlign w:val="bottom"/>
            <w:gridSpan w:val="3"/>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216"/>
        </w:trPr>
        <w:tc>
          <w:tcPr>
            <w:tcW w:w="1040" w:type="dxa"/>
            <w:vAlign w:val="bottom"/>
            <w:gridSpan w:val="3"/>
          </w:tcPr>
          <w:p>
            <w:pPr>
              <w:spacing w:after="0"/>
              <w:rPr>
                <w:sz w:val="20"/>
                <w:szCs w:val="20"/>
                <w:color w:val="auto"/>
              </w:rPr>
            </w:pPr>
            <w:r>
              <w:rPr>
                <w:rFonts w:ascii="Arial" w:cs="Arial" w:eastAsia="Arial" w:hAnsi="Arial"/>
                <w:sz w:val="18"/>
                <w:szCs w:val="18"/>
                <w:color w:val="auto"/>
              </w:rPr>
              <w:t>101.CAL*</w:t>
            </w:r>
          </w:p>
        </w:tc>
        <w:tc>
          <w:tcPr>
            <w:tcW w:w="10380" w:type="dxa"/>
            <w:vAlign w:val="bottom"/>
            <w:gridSpan w:val="3"/>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216"/>
        </w:trPr>
        <w:tc>
          <w:tcPr>
            <w:tcW w:w="1040" w:type="dxa"/>
            <w:vAlign w:val="bottom"/>
            <w:gridSpan w:val="3"/>
          </w:tcPr>
          <w:p>
            <w:pPr>
              <w:spacing w:after="0"/>
              <w:rPr>
                <w:sz w:val="20"/>
                <w:szCs w:val="20"/>
                <w:color w:val="auto"/>
              </w:rPr>
            </w:pPr>
            <w:r>
              <w:rPr>
                <w:rFonts w:ascii="Arial" w:cs="Arial" w:eastAsia="Arial" w:hAnsi="Arial"/>
                <w:sz w:val="18"/>
                <w:szCs w:val="18"/>
                <w:color w:val="auto"/>
              </w:rPr>
              <w:t>101.DEF*</w:t>
            </w:r>
          </w:p>
        </w:tc>
        <w:tc>
          <w:tcPr>
            <w:tcW w:w="10380" w:type="dxa"/>
            <w:vAlign w:val="bottom"/>
            <w:gridSpan w:val="3"/>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216"/>
        </w:trPr>
        <w:tc>
          <w:tcPr>
            <w:tcW w:w="1040" w:type="dxa"/>
            <w:vAlign w:val="bottom"/>
            <w:gridSpan w:val="3"/>
          </w:tcPr>
          <w:p>
            <w:pPr>
              <w:spacing w:after="0"/>
              <w:rPr>
                <w:sz w:val="20"/>
                <w:szCs w:val="20"/>
                <w:color w:val="auto"/>
              </w:rPr>
            </w:pPr>
            <w:r>
              <w:rPr>
                <w:rFonts w:ascii="Arial" w:cs="Arial" w:eastAsia="Arial" w:hAnsi="Arial"/>
                <w:sz w:val="18"/>
                <w:szCs w:val="18"/>
                <w:color w:val="auto"/>
              </w:rPr>
              <w:t>101.LAB*</w:t>
            </w:r>
          </w:p>
        </w:tc>
        <w:tc>
          <w:tcPr>
            <w:tcW w:w="10380" w:type="dxa"/>
            <w:vAlign w:val="bottom"/>
            <w:gridSpan w:val="3"/>
          </w:tcPr>
          <w:p>
            <w:pPr>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230"/>
        </w:trPr>
        <w:tc>
          <w:tcPr>
            <w:tcW w:w="1040" w:type="dxa"/>
            <w:vAlign w:val="bottom"/>
            <w:gridSpan w:val="3"/>
          </w:tcPr>
          <w:p>
            <w:pPr>
              <w:spacing w:after="0"/>
              <w:rPr>
                <w:sz w:val="20"/>
                <w:szCs w:val="20"/>
                <w:color w:val="auto"/>
              </w:rPr>
            </w:pPr>
            <w:r>
              <w:rPr>
                <w:rFonts w:ascii="Arial" w:cs="Arial" w:eastAsia="Arial" w:hAnsi="Arial"/>
                <w:sz w:val="18"/>
                <w:szCs w:val="18"/>
                <w:color w:val="auto"/>
              </w:rPr>
              <w:t>101.PRE*</w:t>
            </w:r>
          </w:p>
        </w:tc>
        <w:tc>
          <w:tcPr>
            <w:tcW w:w="10380" w:type="dxa"/>
            <w:vAlign w:val="bottom"/>
            <w:gridSpan w:val="3"/>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hanging="652"/>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660" w:right="100" w:hanging="652"/>
        <w:spacing w:after="0" w:line="255"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This exhibit shall not be deemed “filed” for purposes of Section 18 of the Securities Exchange Act of 1934, or otherwise subject to the liability of that section, and shall not be deemed to be incorporated by reference into any filing under the Securities Act of 1933 or the Securities Exchange Act of 1934.</w:t>
      </w:r>
    </w:p>
    <w:p>
      <w:pPr>
        <w:spacing w:after="0" w:line="200" w:lineRule="exact"/>
        <w:rPr>
          <w:sz w:val="20"/>
          <w:szCs w:val="20"/>
          <w:color w:val="auto"/>
        </w:rPr>
      </w:pPr>
    </w:p>
    <w:p>
      <w:pPr>
        <w:spacing w:after="0" w:line="20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18"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u w:val="single" w:color="auto"/>
          <w:color w:val="auto"/>
        </w:rPr>
        <w:t>EXHIBIT 31.1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W.M. “Rusty” Rush, certify that:</w:t>
      </w:r>
    </w:p>
    <w:p>
      <w:pPr>
        <w:spacing w:after="0" w:line="225" w:lineRule="exact"/>
        <w:rPr>
          <w:sz w:val="20"/>
          <w:szCs w:val="20"/>
          <w:color w:val="auto"/>
        </w:rPr>
      </w:pPr>
    </w:p>
    <w:p>
      <w:pPr>
        <w:ind w:left="680" w:hanging="672"/>
        <w:spacing w:after="0"/>
        <w:tabs>
          <w:tab w:leader="none" w:pos="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Rush Enterprises, Inc.;</w:t>
      </w:r>
    </w:p>
    <w:p>
      <w:pPr>
        <w:spacing w:after="0" w:line="225" w:lineRule="exact"/>
        <w:rPr>
          <w:rFonts w:ascii="Arial" w:cs="Arial" w:eastAsia="Arial" w:hAnsi="Arial"/>
          <w:sz w:val="18"/>
          <w:szCs w:val="18"/>
          <w:color w:val="auto"/>
        </w:rPr>
      </w:pPr>
    </w:p>
    <w:p>
      <w:pPr>
        <w:jc w:val="both"/>
        <w:ind w:firstLine="8"/>
        <w:spacing w:after="0" w:line="264" w:lineRule="auto"/>
        <w:tabs>
          <w:tab w:leader="none" w:pos="719"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right="20" w:firstLine="8"/>
        <w:spacing w:after="0" w:line="308" w:lineRule="auto"/>
        <w:tabs>
          <w:tab w:leader="none" w:pos="710" w:val="left"/>
        </w:tabs>
        <w:numPr>
          <w:ilvl w:val="0"/>
          <w:numId w:val="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right="20" w:firstLine="8"/>
        <w:spacing w:after="0" w:line="264" w:lineRule="auto"/>
        <w:tabs>
          <w:tab w:leader="none" w:pos="647"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right="20" w:firstLine="656"/>
        <w:spacing w:after="0" w:line="264" w:lineRule="auto"/>
        <w:tabs>
          <w:tab w:leader="none" w:pos="1263"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right="20" w:firstLine="656"/>
        <w:spacing w:after="0" w:line="264" w:lineRule="auto"/>
        <w:tabs>
          <w:tab w:leader="none" w:pos="1108"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20" w:firstLine="656"/>
        <w:spacing w:after="0" w:line="308" w:lineRule="auto"/>
        <w:tabs>
          <w:tab w:leader="none" w:pos="1172" w:val="left"/>
        </w:tabs>
        <w:numPr>
          <w:ilvl w:val="1"/>
          <w:numId w:val="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right="20" w:firstLine="656"/>
        <w:spacing w:after="0" w:line="264" w:lineRule="auto"/>
        <w:tabs>
          <w:tab w:leader="none" w:pos="1125"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20" w:firstLine="8"/>
        <w:spacing w:after="0" w:line="308" w:lineRule="auto"/>
        <w:tabs>
          <w:tab w:leader="none" w:pos="69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46" w:lineRule="exact"/>
        <w:rPr>
          <w:rFonts w:ascii="Arial" w:cs="Arial" w:eastAsia="Arial" w:hAnsi="Arial"/>
          <w:sz w:val="17"/>
          <w:szCs w:val="17"/>
          <w:color w:val="auto"/>
        </w:rPr>
      </w:pPr>
    </w:p>
    <w:p>
      <w:pPr>
        <w:ind w:right="20" w:firstLine="656"/>
        <w:spacing w:after="0" w:line="277" w:lineRule="auto"/>
        <w:tabs>
          <w:tab w:leader="none" w:pos="1213" w:val="left"/>
        </w:tabs>
        <w:numPr>
          <w:ilvl w:val="1"/>
          <w:numId w:val="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20" w:firstLine="656"/>
        <w:spacing w:after="0" w:line="277" w:lineRule="auto"/>
        <w:tabs>
          <w:tab w:leader="none" w:pos="1146"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20" w:type="dxa"/>
            <w:vAlign w:val="bottom"/>
          </w:tcPr>
          <w:p>
            <w:pPr>
              <w:spacing w:after="0"/>
              <w:rPr>
                <w:sz w:val="20"/>
                <w:szCs w:val="20"/>
                <w:color w:val="auto"/>
              </w:rPr>
            </w:pPr>
            <w:r>
              <w:rPr>
                <w:rFonts w:ascii="Arial" w:cs="Arial" w:eastAsia="Arial" w:hAnsi="Arial"/>
                <w:sz w:val="18"/>
                <w:szCs w:val="18"/>
                <w:color w:val="auto"/>
              </w:rPr>
              <w:t>Date:   August 9, 2018</w:t>
            </w:r>
          </w:p>
        </w:tc>
        <w:tc>
          <w:tcPr>
            <w:tcW w:w="5140" w:type="dxa"/>
            <w:vAlign w:val="bottom"/>
            <w:gridSpan w:val="3"/>
          </w:tcPr>
          <w:p>
            <w:pPr>
              <w:ind w:left="2000"/>
              <w:spacing w:after="0"/>
              <w:rPr>
                <w:sz w:val="20"/>
                <w:szCs w:val="20"/>
                <w:color w:val="auto"/>
              </w:rPr>
            </w:pPr>
            <w:r>
              <w:rPr>
                <w:rFonts w:ascii="Arial" w:cs="Arial" w:eastAsia="Arial" w:hAnsi="Arial"/>
                <w:sz w:val="18"/>
                <w:szCs w:val="18"/>
                <w:color w:val="auto"/>
              </w:rPr>
              <w:t>By: /S/ W.M. “RUSTY” RUSH</w:t>
            </w:r>
          </w:p>
        </w:tc>
      </w:tr>
      <w:tr>
        <w:trPr>
          <w:trHeight w:val="222"/>
        </w:trPr>
        <w:tc>
          <w:tcPr>
            <w:tcW w:w="372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9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W.M. “Rusty” Rush</w:t>
            </w:r>
          </w:p>
        </w:tc>
        <w:tc>
          <w:tcPr>
            <w:tcW w:w="820" w:type="dxa"/>
            <w:vAlign w:val="bottom"/>
          </w:tcPr>
          <w:p>
            <w:pPr>
              <w:spacing w:after="0"/>
              <w:rPr>
                <w:sz w:val="19"/>
                <w:szCs w:val="19"/>
                <w:color w:val="auto"/>
              </w:rPr>
            </w:pPr>
          </w:p>
        </w:tc>
      </w:tr>
      <w:tr>
        <w:trPr>
          <w:trHeight w:val="216"/>
        </w:trPr>
        <w:tc>
          <w:tcPr>
            <w:tcW w:w="37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780" w:type="dxa"/>
            <w:vAlign w:val="bottom"/>
            <w:gridSpan w:val="2"/>
          </w:tcPr>
          <w:p>
            <w:pPr>
              <w:spacing w:after="0"/>
              <w:rPr>
                <w:sz w:val="20"/>
                <w:szCs w:val="20"/>
                <w:color w:val="auto"/>
              </w:rPr>
            </w:pPr>
            <w:r>
              <w:rPr>
                <w:rFonts w:ascii="Arial" w:cs="Arial" w:eastAsia="Arial" w:hAnsi="Arial"/>
                <w:sz w:val="18"/>
                <w:szCs w:val="18"/>
                <w:color w:val="auto"/>
                <w:w w:val="90"/>
              </w:rPr>
              <w:t>President, Chief Executive Officer and</w:t>
            </w:r>
          </w:p>
        </w:tc>
      </w:tr>
      <w:tr>
        <w:trPr>
          <w:trHeight w:val="216"/>
        </w:trPr>
        <w:tc>
          <w:tcPr>
            <w:tcW w:w="37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780" w:type="dxa"/>
            <w:vAlign w:val="bottom"/>
            <w:gridSpan w:val="2"/>
          </w:tcPr>
          <w:p>
            <w:pPr>
              <w:spacing w:after="0"/>
              <w:rPr>
                <w:sz w:val="20"/>
                <w:szCs w:val="20"/>
                <w:color w:val="auto"/>
              </w:rPr>
            </w:pPr>
            <w:r>
              <w:rPr>
                <w:rFonts w:ascii="Arial" w:cs="Arial" w:eastAsia="Arial" w:hAnsi="Arial"/>
                <w:sz w:val="18"/>
                <w:szCs w:val="18"/>
                <w:color w:val="auto"/>
              </w:rPr>
              <w:t>Chairman of the Board</w:t>
            </w:r>
          </w:p>
        </w:tc>
      </w:tr>
      <w:tr>
        <w:trPr>
          <w:trHeight w:val="230"/>
        </w:trPr>
        <w:tc>
          <w:tcPr>
            <w:tcW w:w="372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2780" w:type="dxa"/>
            <w:vAlign w:val="bottom"/>
            <w:gridSpan w:val="2"/>
          </w:tcPr>
          <w:p>
            <w:pPr>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040"/>
          </w:cols>
          <w:pgMar w:left="240" w:top="341" w:right="61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u w:val="single" w:color="auto"/>
          <w:color w:val="auto"/>
        </w:rPr>
        <w:t>EXHIBIT 31.2</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Steven L. Keller, certify that:</w:t>
      </w:r>
    </w:p>
    <w:p>
      <w:pPr>
        <w:spacing w:after="0" w:line="225" w:lineRule="exact"/>
        <w:rPr>
          <w:sz w:val="20"/>
          <w:szCs w:val="20"/>
          <w:color w:val="auto"/>
        </w:rPr>
      </w:pPr>
    </w:p>
    <w:p>
      <w:pPr>
        <w:ind w:left="680" w:hanging="672"/>
        <w:spacing w:after="0"/>
        <w:tabs>
          <w:tab w:leader="none" w:pos="6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Rush Enterprises, Inc.;</w:t>
      </w:r>
    </w:p>
    <w:p>
      <w:pPr>
        <w:spacing w:after="0" w:line="225" w:lineRule="exact"/>
        <w:rPr>
          <w:rFonts w:ascii="Arial" w:cs="Arial" w:eastAsia="Arial" w:hAnsi="Arial"/>
          <w:sz w:val="18"/>
          <w:szCs w:val="18"/>
          <w:color w:val="auto"/>
        </w:rPr>
      </w:pPr>
    </w:p>
    <w:p>
      <w:pPr>
        <w:jc w:val="both"/>
        <w:ind w:firstLine="8"/>
        <w:spacing w:after="0" w:line="264" w:lineRule="auto"/>
        <w:tabs>
          <w:tab w:leader="none" w:pos="719"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right="20" w:firstLine="8"/>
        <w:spacing w:after="0" w:line="308" w:lineRule="auto"/>
        <w:tabs>
          <w:tab w:leader="none" w:pos="710" w:val="left"/>
        </w:tabs>
        <w:numPr>
          <w:ilvl w:val="0"/>
          <w:numId w:val="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right="20" w:firstLine="8"/>
        <w:spacing w:after="0" w:line="264" w:lineRule="auto"/>
        <w:tabs>
          <w:tab w:leader="none" w:pos="647"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340" w:right="20" w:firstLine="316"/>
        <w:spacing w:after="0" w:line="264" w:lineRule="auto"/>
        <w:tabs>
          <w:tab w:leader="none" w:pos="1279"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340" w:right="20" w:firstLine="316"/>
        <w:spacing w:after="0" w:line="264" w:lineRule="auto"/>
        <w:tabs>
          <w:tab w:leader="none" w:pos="1124"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340" w:right="20" w:firstLine="316"/>
        <w:spacing w:after="0" w:line="342" w:lineRule="auto"/>
        <w:tabs>
          <w:tab w:leader="none" w:pos="1188" w:val="left"/>
        </w:tabs>
        <w:numPr>
          <w:ilvl w:val="1"/>
          <w:numId w:val="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340" w:firstLine="316"/>
        <w:spacing w:after="0" w:line="264" w:lineRule="auto"/>
        <w:tabs>
          <w:tab w:leader="none" w:pos="1141"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20" w:firstLine="8"/>
        <w:spacing w:after="0" w:line="308" w:lineRule="auto"/>
        <w:tabs>
          <w:tab w:leader="none" w:pos="659"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46" w:lineRule="exact"/>
        <w:rPr>
          <w:rFonts w:ascii="Arial" w:cs="Arial" w:eastAsia="Arial" w:hAnsi="Arial"/>
          <w:sz w:val="17"/>
          <w:szCs w:val="17"/>
          <w:color w:val="auto"/>
        </w:rPr>
      </w:pPr>
    </w:p>
    <w:p>
      <w:pPr>
        <w:ind w:left="340" w:right="20" w:firstLine="316"/>
        <w:spacing w:after="0" w:line="308" w:lineRule="auto"/>
        <w:tabs>
          <w:tab w:leader="none" w:pos="1229" w:val="left"/>
        </w:tabs>
        <w:numPr>
          <w:ilvl w:val="1"/>
          <w:numId w:val="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340" w:right="20" w:firstLine="316"/>
        <w:spacing w:after="0" w:line="277" w:lineRule="auto"/>
        <w:tabs>
          <w:tab w:leader="none" w:pos="1162"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20" w:type="dxa"/>
            <w:vAlign w:val="bottom"/>
          </w:tcPr>
          <w:p>
            <w:pPr>
              <w:spacing w:after="0"/>
              <w:rPr>
                <w:sz w:val="20"/>
                <w:szCs w:val="20"/>
                <w:color w:val="auto"/>
              </w:rPr>
            </w:pPr>
            <w:r>
              <w:rPr>
                <w:rFonts w:ascii="Arial" w:cs="Arial" w:eastAsia="Arial" w:hAnsi="Arial"/>
                <w:sz w:val="18"/>
                <w:szCs w:val="18"/>
                <w:color w:val="auto"/>
              </w:rPr>
              <w:t>Date:   August 9, 2018</w:t>
            </w:r>
          </w:p>
        </w:tc>
        <w:tc>
          <w:tcPr>
            <w:tcW w:w="5580" w:type="dxa"/>
            <w:vAlign w:val="bottom"/>
            <w:gridSpan w:val="3"/>
          </w:tcPr>
          <w:p>
            <w:pPr>
              <w:ind w:left="2000"/>
              <w:spacing w:after="0"/>
              <w:rPr>
                <w:sz w:val="20"/>
                <w:szCs w:val="20"/>
                <w:color w:val="auto"/>
              </w:rPr>
            </w:pPr>
            <w:r>
              <w:rPr>
                <w:rFonts w:ascii="Arial" w:cs="Arial" w:eastAsia="Arial" w:hAnsi="Arial"/>
                <w:sz w:val="18"/>
                <w:szCs w:val="18"/>
                <w:color w:val="auto"/>
              </w:rPr>
              <w:t>By: /S/ STEVEN L. KELLER</w:t>
            </w:r>
          </w:p>
        </w:tc>
      </w:tr>
      <w:tr>
        <w:trPr>
          <w:trHeight w:val="222"/>
        </w:trPr>
        <w:tc>
          <w:tcPr>
            <w:tcW w:w="372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8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Steven L. Keller</w:t>
            </w:r>
          </w:p>
        </w:tc>
        <w:tc>
          <w:tcPr>
            <w:tcW w:w="1360" w:type="dxa"/>
            <w:vAlign w:val="bottom"/>
          </w:tcPr>
          <w:p>
            <w:pPr>
              <w:spacing w:after="0"/>
              <w:rPr>
                <w:sz w:val="19"/>
                <w:szCs w:val="19"/>
                <w:color w:val="auto"/>
              </w:rPr>
            </w:pPr>
          </w:p>
        </w:tc>
      </w:tr>
      <w:tr>
        <w:trPr>
          <w:trHeight w:val="216"/>
        </w:trPr>
        <w:tc>
          <w:tcPr>
            <w:tcW w:w="37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3220" w:type="dxa"/>
            <w:vAlign w:val="bottom"/>
            <w:gridSpan w:val="2"/>
          </w:tcPr>
          <w:p>
            <w:pPr>
              <w:spacing w:after="0"/>
              <w:rPr>
                <w:sz w:val="20"/>
                <w:szCs w:val="20"/>
                <w:color w:val="auto"/>
              </w:rPr>
            </w:pPr>
            <w:r>
              <w:rPr>
                <w:rFonts w:ascii="Arial" w:cs="Arial" w:eastAsia="Arial" w:hAnsi="Arial"/>
                <w:sz w:val="18"/>
                <w:szCs w:val="18"/>
                <w:color w:val="auto"/>
              </w:rPr>
              <w:t>Chief Financial Officer and Treasurer</w:t>
            </w:r>
          </w:p>
        </w:tc>
      </w:tr>
      <w:tr>
        <w:trPr>
          <w:trHeight w:val="230"/>
        </w:trPr>
        <w:tc>
          <w:tcPr>
            <w:tcW w:w="372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3220" w:type="dxa"/>
            <w:vAlign w:val="bottom"/>
            <w:gridSpan w:val="2"/>
          </w:tcPr>
          <w:p>
            <w:pPr>
              <w:spacing w:after="0"/>
              <w:rPr>
                <w:sz w:val="20"/>
                <w:szCs w:val="20"/>
                <w:color w:val="auto"/>
              </w:rPr>
            </w:pPr>
            <w:r>
              <w:rPr>
                <w:rFonts w:ascii="Arial" w:cs="Arial" w:eastAsia="Arial" w:hAnsi="Arial"/>
                <w:sz w:val="18"/>
                <w:szCs w:val="18"/>
                <w:color w:val="auto"/>
                <w:w w:val="92"/>
              </w:rPr>
              <w:t>(Principal Financial and Accounting Officer)</w:t>
            </w:r>
          </w:p>
        </w:tc>
      </w:tr>
    </w:tbl>
    <w:p>
      <w:pPr>
        <w:sectPr>
          <w:pgSz w:w="11900" w:h="16838" w:orient="portrait"/>
          <w:cols w:equalWidth="0" w:num="1">
            <w:col w:w="11040"/>
          </w:cols>
          <w:pgMar w:left="240" w:top="341" w:right="61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u w:val="single" w:color="auto"/>
          <w:color w:val="auto"/>
        </w:rPr>
        <w:t>EXHIBIT 32.1</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In connection with this quarterly report of Rush Enterprises, Inc. (the “</w:t>
      </w:r>
      <w:r>
        <w:rPr>
          <w:rFonts w:ascii="Arial" w:cs="Arial" w:eastAsia="Arial" w:hAnsi="Arial"/>
          <w:sz w:val="16"/>
          <w:szCs w:val="16"/>
          <w:u w:val="single" w:color="auto"/>
          <w:color w:val="auto"/>
        </w:rPr>
        <w:t>Company</w:t>
      </w:r>
      <w:r>
        <w:rPr>
          <w:rFonts w:ascii="Arial" w:cs="Arial" w:eastAsia="Arial" w:hAnsi="Arial"/>
          <w:sz w:val="16"/>
          <w:szCs w:val="16"/>
          <w:color w:val="auto"/>
        </w:rPr>
        <w:t>”) on Form 10-Q for the period ended June 30, 2018, as filed with the Securities and Exchange Commission on the date hereof (the “</w:t>
      </w:r>
      <w:r>
        <w:rPr>
          <w:rFonts w:ascii="Arial" w:cs="Arial" w:eastAsia="Arial" w:hAnsi="Arial"/>
          <w:sz w:val="16"/>
          <w:szCs w:val="16"/>
          <w:u w:val="single" w:color="auto"/>
          <w:color w:val="auto"/>
        </w:rPr>
        <w:t>Report</w:t>
      </w:r>
      <w:r>
        <w:rPr>
          <w:rFonts w:ascii="Arial" w:cs="Arial" w:eastAsia="Arial" w:hAnsi="Arial"/>
          <w:sz w:val="16"/>
          <w:szCs w:val="16"/>
          <w:color w:val="auto"/>
        </w:rPr>
        <w:t>”), I, W.M. “Rusty” Rush, President, Chief Executive Officer and Chairman of the Board of the Company, certify, pursuant to 18 U.S.C. Section 1350, as adopted pursuant to Section 906 of the Sarbanes-Oxley Act of 2002, that:</w:t>
      </w:r>
    </w:p>
    <w:p>
      <w:pPr>
        <w:spacing w:after="0" w:line="147" w:lineRule="exact"/>
        <w:rPr>
          <w:sz w:val="20"/>
          <w:szCs w:val="20"/>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580"/>
        <w:spacing w:after="0"/>
        <w:tabs>
          <w:tab w:leader="none" w:pos="60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u w:val="single" w:color="auto"/>
          <w:color w:val="auto"/>
        </w:rPr>
        <w:t>/S/ W.M. “RUSTY” RUSH</w:t>
      </w:r>
    </w:p>
    <w:p>
      <w:pPr>
        <w:spacing w:after="0" w:line="2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Name: W.M. “Rusty” Rush</w:t>
      </w:r>
    </w:p>
    <w:p>
      <w:pPr>
        <w:spacing w:after="0" w:line="9" w:lineRule="exact"/>
        <w:rPr>
          <w:sz w:val="20"/>
          <w:szCs w:val="20"/>
          <w:color w:val="auto"/>
        </w:rPr>
      </w:pPr>
    </w:p>
    <w:p>
      <w:pPr>
        <w:ind w:left="5580"/>
        <w:spacing w:after="0"/>
        <w:tabs>
          <w:tab w:leader="none" w:pos="60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President, Chief Executive Officer and</w:t>
      </w:r>
    </w:p>
    <w:p>
      <w:pPr>
        <w:spacing w:after="0" w:line="9"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Chairman of the Board</w:t>
      </w:r>
    </w:p>
    <w:p>
      <w:pPr>
        <w:spacing w:after="0" w:line="9" w:lineRule="exact"/>
        <w:rPr>
          <w:sz w:val="20"/>
          <w:szCs w:val="20"/>
          <w:color w:val="auto"/>
        </w:rPr>
      </w:pPr>
    </w:p>
    <w:p>
      <w:pPr>
        <w:ind w:left="5580"/>
        <w:spacing w:after="0"/>
        <w:tabs>
          <w:tab w:leader="none" w:pos="60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August 9, 2018</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040"/>
          </w:cols>
          <w:pgMar w:left="240" w:top="341" w:right="619" w:bottom="1440" w:gutter="0" w:footer="0" w:header="0"/>
        </w:sectPr>
      </w:pPr>
    </w:p>
    <w:bookmarkStart w:id="34" w:name="page35"/>
    <w:bookmarkEnd w:id="34"/>
    <w:p>
      <w:pPr>
        <w:jc w:val="center"/>
        <w:ind w:right="-399"/>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auto"/>
        </w:rPr>
        <w:t>EXHIBIT 32.2</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In connection with this quarterly report of Rush Enterprises, Inc. (the “</w:t>
      </w:r>
      <w:r>
        <w:rPr>
          <w:rFonts w:ascii="Arial" w:cs="Arial" w:eastAsia="Arial" w:hAnsi="Arial"/>
          <w:sz w:val="17"/>
          <w:szCs w:val="17"/>
          <w:u w:val="single" w:color="auto"/>
          <w:color w:val="auto"/>
        </w:rPr>
        <w:t>Company</w:t>
      </w:r>
      <w:r>
        <w:rPr>
          <w:rFonts w:ascii="Arial" w:cs="Arial" w:eastAsia="Arial" w:hAnsi="Arial"/>
          <w:sz w:val="17"/>
          <w:szCs w:val="17"/>
          <w:color w:val="auto"/>
        </w:rPr>
        <w:t>”) on Form 10-Q for the period ended June 30, 2018, as filed with the Securities and Exchange Commission on the date hereof (the “</w:t>
      </w:r>
      <w:r>
        <w:rPr>
          <w:rFonts w:ascii="Arial" w:cs="Arial" w:eastAsia="Arial" w:hAnsi="Arial"/>
          <w:sz w:val="17"/>
          <w:szCs w:val="17"/>
          <w:u w:val="single" w:color="auto"/>
          <w:color w:val="auto"/>
        </w:rPr>
        <w:t>Report</w:t>
      </w:r>
      <w:r>
        <w:rPr>
          <w:rFonts w:ascii="Arial" w:cs="Arial" w:eastAsia="Arial" w:hAnsi="Arial"/>
          <w:sz w:val="17"/>
          <w:szCs w:val="17"/>
          <w:color w:val="auto"/>
        </w:rPr>
        <w:t>”), I, Steven L. Keller, Chief Financial Officer and Treasurer of the Company, certify, pursuant to 18 U.S.C. Section 1350, as adopted pursuant to Section 906 of the Sarbanes-Oxley Act of 2002, that:</w:t>
      </w:r>
    </w:p>
    <w:p>
      <w:pPr>
        <w:spacing w:after="0" w:line="166" w:lineRule="exact"/>
        <w:rPr>
          <w:sz w:val="20"/>
          <w:szCs w:val="20"/>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580"/>
        <w:spacing w:after="0"/>
        <w:tabs>
          <w:tab w:leader="none" w:pos="61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u w:val="single" w:color="auto"/>
          <w:color w:val="auto"/>
        </w:rPr>
        <w:t>/S/ STEVEN L. KELLER</w:t>
      </w:r>
    </w:p>
    <w:p>
      <w:pPr>
        <w:spacing w:after="0" w:line="2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Name: Steven L. Keller</w:t>
      </w:r>
    </w:p>
    <w:p>
      <w:pPr>
        <w:spacing w:after="0" w:line="9" w:lineRule="exact"/>
        <w:rPr>
          <w:sz w:val="20"/>
          <w:szCs w:val="20"/>
          <w:color w:val="auto"/>
        </w:rPr>
      </w:pPr>
    </w:p>
    <w:p>
      <w:pPr>
        <w:ind w:left="5580"/>
        <w:spacing w:after="0"/>
        <w:tabs>
          <w:tab w:leader="none" w:pos="61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Financial Officer and Treasurer</w:t>
      </w:r>
    </w:p>
    <w:p>
      <w:pPr>
        <w:spacing w:after="0" w:line="9" w:lineRule="exact"/>
        <w:rPr>
          <w:sz w:val="20"/>
          <w:szCs w:val="20"/>
          <w:color w:val="auto"/>
        </w:rPr>
      </w:pPr>
    </w:p>
    <w:p>
      <w:pPr>
        <w:ind w:left="5580"/>
        <w:spacing w:after="0"/>
        <w:tabs>
          <w:tab w:leader="none" w:pos="61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August 9, 2018</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040"/>
      </w:cols>
      <w:pgMar w:left="240" w:top="125"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1."/>
      <w:numFmt w:val="decimal"/>
      <w:start w:val="1"/>
    </w:lvl>
    <w:lvl w:ilvl="1">
      <w:lvlJc w:val="left"/>
      <w:lvlText w:val="(%2)"/>
      <w:numFmt w:val="lowerLetter"/>
      <w:start w:val="1"/>
    </w:lvl>
  </w:abstractNum>
  <w:abstractNum w:abstractNumId="8">
    <w:nsid w:val="4DB127F8"/>
    <w:multiLevelType w:val="hybridMultilevel"/>
    <w:lvl w:ilvl="0">
      <w:lvlJc w:val="left"/>
      <w:lvlText w:val="%1."/>
      <w:numFmt w:val="decimal"/>
      <w:start w:val="1"/>
    </w:lvl>
    <w:lvl w:ilvl="1">
      <w:lvlJc w:val="left"/>
      <w:lvlText w:val="(%2)"/>
      <w:numFmt w:val="lowerLetter"/>
      <w:start w:val="1"/>
    </w:lvl>
  </w:abstractNum>
  <w:abstractNum w:abstractNumId="9">
    <w:nsid w:val="216231B"/>
    <w:multiLevelType w:val="hybridMultilevel"/>
    <w:lvl w:ilvl="0">
      <w:lvlJc w:val="left"/>
      <w:lvlText w:val="%1."/>
      <w:numFmt w:val="decimal"/>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4" Type="http://schemas.openxmlformats.org/officeDocument/2006/relationships/image" Target="media/image25.png"/><Relationship Id="rId32" Type="http://schemas.openxmlformats.org/officeDocument/2006/relationships/hyperlink" Target="http://www.sec.gov/Archives/edgar/data/1012019/000110465908051789/a08-18770_1ex3d1.htm" TargetMode="External"/><Relationship Id="rId33" Type="http://schemas.openxmlformats.org/officeDocument/2006/relationships/hyperlink" Target="http://www.sec.gov/Archives/edgar/data/1012019/000143774913006455/rusha20130517_8k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2019-12-28T20:02:46Z</dcterms:created>
  <dcterms:modified xsi:type="dcterms:W3CDTF">2019-12-28T20:02:46Z</dcterms:modified>
</cp:coreProperties>
</file>