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1900" w:hanging="2432"/>
        <w:spacing w:after="0" w:line="493"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 to 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28" w:gutter="0" w:footer="0" w:header="0"/>
        </w:sectPr>
      </w:pPr>
    </w:p>
    <w:p>
      <w:pPr>
        <w:spacing w:after="0" w:line="20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472" w:right="339" w:bottom="28"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472" w:right="339" w:bottom="28"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ind w:left="340"/>
        <w:spacing w:after="0" w:line="207" w:lineRule="exact"/>
        <w:tabs>
          <w:tab w:leader="none" w:pos="2580" w:val="left"/>
          <w:tab w:leader="none" w:pos="4840" w:val="left"/>
          <w:tab w:leader="none" w:pos="70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7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w:t>
      </w:r>
    </w:p>
    <w:p>
      <w:pPr>
        <w:spacing w:after="0" w:line="2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Act).</w:t>
      </w:r>
    </w:p>
    <w:p>
      <w:pPr>
        <w:spacing w:after="0" w:line="4"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October 31, 2022.</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4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4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Title of Class</w:t>
            </w:r>
          </w:p>
        </w:tc>
        <w:tc>
          <w:tcPr>
            <w:tcW w:w="1620" w:type="dxa"/>
            <w:vAlign w:val="bottom"/>
            <w:gridSpan w:val="2"/>
          </w:tcPr>
          <w:p>
            <w:pPr>
              <w:spacing w:after="0"/>
              <w:rPr>
                <w:sz w:val="16"/>
                <w:szCs w:val="16"/>
                <w:color w:val="auto"/>
              </w:rPr>
            </w:pPr>
          </w:p>
        </w:tc>
        <w:tc>
          <w:tcPr>
            <w:tcW w:w="2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100" w:type="dxa"/>
            <w:vAlign w:val="bottom"/>
          </w:tcPr>
          <w:p>
            <w:pPr>
              <w:spacing w:after="0"/>
              <w:rPr>
                <w:sz w:val="18"/>
                <w:szCs w:val="18"/>
                <w:color w:val="auto"/>
              </w:rPr>
            </w:pPr>
          </w:p>
        </w:tc>
        <w:tc>
          <w:tcPr>
            <w:tcW w:w="480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2460" w:type="dxa"/>
            <w:vAlign w:val="bottom"/>
          </w:tcPr>
          <w:p>
            <w:pPr>
              <w:spacing w:after="0"/>
              <w:rPr>
                <w:sz w:val="18"/>
                <w:szCs w:val="18"/>
                <w:color w:val="auto"/>
              </w:rPr>
            </w:pPr>
          </w:p>
        </w:tc>
        <w:tc>
          <w:tcPr>
            <w:tcW w:w="15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42,344,760</w:t>
            </w: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80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8"/>
              </w:rPr>
              <w:t>Class B Common Stock, $.01 Par Value</w:t>
            </w:r>
          </w:p>
        </w:tc>
        <w:tc>
          <w:tcPr>
            <w:tcW w:w="2460" w:type="dxa"/>
            <w:vAlign w:val="bottom"/>
          </w:tcPr>
          <w:p>
            <w:pPr>
              <w:spacing w:after="0"/>
              <w:rPr>
                <w:sz w:val="20"/>
                <w:szCs w:val="20"/>
                <w:color w:val="auto"/>
              </w:rPr>
            </w:pPr>
          </w:p>
        </w:tc>
        <w:tc>
          <w:tcPr>
            <w:tcW w:w="15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12,092,098</w:t>
            </w: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100" w:type="dxa"/>
            <w:vAlign w:val="bottom"/>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gridSpan w:val="3"/>
          </w:tcPr>
          <w:p>
            <w:pPr>
              <w:ind w:left="132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800" w:type="dxa"/>
            <w:vAlign w:val="bottom"/>
            <w:tcBorders>
              <w:bottom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jc w:val="center"/>
              <w:ind w:right="81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3840" w:type="dxa"/>
            <w:vAlign w:val="bottom"/>
            <w:tcBorders>
              <w:bottom w:val="single" w:sz="8" w:color="auto"/>
              <w:right w:val="single" w:sz="8" w:color="auto"/>
            </w:tcBorders>
            <w:gridSpan w:val="3"/>
          </w:tcPr>
          <w:p>
            <w:pPr>
              <w:jc w:val="center"/>
              <w:ind w:right="60"/>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40" w:type="dxa"/>
            <w:vAlign w:val="bottom"/>
          </w:tcPr>
          <w:p>
            <w:pPr>
              <w:spacing w:after="0"/>
              <w:rPr>
                <w:sz w:val="16"/>
                <w:szCs w:val="16"/>
                <w:color w:val="auto"/>
              </w:rPr>
            </w:pPr>
          </w:p>
        </w:tc>
      </w:tr>
      <w:tr>
        <w:trPr>
          <w:trHeight w:val="174"/>
        </w:trPr>
        <w:tc>
          <w:tcPr>
            <w:tcW w:w="10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ind w:left="54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800" w:type="dxa"/>
            <w:vAlign w:val="bottom"/>
          </w:tcPr>
          <w:p>
            <w:pPr>
              <w:spacing w:after="0"/>
              <w:rPr>
                <w:sz w:val="15"/>
                <w:szCs w:val="15"/>
                <w:color w:val="auto"/>
              </w:rPr>
            </w:pPr>
          </w:p>
        </w:tc>
        <w:tc>
          <w:tcPr>
            <w:tcW w:w="2460" w:type="dxa"/>
            <w:vAlign w:val="bottom"/>
            <w:tcBorders>
              <w:right w:val="single" w:sz="8" w:color="auto"/>
            </w:tcBorders>
          </w:tcPr>
          <w:p>
            <w:pPr>
              <w:jc w:val="center"/>
              <w:ind w:right="79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640" w:type="dxa"/>
            <w:vAlign w:val="bottom"/>
          </w:tcPr>
          <w:p>
            <w:pPr>
              <w:spacing w:after="0"/>
              <w:rPr>
                <w:sz w:val="15"/>
                <w:szCs w:val="15"/>
                <w:color w:val="auto"/>
              </w:rPr>
            </w:pPr>
          </w:p>
        </w:tc>
        <w:tc>
          <w:tcPr>
            <w:tcW w:w="3200" w:type="dxa"/>
            <w:vAlign w:val="bottom"/>
            <w:tcBorders>
              <w:right w:val="single" w:sz="8" w:color="auto"/>
            </w:tcBorders>
            <w:gridSpan w:val="2"/>
          </w:tcPr>
          <w:p>
            <w:pPr>
              <w:jc w:val="center"/>
              <w:ind w:right="700"/>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15"/>
                <w:szCs w:val="15"/>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8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RUSHB</w:t>
            </w:r>
          </w:p>
        </w:tc>
        <w:tc>
          <w:tcPr>
            <w:tcW w:w="640" w:type="dxa"/>
            <w:vAlign w:val="bottom"/>
            <w:tcBorders>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20"/>
                <w:szCs w:val="20"/>
                <w:color w:val="auto"/>
              </w:rPr>
            </w:pPr>
          </w:p>
        </w:tc>
      </w:tr>
      <w:tr>
        <w:trPr>
          <w:trHeight w:val="567"/>
        </w:trPr>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28"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80" w:type="dxa"/>
            <w:vAlign w:val="bottom"/>
            <w:gridSpan w:val="9"/>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7"/>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7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w:t>
            </w:r>
          </w:p>
        </w:tc>
        <w:tc>
          <w:tcPr>
            <w:tcW w:w="60" w:type="dxa"/>
            <w:vAlign w:val="bottom"/>
          </w:tcPr>
          <w:p>
            <w:pPr>
              <w:spacing w:after="0"/>
              <w:rPr>
                <w:sz w:val="24"/>
                <w:szCs w:val="24"/>
                <w:color w:val="auto"/>
              </w:rPr>
            </w:pPr>
          </w:p>
        </w:tc>
        <w:tc>
          <w:tcPr>
            <w:tcW w:w="360" w:type="dxa"/>
            <w:vAlign w:val="bottom"/>
            <w:tcBorders>
              <w:top w:val="single" w:sz="8" w:color="auto"/>
            </w:tcBorders>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3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Balance Sheets - September 30, 2022 (unaudited) and December 31, 2021</w:t>
            </w:r>
          </w:p>
        </w:tc>
        <w:tc>
          <w:tcPr>
            <w:tcW w:w="3480" w:type="dxa"/>
            <w:vAlign w:val="bottom"/>
            <w:gridSpan w:val="6"/>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 For the Three and Nine Months Ended September 30, 2022 and 2021 (unaudited)</w:t>
            </w:r>
          </w:p>
        </w:tc>
        <w:tc>
          <w:tcPr>
            <w:tcW w:w="1240" w:type="dxa"/>
            <w:vAlign w:val="bottom"/>
            <w:gridSpan w:val="3"/>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For the Three and Nine Months Ended September 30, 2022 and 2021 (unaudited)</w:t>
            </w:r>
          </w:p>
        </w:tc>
        <w:tc>
          <w:tcPr>
            <w:tcW w:w="60" w:type="dxa"/>
            <w:vAlign w:val="bottom"/>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 For the Three and Nine Months Ended September 30, 2022 and 2021 (unaudited)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 For the Nine Months Ended September 30, 2022 and 2021 (unaudited)</w:t>
            </w:r>
          </w:p>
        </w:tc>
        <w:tc>
          <w:tcPr>
            <w:tcW w:w="148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4080" w:type="dxa"/>
            <w:vAlign w:val="bottom"/>
            <w:gridSpan w:val="4"/>
          </w:tcPr>
          <w:p>
            <w:pPr>
              <w:spacing w:after="0"/>
              <w:rPr>
                <w:sz w:val="24"/>
                <w:szCs w:val="24"/>
                <w:color w:val="auto"/>
              </w:rPr>
            </w:pPr>
          </w:p>
        </w:tc>
        <w:tc>
          <w:tcPr>
            <w:tcW w:w="1700" w:type="dxa"/>
            <w:vAlign w:val="bottom"/>
            <w:gridSpan w:val="4"/>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460" w:type="dxa"/>
            <w:vAlign w:val="bottom"/>
            <w:tcBorders>
              <w:left w:val="single" w:sz="8" w:color="0000EE"/>
            </w:tcBorders>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107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Legal Proceedings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434"/>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w:t>
            </w:r>
          </w:p>
        </w:tc>
        <w:tc>
          <w:tcPr>
            <w:tcW w:w="1320" w:type="dxa"/>
            <w:vAlign w:val="bottom"/>
            <w:tcBorders>
              <w:top w:val="single" w:sz="8" w:color="0000EE"/>
            </w:tcBorders>
            <w:gridSpan w:val="6"/>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2"/>
            <w:vMerge w:val="restart"/>
          </w:tcPr>
          <w:p>
            <w:pPr>
              <w:spacing w:after="0"/>
              <w:rPr>
                <w:sz w:val="24"/>
                <w:szCs w:val="24"/>
                <w:color w:val="auto"/>
              </w:rPr>
            </w:pPr>
          </w:p>
        </w:tc>
        <w:tc>
          <w:tcPr>
            <w:tcW w:w="340" w:type="dxa"/>
            <w:vAlign w:val="bottom"/>
            <w:gridSpan w:val="2"/>
            <w:vMerge w:val="restart"/>
          </w:tcPr>
          <w:p>
            <w:pPr>
              <w:spacing w:after="0"/>
              <w:rPr>
                <w:sz w:val="24"/>
                <w:szCs w:val="24"/>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86"/>
        </w:trPr>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1A.</w:t>
            </w:r>
          </w:p>
        </w:tc>
        <w:tc>
          <w:tcPr>
            <w:tcW w:w="1320" w:type="dxa"/>
            <w:vAlign w:val="bottom"/>
            <w:gridSpan w:val="6"/>
            <w:vMerge w:val="continue"/>
          </w:tcPr>
          <w:p>
            <w:pPr>
              <w:spacing w:after="0"/>
              <w:rPr>
                <w:sz w:val="7"/>
                <w:szCs w:val="7"/>
                <w:color w:val="auto"/>
              </w:rPr>
            </w:pPr>
          </w:p>
        </w:tc>
        <w:tc>
          <w:tcPr>
            <w:tcW w:w="8480" w:type="dxa"/>
            <w:vAlign w:val="bottom"/>
            <w:gridSpan w:val="12"/>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4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EE"/>
              </w:rPr>
              <w:t>Other Information</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EE"/>
              </w:rPr>
              <w:t>Exhibits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696"/>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80" w:type="dxa"/>
            <w:vAlign w:val="bottom"/>
            <w:gridSpan w:val="11"/>
          </w:tcPr>
          <w:p>
            <w:pPr>
              <w:jc w:val="center"/>
              <w:ind w:left="275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219,519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148,146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220,832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140,186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1,351,930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1,020,136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1,809,356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1,324,454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1,351,968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1,278,207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415,754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370,331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3,742,579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3,119,977</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935,785</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630,731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185,695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122,291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91,188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80,561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1,419,383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1,003,504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307,065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334,926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89,835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148,394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2022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authorized; 42,373,737 Class A shares and 12,092,098 Class B shares outstanding in 2022;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43,018,498 Class A shares and 12,474,589 Class B shares outstanding in 2021</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494,703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470,750</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1,493,121 Class A shares and 1,103,433 Class B shares in 2022; and 183,765 Class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shares and 416,069 Class B shares in 2021</w:t>
            </w:r>
          </w:p>
        </w:tc>
        <w:tc>
          <w:tcPr>
            <w:tcW w:w="14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(123,781)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(36,933)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1,291,602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1,031,582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1,676,019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3,742,579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3,119,977</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7200" w:type="dxa"/>
            <w:vAlign w:val="bottom"/>
            <w:gridSpan w:val="11"/>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900" w:type="dxa"/>
            <w:vAlign w:val="bottom"/>
            <w:tcBorders>
              <w:top w:val="single" w:sz="8" w:color="auto"/>
            </w:tcBorders>
            <w:gridSpan w:val="7"/>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1,142,201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729,344</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3,176,175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2,274,332</w:t>
            </w:r>
          </w:p>
        </w:tc>
      </w:tr>
      <w:tr>
        <w:trPr>
          <w:trHeight w:val="216"/>
        </w:trPr>
        <w:tc>
          <w:tcPr>
            <w:tcW w:w="3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622,130</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463,020</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1,763,691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1,324,283</w:t>
            </w:r>
          </w:p>
        </w:tc>
      </w:tr>
      <w:tr>
        <w:trPr>
          <w:trHeight w:val="216"/>
        </w:trPr>
        <w:tc>
          <w:tcPr>
            <w:tcW w:w="3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85,688</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62,689</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237,561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182,312</w:t>
            </w:r>
          </w:p>
        </w:tc>
      </w:tr>
      <w:tr>
        <w:trPr>
          <w:trHeight w:val="216"/>
        </w:trPr>
        <w:tc>
          <w:tcPr>
            <w:tcW w:w="3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7,639</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22,919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20,723</w:t>
            </w:r>
          </w:p>
        </w:tc>
      </w:tr>
      <w:tr>
        <w:trPr>
          <w:trHeight w:val="216"/>
        </w:trPr>
        <w:tc>
          <w:tcPr>
            <w:tcW w:w="3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6,628</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4,617</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18,383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12,692</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1,864,286</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1,266,521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5,218,729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3,814,342</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1,045,658</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656,411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2,875,057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2,053,271</w:t>
            </w:r>
          </w:p>
        </w:tc>
      </w:tr>
      <w:tr>
        <w:trPr>
          <w:trHeight w:val="216"/>
        </w:trPr>
        <w:tc>
          <w:tcPr>
            <w:tcW w:w="3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378,748</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280,866</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1,080,240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819,786</w:t>
            </w:r>
          </w:p>
        </w:tc>
      </w:tr>
      <w:tr>
        <w:trPr>
          <w:trHeight w:val="216"/>
        </w:trPr>
        <w:tc>
          <w:tcPr>
            <w:tcW w:w="3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58,482</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46,949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162,378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143,394</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1,482,888</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984,226</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4,117,675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3,016,451</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381,398</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282,295</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1,101,054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797,891</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242,609</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179,890</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692,383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539,579</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13,961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13,137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41,545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40,284</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127,037</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90,169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369,559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219,185</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1,951</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22,182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4,616</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6,275</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10,662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120,547</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91,849</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381,079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223,235</w:t>
            </w: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29,884</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22,450</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87,290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50,459</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90,663</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69,399</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293,789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172,776</w:t>
            </w:r>
          </w:p>
        </w:tc>
      </w:tr>
      <w:tr>
        <w:trPr>
          <w:trHeight w:val="216"/>
        </w:trPr>
        <w:tc>
          <w:tcPr>
            <w:tcW w:w="5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9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90,376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69,399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293,056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172,776</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61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55,232</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56,007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55,882</w:t>
            </w:r>
          </w:p>
        </w:tc>
      </w:tr>
      <w:tr>
        <w:trPr>
          <w:trHeight w:val="21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56,875</w:t>
            </w:r>
          </w:p>
        </w:tc>
        <w:tc>
          <w:tcPr>
            <w:tcW w:w="3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57,806</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57,363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57,834</w:t>
            </w:r>
          </w:p>
        </w:tc>
      </w:tr>
      <w:tr>
        <w:trPr>
          <w:trHeight w:val="216"/>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r>
        <w:trPr>
          <w:trHeight w:val="410"/>
        </w:trPr>
        <w:tc>
          <w:tcPr>
            <w:tcW w:w="1280" w:type="dxa"/>
            <w:vAlign w:val="bottom"/>
          </w:tcPr>
          <w:p>
            <w:pPr>
              <w:spacing w:after="0"/>
              <w:rPr>
                <w:sz w:val="24"/>
                <w:szCs w:val="24"/>
                <w:color w:val="auto"/>
              </w:rPr>
            </w:pPr>
          </w:p>
        </w:tc>
        <w:tc>
          <w:tcPr>
            <w:tcW w:w="7580" w:type="dxa"/>
            <w:vAlign w:val="bottom"/>
            <w:gridSpan w:val="12"/>
          </w:tcPr>
          <w:p>
            <w:pPr>
              <w:jc w:val="center"/>
              <w:ind w:left="10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90,663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293,789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172,776</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 method accounting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84,962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287,365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84,675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Enterprises,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$0.01 Par</w:t>
            </w: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Treasury</w:t>
            </w: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100" w:type="dxa"/>
            <w:vAlign w:val="bottom"/>
            <w:gridSpan w:val="3"/>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Class A Class 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Earnings</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9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43,108</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12,399</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470,750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(36,933</w:t>
            </w: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1,031,582</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1,466,749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1,466,749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112</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2,384</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2,385</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13,793</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13,793</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13,793</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(7,215)</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(7,212)</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(7,212)</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66</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2,434</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6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(15,315)</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(15,315)</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(15,315)</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Class A common stock</w:t>
            </w:r>
          </w:p>
        </w:tc>
        <w:tc>
          <w:tcPr>
            <w:tcW w:w="9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(8,189)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(8,189)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(8,189)</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Class B common stock</w:t>
            </w: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445</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445</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92,453</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92,453</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92,453</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2022</w:t>
            </w:r>
          </w:p>
        </w:tc>
        <w:tc>
          <w:tcPr>
            <w:tcW w:w="96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43,094</w:t>
            </w:r>
          </w:p>
        </w:tc>
        <w:tc>
          <w:tcPr>
            <w:tcW w:w="58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12,597</w:t>
            </w:r>
          </w:p>
        </w:tc>
        <w:tc>
          <w:tcPr>
            <w:tcW w:w="2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568</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482,146</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(52,248</w:t>
            </w: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1,113,341</w:t>
            </w: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1,232</w:t>
            </w: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1,545,039</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1,545,039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162</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3,244</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3,246</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3,246</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4,203</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4,203</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4,203</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(1,423)</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(1,423)</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6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(38,438)</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(38,438)</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(38,438)</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Class A common stock</w:t>
            </w: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Class B common stock</w:t>
            </w:r>
          </w:p>
        </w:tc>
        <w:tc>
          <w:tcPr>
            <w:tcW w:w="9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(2,521)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(2,521)</w:t>
            </w: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(567)</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(567)</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foreign</w:t>
            </w: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currency translation related to</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(601)</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(601)</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method</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 equity</w:t>
            </w: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17,828</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17,828</w:t>
            </w:r>
          </w:p>
        </w:tc>
        <w:tc>
          <w:tcPr>
            <w:tcW w:w="0" w:type="dxa"/>
            <w:vAlign w:val="bottom"/>
          </w:tcPr>
          <w:p>
            <w:pPr>
              <w:spacing w:after="0"/>
              <w:rPr>
                <w:sz w:val="1"/>
                <w:szCs w:val="1"/>
                <w:color w:val="auto"/>
              </w:rPr>
            </w:pPr>
          </w:p>
        </w:tc>
      </w:tr>
      <w:tr>
        <w:trPr>
          <w:trHeight w:val="148"/>
        </w:trPr>
        <w:tc>
          <w:tcPr>
            <w:tcW w:w="20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110,227</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110,227</w:t>
            </w: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110,673</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2022</w:t>
            </w:r>
          </w:p>
        </w:tc>
        <w:tc>
          <w:tcPr>
            <w:tcW w:w="9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42,808</w:t>
            </w:r>
          </w:p>
        </w:tc>
        <w:tc>
          <w:tcPr>
            <w:tcW w:w="5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12,266</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488,170</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(90,686</w:t>
            </w: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1,212,919</w:t>
            </w: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1,611,037</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18,274</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1,629,311</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11</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3,554</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3,554</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3,554</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awards</w:t>
            </w:r>
          </w:p>
        </w:tc>
        <w:tc>
          <w:tcPr>
            <w:tcW w:w="9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68</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2,783</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2,784</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2,784</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6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(33,095)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(33,095)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(33,095)</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Class A common stock</w:t>
            </w: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(8,995)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(8,995)</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(8,995)</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Class B common stock</w:t>
            </w:r>
          </w:p>
        </w:tc>
        <w:tc>
          <w:tcPr>
            <w:tcW w:w="9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(5,701)</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(5,701)</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(5,701)</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90,376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90,376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90,663</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960" w:type="dxa"/>
            <w:vAlign w:val="bottom"/>
            <w:tcBorders>
              <w:top w:val="single" w:sz="8" w:color="auto"/>
              <w:bottom w:val="single" w:sz="8" w:color="auto"/>
            </w:tcBorders>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42,374</w:t>
            </w:r>
          </w:p>
        </w:tc>
        <w:tc>
          <w:tcPr>
            <w:tcW w:w="580" w:type="dxa"/>
            <w:vAlign w:val="bottom"/>
            <w:tcBorders>
              <w:top w:val="single" w:sz="8" w:color="auto"/>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12,092</w:t>
            </w:r>
          </w:p>
        </w:tc>
        <w:tc>
          <w:tcPr>
            <w:tcW w:w="2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571</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494,703</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(123,781</w:t>
            </w: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1,291,602</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(5,637</w:t>
            </w: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1,657,458</w:t>
            </w: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18,561</w:t>
            </w: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1,676,019</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Enterprises,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8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$0.01 Par</w:t>
            </w: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Treasury</w:t>
            </w: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6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100" w:type="dxa"/>
            <w:vAlign w:val="bottom"/>
            <w:gridSpan w:val="2"/>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Class A Class B</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Stock</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Earnings</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Equity</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42,504</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12,470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437,646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(2,879</w:t>
            </w: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831,850</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1,268,037</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1,268,037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298</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5,416</w:t>
            </w:r>
          </w:p>
        </w:tc>
        <w:tc>
          <w:tcPr>
            <w:tcW w:w="6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5,419</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11,520</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11,520</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(6,780)</w:t>
            </w:r>
          </w:p>
        </w:tc>
        <w:tc>
          <w:tcPr>
            <w:tcW w:w="6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(6,777)</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(6,777)</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86</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1,988</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1,989</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1,989</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(6,483)</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(6,483)</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(6,483)</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Class A common stock</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(7,684)</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(7,684)</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(7,684)</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Class B common stock</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45,333</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45,333</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45,333</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2021</w:t>
            </w:r>
          </w:p>
        </w:tc>
        <w:tc>
          <w:tcPr>
            <w:tcW w:w="98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42,885</w:t>
            </w:r>
          </w:p>
        </w:tc>
        <w:tc>
          <w:tcPr>
            <w:tcW w:w="66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12,660</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558</w:t>
            </w:r>
          </w:p>
        </w:tc>
        <w:tc>
          <w:tcPr>
            <w:tcW w:w="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449,790</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(9,362</w:t>
            </w: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867,119</w:t>
            </w: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1,124</w:t>
            </w: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1,309,229</w:t>
            </w:r>
          </w:p>
        </w:tc>
        <w:tc>
          <w:tcPr>
            <w:tcW w:w="110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1,309,229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219</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3,926</w:t>
            </w:r>
          </w:p>
        </w:tc>
        <w:tc>
          <w:tcPr>
            <w:tcW w:w="6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3,928</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3,928</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3,683</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3,683</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3,683</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(614)</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(4,223)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(4,223)</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Class A common stock</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(7,735)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(7,735)</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(7,735)</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Class B common stock</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58,044</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58,044</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58,044</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2021</w:t>
            </w:r>
          </w:p>
        </w:tc>
        <w:tc>
          <w:tcPr>
            <w:tcW w:w="98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43,104</w:t>
            </w: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12,561</w:t>
            </w: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560</w:t>
            </w:r>
          </w:p>
        </w:tc>
        <w:tc>
          <w:tcPr>
            <w:tcW w:w="1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456,785</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(13,585</w:t>
            </w: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915,003</w:t>
            </w:r>
          </w:p>
        </w:tc>
        <w:tc>
          <w:tcPr>
            <w:tcW w:w="1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1,436</w:t>
            </w: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1,360,199</w:t>
            </w:r>
          </w:p>
        </w:tc>
        <w:tc>
          <w:tcPr>
            <w:tcW w:w="11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1,360,199</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22</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371</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371</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3,144</w:t>
            </w:r>
          </w:p>
        </w:tc>
        <w:tc>
          <w:tcPr>
            <w:tcW w:w="6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3,144</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3,144</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8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63</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2,159</w:t>
            </w:r>
          </w:p>
        </w:tc>
        <w:tc>
          <w:tcPr>
            <w:tcW w:w="6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2,160</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(11,229)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(11,229)</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(11,229)</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Class A common stock</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Class B common stock</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(2,538)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(2,538)</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69,399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69,399</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69,399</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9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43,018</w:t>
            </w:r>
          </w:p>
        </w:tc>
        <w:tc>
          <w:tcPr>
            <w:tcW w:w="6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12,475</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561</w:t>
            </w:r>
          </w:p>
        </w:tc>
        <w:tc>
          <w:tcPr>
            <w:tcW w:w="1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462,406</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(24,814</w:t>
            </w: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973,665</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965</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1,412,783</w:t>
            </w:r>
          </w:p>
        </w:tc>
        <w:tc>
          <w:tcPr>
            <w:tcW w:w="11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1,412,783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293,789</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172,776</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126,691</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Gain on joint venture transaction</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business acquisition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18,347</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(23,029)</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(75,066)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23,200</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(264,687)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147,254</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16,676</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(30,386)</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(8,403)</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(3,217)</w:t>
            </w:r>
          </w:p>
        </w:tc>
      </w:tr>
      <w:tr>
        <w:trPr>
          <w:trHeight w:val="210"/>
        </w:trPr>
        <w:tc>
          <w:tcPr>
            <w:tcW w:w="8000" w:type="dxa"/>
            <w:vAlign w:val="bottom"/>
            <w:tcBorders>
              <w:bottom w:val="single" w:sz="8" w:color="CCEEFF"/>
            </w:tcBorders>
            <w:gridSpan w:val="6"/>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(175,243)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(122,318)</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disposition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w:t>
            </w:r>
          </w:p>
        </w:tc>
      </w:tr>
      <w:tr>
        <w:trPr>
          <w:trHeight w:val="20"/>
        </w:trPr>
        <w:tc>
          <w:tcPr>
            <w:tcW w:w="12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(168,174)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(121,352)</w:t>
            </w: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277,261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(157,440)</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695,169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66,430</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(788,757)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(222,216)</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(10,620)</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13,870</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(7,447)</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(30,499)</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(21,726)</w:t>
            </w:r>
          </w:p>
        </w:tc>
      </w:tr>
      <w:tr>
        <w:trPr>
          <w:trHeight w:val="20"/>
        </w:trPr>
        <w:tc>
          <w:tcPr>
            <w:tcW w:w="12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(369,648)</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(52,355)</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148,146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312,048</w:t>
            </w:r>
          </w:p>
        </w:tc>
      </w:tr>
      <w:tr>
        <w:trPr>
          <w:trHeight w:val="210"/>
        </w:trPr>
        <w:tc>
          <w:tcPr>
            <w:tcW w:w="12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219,519</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259,693</w:t>
            </w:r>
          </w:p>
        </w:tc>
      </w:tr>
      <w:tr>
        <w:trPr>
          <w:trHeight w:val="197"/>
        </w:trPr>
        <w:tc>
          <w:tcPr>
            <w:tcW w:w="128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12,966</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19,805</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74,320</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92,795</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14,290</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21,442</w:t>
            </w:r>
          </w:p>
        </w:tc>
      </w:tr>
    </w:tbl>
    <w:p>
      <w:pPr>
        <w:spacing w:after="0" w:line="1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2021.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which provides temporary optional guidance to ease the potential financial reporting burden of the expected market transition away from LIBOR. The new guidance provides optional expedients and exceptions for applying U.S. GAAP to contract modifications, hedge accounting, and other transactions affected by reference rate reform if certain criteria are met through December 31, 2022. The Company does not expect this standard to have a material effect on its financial position, results of operations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Risks and Uncertainties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business conditions have improved significantly since the onset of the COVID-19 pandemic in the second quarter of 2020, our industry continues to be impacted by supply chain issues generally attributable to the COVID-19 pandemic that are negatively affecting new commercial vehicle production and the availability of aftermarket parts. The Company is unable to predict the impact that the COVID-19 pandemic will have on its future business and operating results due to numerous uncertainties, including the duration of the COVID-19 pandemic and its effect on global economic trends and the various supply chains serving the commercial vehicle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25, 2019, the Company acquired 50% of the equity interest in RTC Canada, which acquired the operating assets of Tallman Group, the largest International Truck dealer in Canada. Prior to acquiring an additional 30% equity interest on May 2, 2022, for approximately $20.0 million, the Company accounted for the equity interest in RTC Canada using the equity method of accounting. Now that the Company owns an 80% equity interest in RTC Canada, the operating results of RTC Canada are consolidated in the Consolidated Statements of Income, the Consolidated Statements of Comprehensive Income and the Consolidated Balance Sheets, as of May 2, 2022. See Note 13 – Acquisitions in the Notes to the Financial Statements for further discussion.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3, 2022, a subsidiary of Cummins, Inc. acquired a 50% equity interest in Natural Gas Fuel Systems, LLC (“NGFS”) from the Company for $27.5 million. NGFS previously conducted business as Momentum Fuel Technologies. The $12.5 million gain realized on the transaction is included in Other income on the Consolidated Statements of Income. The Company is accounting for the business as a joint venture and recognizes the investment using the equity method. As of September 30, 2022, the Company’s investment in NGFS was $14.4 million. The Company’s equity income in NGFS is included in the line item Other income on the Consolidated Statements of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September 30, 2022,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–Net income available to</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90,376</w:t>
            </w:r>
          </w:p>
        </w:tc>
        <w:tc>
          <w:tcPr>
            <w:tcW w:w="260" w:type="dxa"/>
            <w:vAlign w:val="bottom"/>
          </w:tcPr>
          <w:p>
            <w:pPr>
              <w:spacing w:after="0"/>
              <w:rPr>
                <w:sz w:val="17"/>
                <w:szCs w:val="17"/>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69,399</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293,056</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172,776</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55,882</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dilutive securities– Employee and director stock options and</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1,762</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 awards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57,806</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57,363</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57,834</w:t>
            </w:r>
          </w:p>
        </w:tc>
        <w:tc>
          <w:tcPr>
            <w:tcW w:w="0" w:type="dxa"/>
            <w:vAlign w:val="bottom"/>
          </w:tcPr>
          <w:p>
            <w:pPr>
              <w:spacing w:after="0"/>
              <w:rPr>
                <w:sz w:val="1"/>
                <w:szCs w:val="1"/>
                <w:color w:val="auto"/>
              </w:rPr>
            </w:pPr>
          </w:p>
        </w:tc>
      </w:tr>
      <w:tr>
        <w:trPr>
          <w:trHeight w:val="194"/>
        </w:trPr>
        <w:tc>
          <w:tcPr>
            <w:tcW w:w="59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shares 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5.27</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nine months ended September 30, 2022 and 2021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3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40" w:type="dxa"/>
            <w:vAlign w:val="bottom"/>
            <w:gridSpan w:val="2"/>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w w:val="98"/>
              </w:rPr>
              <w:t>Weighted average anti-dilutive options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624</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Accounting Standards Codification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which requires the measurement and recognition of compensation expense for all share-based payment awards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$3.6 million for the three months ended September 30, 2022, and $3.1 million for the three months ended September 30, 2021. Stock-based compensation expense was $21.5 million for the nine months ended September 30, 2022, and $18.3 million for the nine months ended September 30, 2021.</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$11.8 million of unrecognized compensation expense related to non-vested employee stock options to be recognized over a weighted-average period of 2.3 years and $12.9 million of unrecognized compensation cost related to non-vested restricted stock awards to be recognized over a weighted-average period of 1.4 years.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September 30, 2022, and December 31, 2021. Thus, the carrying value of current assets and current liabilities approximates the fair value due to the short maturity of these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September 30, 2022 and 2021 (in thousands):</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Truck</w:t>
            </w:r>
          </w:p>
        </w:tc>
        <w:tc>
          <w:tcPr>
            <w:tcW w:w="32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All</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320" w:type="dxa"/>
            <w:vAlign w:val="bottom"/>
          </w:tcPr>
          <w:p>
            <w:pPr>
              <w:spacing w:after="0"/>
              <w:rPr>
                <w:sz w:val="20"/>
                <w:szCs w:val="20"/>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Other</w:t>
            </w:r>
          </w:p>
        </w:tc>
        <w:tc>
          <w:tcPr>
            <w:tcW w:w="34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2022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1,859,823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1,864,286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126,770</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127,037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120,373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120,547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3,688,151</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54,428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3,742,579</w:t>
            </w: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5,205,802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12,927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5,218,729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368,596</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369,559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380,397</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381,079</w:t>
            </w: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2021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1,261,885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1,266,521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89,841</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91,595</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91,849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2,722,614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54,715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2,777,329</w:t>
            </w: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3,801,675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12,667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3,814,342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217,953</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219,185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222,218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223,235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$4.3 million as a component of accrued liabilities as of September 30, 2022 and December 31, 2021,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$279,000 accrued for the payment of interest as of September 30, 2022 and December 31, 2021. No amounts were accrued for penalties.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September 30, 2022, the tax years ended December 31, 2018 through 2021 remained subject to audit by federal tax authorities, and the tax years ended December 31, 2017 through 2021,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and nine months ended September 30, 2022 and 2021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September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09"/>
        </w:trPr>
        <w:tc>
          <w:tcPr>
            <w:tcW w:w="4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1,142,201</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729,344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3,176,175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2,274,332</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373,207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1,080,552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778,479</w:t>
            </w: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248,923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683,139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545,804</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w:t>
            </w: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8,513</w:t>
            </w: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18,383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tcPr>
          <w:p>
            <w:pPr>
              <w:spacing w:after="0"/>
              <w:rPr>
                <w:sz w:val="19"/>
                <w:szCs w:val="19"/>
                <w:color w:val="auto"/>
              </w:rPr>
            </w:pPr>
          </w:p>
        </w:tc>
      </w:tr>
      <w:tr>
        <w:trPr>
          <w:trHeight w:val="249"/>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1,778,598</w:t>
            </w:r>
          </w:p>
        </w:tc>
        <w:tc>
          <w:tcPr>
            <w:tcW w:w="52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1,203,832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4,981,168</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September 30, 2022 or December 31, 2021.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primarily leases commercial vehicles that it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Sales-type leases are recognized by the Company as lease receivables. The lessee obtains control of the underlying asset and the Company recognizes sales revenue upon lease commencement. The receivable for sales-type leases as of September 30, 2022 was $6.1 million, compared to $5.4 million as of December 31, 2021, and is reflected in the line item Other assets on the Consolidated Balance Sheet.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 and rental income during the three and nine months ended September 30, 2022, and September 30, 2021,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rental payments</w:t>
            </w:r>
          </w:p>
        </w:tc>
        <w:tc>
          <w:tcPr>
            <w:tcW w:w="16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73,797</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54,267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157,919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Nonlease payments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32,491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24,393</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62,689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237,561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182,312</w:t>
            </w:r>
          </w:p>
        </w:tc>
        <w:tc>
          <w:tcPr>
            <w:tcW w:w="1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 (Loss)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11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r>
      <w:tr>
        <w:trPr>
          <w:trHeight w:val="216"/>
        </w:trPr>
        <w:tc>
          <w:tcPr>
            <w:tcW w:w="11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 method of RTC Canada</w:t>
            </w: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14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4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(5,701)</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(5,637)</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reclassified the foreign currency translation adjustment related to its previously held equity investment in RTC Canada into net income upon its acquisition of a majority equity interest according to ASC 830-30, </w:t>
      </w:r>
      <w:r>
        <w:rPr>
          <w:rFonts w:ascii="Times New Roman" w:cs="Times New Roman" w:eastAsia="Times New Roman" w:hAnsi="Times New Roman"/>
          <w:sz w:val="18"/>
          <w:szCs w:val="18"/>
          <w:i w:val="1"/>
          <w:iCs w:val="1"/>
          <w:color w:val="auto"/>
        </w:rPr>
        <w:t>Foreign Currency Matters.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leasing and rental receivables, parts and service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Provision 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Write offs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the Nine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Against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Allowance,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net of</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4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Recoveries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r>
      <w:tr>
        <w:trPr>
          <w:trHeight w:val="209"/>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2,456</w:t>
            </w:r>
          </w:p>
        </w:tc>
      </w:tr>
      <w:tr>
        <w:trPr>
          <w:trHeight w:val="20"/>
        </w:trPr>
        <w:tc>
          <w:tcPr>
            <w:tcW w:w="4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13, 2021, the Company completed the acquisition of certain of the assets of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The Company financed approximately $102.0 million of the purchase price under its floor plan and lease and rental truck financing arrangements and the remainder of the purchase price was paid in cash. In addition, the Company purchased certain real property owned by Summit for a purchase price of approximately $57.0 million, which was paid in cash.</w:t>
      </w:r>
    </w:p>
    <w:p>
      <w:pPr>
        <w:sectPr>
          <w:pgSz w:w="11900" w:h="16838" w:orient="portrait"/>
          <w:cols w:equalWidth="0" w:num="1">
            <w:col w:w="11240"/>
          </w:cols>
          <w:pgMar w:left="320" w:top="108"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has not yet been finalized for the Summit acquisition. The Company is currently working with Summit to obtain additional information that existed at the time of the acquisition related to property and equipment, inventory and valuation of intangible assets. Management has recorded the purchase price allocations based upon currently available information about Summit.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operations of Summit are included in the accompanying consolidated financial statements from the date of the acquisition. The preliminary purchase price was allocated based on the fair values of the assets and liabilities at the date of acquisition as follows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74,413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72,070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113,306</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882</w:t>
            </w:r>
          </w:p>
        </w:tc>
      </w:tr>
      <w:tr>
        <w:trPr>
          <w:trHeight w:val="209"/>
        </w:trPr>
        <w:tc>
          <w:tcPr>
            <w:tcW w:w="73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262,252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2022, the Company adjusted the preliminary purchase price for inventory by $0.7 million with a corresponding adjustment to goodwill. The goodwill of $74.4 million for the Summit acquisition is primarily attributable to the synergies expected to arise after the acquisition. The goodwill acquired in the Summit acquisition will be amortized over 15 years for tax purposes.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acquisition-date fair value of the previous 50% equity interest was $44.7 million, resulting in a gain of $7.0 million included in the line item Other income (expense) on the Consolidated Statements of Income. The Company also recognized a reversal of deferred tax liabilities of $2.2 million and $0.6 million related to reclassification of the foreign currency translation adjustment related to the remeasurement of the Company’s previous equity method investment in RTC Canada.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preliminary purchase price was allocated based on the fair values of the assets and liabilities at the date of acquisition as follows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80,337</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(30,501)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(19,978)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(69,545)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47,939</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in RTC Canada</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(37,309)</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(6,958)</w:t>
            </w:r>
          </w:p>
        </w:tc>
      </w:tr>
      <w:tr>
        <w:trPr>
          <w:trHeight w:val="209"/>
        </w:trPr>
        <w:tc>
          <w:tcPr>
            <w:tcW w:w="7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has not yet been finalized. The Company is currently working with RTC Canada to obtain additional information that existed at the time of the acquisition related to property and equipment, inventory and valuation of intangible assets. Management has recorded the purchase price allocations based upon currently available information about RTC Canada. The goodwill of $47.9 million for the RTC Canada acquisition is primarily attributable to the synergies expected to arise after obtaining a controlling interest in the entity.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May 2, 2022, the Company accounted for its 50% equity interest in RTC Canada as an equity-method investment. Now that the Company owns an 80% equity interest, operations of RTC Canada are included in the accompanying consolidated financial statements as of May 2, 2022</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2021,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Corporation.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business conditions have improved significantly since the onset of the Covid-19 pandemic in the second quarter of 2020, our industry continues to be impacted by supply chain issues generally believed to be attributable to the COVID-19 pandemic that are negatively affecting new commercial vehicle production and the availability of aftermarket parts.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 Research Co., LLC (“A. C.T. Research”), a commercial vehicle industry data and forecasting service provider, currently forecasts new U.S. Class 8 retail truck sales to be 258,600 units in 2022, which would represent a 13.7% increase compared to 2021. We expect our U.S. market share of new Class 8 truck sales to range between 6.2% and 6.5% in 2022. This market share percentage would result in the sale of approximately 16,000 to 16,700 new Class 8 trucks in 2022. We expect to sell approximately 200 additional new Class 8 trucks in Canada in the fourth quarter of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new U.S. Class 4-7 retail commercial vehicle sales, A.C.T. Research currently forecasts sales to be 230,975 units in 2022, which would represent a 7.5% decrease compared to 2021. We expect our U.S. market share of new Class 4 through 7 commercial vehicle sales to range between 4.5% and 4.8% in 2022. This market share percentage would result in the sale of approximately 10,500 to 11,000 new Class 4 through 7 commercial vehicles in 2022. We expect to sell approximately 60 additional new Class 5 through 7 commercial vehicles in Canada in the fourth quarter of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1,800 light-duty vehicles and approximately 6,800 to 7,200 used commercial vehicles in 2022. We expect lease and rental revenues to increase 28% to 32% during 2022, compared to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Aftermarket Products and Services revenues will increase 28% to 33% in 2022, compared to 2021.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above projections for new commercial vehicle sales will depend on our ability to obtain commercial vehicles from the manufacturers we represent and such projections could be negatively impacted by manufacturer allocation decisions and supply chain issues affecting manufacturers’ production. In addition, we continue to monitor inflation and rising interest rates, which may negatively impact consumer spending and capital expenditures across a variety of industries we support.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the above projections for new commercial vehicle sales, lease and rental revenues and Aftermarket Products and Services revenues include the dealership and Idealease locations that we acquired on December 13, 2021, when we completed the acquisition of certain of the assets of the of Summit Truck Group, LLC and certain of its subsidiaries and affiliates (collectively, “Summit”). In addition, all of the above projections for new commercial vehicle sales, lease and rental revenues and Aftermarket Products and Services revenues include RTC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 Intangible Assets and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combinations, we record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excess purchase price over the fair value of assets acquired is recorded as goodwill. We assess goodwill for impairment annually in the fourth quarter, or whenever events or changes in circumstances indicate an impairment may have occurred. If impaired, the carrying values of the assets are written down to fair value using Level 3 inputs.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ASU 2014-09,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 economic risk where appropriate. Determination of the proper amount of allowances by portfolio requires us to exercise our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our foreign subsidiary, RTC Canada, is its local currency. Results of operations for RTC Canada are translated in USD using the average exchange rate on a monthly basis during the quarter. The assets and liabilities of RTC Canada are translated into USD using the exchange rate in effect on the balance sheet date. The related translation adjustments are recorded as a separate component of our Consolidated Statements of Shareholders’ Equity in the line item Accumulated other comprehensive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nine months ended September 30, 2022 and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0"/>
                <w:szCs w:val="20"/>
                <w:color w:val="auto"/>
              </w:rPr>
            </w:pPr>
          </w:p>
        </w:tc>
      </w:tr>
      <w:tr>
        <w:trPr>
          <w:trHeight w:val="209"/>
        </w:trPr>
        <w:tc>
          <w:tcPr>
            <w:tcW w:w="5080" w:type="dxa"/>
            <w:vAlign w:val="bottom"/>
            <w:gridSpan w:val="2"/>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100.0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77.7</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7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18"/>
                <w:szCs w:val="18"/>
                <w:color w:val="auto"/>
              </w:rPr>
            </w:pPr>
          </w:p>
        </w:tc>
      </w:tr>
      <w:tr>
        <w:trPr>
          <w:trHeight w:val="20"/>
        </w:trPr>
        <w:tc>
          <w:tcPr>
            <w:tcW w:w="508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5"/>
        </w:trPr>
        <w:tc>
          <w:tcPr>
            <w:tcW w:w="7960" w:type="dxa"/>
            <w:vAlign w:val="bottom"/>
            <w:gridSpan w:val="8"/>
          </w:tcPr>
          <w:p>
            <w:pPr>
              <w:jc w:val="right"/>
              <w:ind w:right="4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0"/>
                <w:szCs w:val="20"/>
                <w:color w:val="auto"/>
              </w:rPr>
            </w:pPr>
          </w:p>
        </w:tc>
      </w:tr>
      <w:tr>
        <w:trPr>
          <w:trHeight w:val="210"/>
        </w:trPr>
        <w:tc>
          <w:tcPr>
            <w:tcW w:w="5080" w:type="dxa"/>
            <w:vAlign w:val="bottom"/>
            <w:gridSpan w:val="2"/>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64.5</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Pr>
          <w:p>
            <w:pPr>
              <w:spacing w:after="0"/>
              <w:rPr>
                <w:sz w:val="18"/>
                <w:szCs w:val="18"/>
                <w:color w:val="auto"/>
              </w:rPr>
            </w:pPr>
          </w:p>
        </w:tc>
      </w:tr>
      <w:tr>
        <w:trPr>
          <w:trHeight w:val="425"/>
        </w:trPr>
        <w:tc>
          <w:tcPr>
            <w:tcW w:w="66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our absorption ratio (revenue in millions):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8,486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7,951</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17,665</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5,730</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1,925.7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1,261.1</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644.9</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623.0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2,702.6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1,986.2</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459.7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303.9</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2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Other vehicle revenues:</w:t>
            </w:r>
            <w:r>
              <w:rPr>
                <w:rFonts w:ascii="Times New Roman" w:cs="Times New Roman" w:eastAsia="Times New Roman" w:hAnsi="Times New Roman"/>
                <w:sz w:val="25"/>
                <w:szCs w:val="25"/>
                <w:color w:val="auto"/>
                <w:vertAlign w:val="superscript"/>
              </w:rPr>
              <w:t>(1)</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bl>
    <w:p>
      <w:pPr>
        <w:ind w:left="66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136.2% absorption ratio for the third quarter of 2022 compared to a 134.0% absorption ratio for the third quarter of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increased $597.8 million, or 47.2%, in the third quarter of 2022, compared to the third quarter of 2021. This increase was primarily a result of strong freight demand which, continues to drive strong demand for new and used commercial vehicles, the Summit acquisition and the consolidation of RTC Canada into our operating results, which increased revenues across all areas of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totaled $622.1 million in the third quarter of 2022, up 34.4% from the third quarter of 2021. The increase in Aftermarket Parts and Services revenues was primarily a result of strong demand, inflation, the Summit acquisition and the consolidation of RTC Canada into our operating results.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$412.9 million, or 56.6%, in the third quarter of 2022, compared to the third quarter of 2021. The increase in commercial vehicle revenues was primarily a result of strong demand, the Summit acquisition and the consolidation of RTC Canada into our operating results.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4,200 new Class 8 trucks in the third quarter of 2022, a 65.5% increase compared to 2,537 new Class 8 trucks sold in the third quarter of 2021. This increase in new Class 8 truck sales was primarily a result of strong demand for new commercial vehicles, the Summit acquisition and the consolidation of RTC Canada into our operating results. New U.S. Class 8 retail truck sales totaled 67,939 units in the third quarter of 2022, an increase of 27.0% compared to the third quarter of 2021, according to ACT Research.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3,223 new Class 4 through 7 medium-duty commercial vehicles, including 537 buses, in the third quarter of 2022, a 15.4% increase compared to 2,792 new medium-duty commercial vehicles, including 410 buses, in the third quarter of 2021. Our new Class 4 through 7 commercial vehicle sales increased due to strong demand for new commercial vehicles, the Summit acquisition and the consolidation of RTC Canada into our operating results. New U.S. Class 4 through 7 retail commercial vehicle sales totaled 60,211 units in the third quarter of 2022, up 0.7% compared to the third quarter of 2021, according to ACT Research.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608 light-duty vehicles in the third quarter of 2022, a 68.4% increase compared to 361 light-duty vehicles sold in the third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1,763 used commercial vehicles in the third quarter of 2022, a 3.0% increase compared to 1,712 used commercial vehicles in the third quarter of 2021. We believe used commercial vehicle demand and values will continue to decrease as new commercial vehicle production increases to a level adequate to meet customer demand.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increased $23.0 million, or 36.7%, in the third quarter of 2022, compared to the third quarter of 2021. This increase in commercial vehicle lease and rental revenues was primarily a result of strong demand for rental commercial vehicles, the Summit acquisition and the consolidation of RTC Canada into our operating results.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increased $0.8 million, or 11.5%, in the third quarter of 2022, compared to the third quarter of 2021. Finance and insurance revenues have limited direct costs and, therefore, contribute a disproportionate share of our operating profits.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increased $99.1 million, or 35.1%, in the third quarter of 2022, compared to the third quarter of 2021. This increase in gross profit is primarily due to strong demand for commercial vehicles and aftermarket services, the Summit acquisition and the consolidation of RTC Canada into our operating results. Gross profit as a percentage of sales decreased to 20.5% in the third quarter of 2022, from 22.3% in the third quarter of 2021. This decrease in gross profit as a percentage of sales is a result of a change in our product sales mix. Commercial vehicle sales, a lower margin revenue item, increased as a percentage of total revenues to 61.3% in the third quarter of 2022, from 57.6% in the third quarter of 2021. Aftermarket Services revenues, a higher margin revenue item, decreased as a percentage of total revenues to 33.4% in the third quarter of 2022, from 36.6% in the third quarter of 2021.</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39.1% in the third quarter of 2022, from 39.3% in the third quarter of 2021. Gross profit for the Aftermarket Products and Services departments increased to $243.4 million in the third quarter of 2022, from $182.2 million in the third quarter of 2021. This increase in gross profit from our Aftermarket Products and Services operations is primarily due to increases in parts pricing, increases in parts rebates from our parts suppliers, the Summit acquisition and the consolidation of RTC Canada into our operating results. Historically, gross margins on parts sales range from 28% to 30% and gross margins on service and collision center operations range from 66% to 68%. Gross profits from parts sales represented 62.8% of total gross profit for Aftermarket Products and Services operations in the third quarter of 2022 and 62.4% in the third quarter of 2021. Service and collision center operations represented 37.2% of total gross profit for Aftermarket Products and Services operations in the third quarter of 2022 and 37.6% in the third quarter of 2021.</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8 truck sales increased to 9.9% in the third quarter of 2022, from 8.7% in the third quarter of 2021. This increase is primarily due to strong demand for new Class 8 trucks and the mix of purchasers during the third quarter of 2022. In 2022, we expect overall gross margins from new heavy-duty truck sales of approximately 8.8% to 9.9%.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slightly decreased to 7.9% in the third quarter of 2022, from 8.0% in the third quarter of 2021. For 2022, we expect overall gross margins from new medium-duty commercial vehicle sales of approximately 7.5% to 8.5%, but this will largely depend upon the mix of purchasers and types of vehicles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1.6% in the third quarter of 2022, from 19.7% in the third quarter of 2021. This decrease is primarily due to declining used truck values as new Class 8 vehicle production begins to increase. We expect margins on used commercial vehicles to reach a range between 6.0% and 8.0% by the end of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31.8% in the third quarter of 2022, from 25.1% in the third quarter of 2021. This increase is primarily related to increased rental fleet utilization and changes to the way we finance commercial vehicles for our lease and rental fleet. In September of 2021, we entered into a credit agreement (“the WF Credit Agreement”) with the lenders signatory thereto (the “WF Lenders”) and Wells Fargo Bank, National Association (“WF”), as Administrative Agent (in such capacity, the “WF Agent”) that allows us to finance a portion of our Idealease lease and rental fleet through a general borrowing facility. In October of 2021, we entered into that certain Amended and Restated Inventory Financing and Purchase Money Security Agreement with PLC, a division of PACCAR Financial Corp. (the “PLC Agreement”) in the amount of $300.0 million to be used in connection with the acquisition of PacLease lease and rental fleet vehicles. The interest associated with the WF Credit Agreement and the PLC Agreement is recorded in interest expense on the Consolidated Statements of Income. Prior to the WF Credit Agreement and the PLC Agreement, interest expense associated with our lease and rental fleet purchases was recorded in cost of sales because each borrowing was directly related to each lease and rental vehicle purchased. This change in the structure of financing of our lease and rental fleet results in increased gross margins from our commercial vehicle lease and rental sales. We expect gross margins from lease and rental sales of approximately 31.0% to 33.0% during 2022.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$62.7 million, or 34.9%, in the third quarter of 2022, compared to the third quarter of 2021. This increase primarily resulted from increased general and administrative expense associated with the Summit acquisition and consolidation of RTC Canada into our operating results. SG&amp;A expenses as a percentage of total revenues decreased to 13.0% in the third quarter of 2022, from 14.2% in the third quarter of 2021. Annual SG&amp;A expenses as a percentage of total revenues have ranged from 12.4% to 14.3% over the last five years. In general, when new and used commercial vehicle revenues decrease as a percentage of total revenues, SG&amp;A expenses as a percentage of total revenues will be at the higher end of this range. For 2022, we expect SG&amp;A expenses as a percentage of total revenues to range from 13.0% to 14.0%, due to the increase in revenues from sales of new and used commercial vehicles and Aftermarket Products and Services revenues. We expect the selling portion of SG&amp;A expenses to be approximately 25.0% to 30.0% of new and used commercial vehicle gross profit.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$0.8 million, or 6.3%, in the third quarter of 2022, compared to the third quarter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increased $6.0 million, or 2,215.5%, in the third quarter of 2022, compared to the third quarter of 2021. This increase in interest expense is a result of the increase in inventory levels and rising interest rates on our variable rate debt compared to 2021. We expect net interest expense in 2022 to increase due to interest related to lease and rental borrowings and floor plan debt, but the amount of the increase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increased $28.7 million, or 31.2%, in the third quarter of 2022, compared to the third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increased $7.4 million, or 33.1%, in the third quarter of 2022, compared to the third quarter of 2021. We provided for taxes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24.79% effective rate in the third quarter of 2022 and 24.75% in the third quarter of 2021. We expect our effective tax rate to be approximately 23.0%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 of pretax income in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 to the items discussed in this section are set forth in the discussion of the Three Months Ended September 30, 2022 Compared to Three Months Ended September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increased $1,404.4 million, or 36.8%, in the first nine months of 2022, compared to the first nine months of 2021.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Aftermarket Products and Services revenues increased $439.4 million, or 33.2%, in the first nine months of 2022, compared to the first nine months of 2021.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from the sales of new and used commercial vehicles increased $901.8 million, or 39.7%, in the first nine months of 2022, compared to the first nine months of 2021.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11,896 new Class 8 heavy-duty trucks during the first nine months of 2022, a 40.2% increase compared to 8,486 new Class 8 heavy-duty trucks in the first nine months of 2021. According to A.C.T. Research, new U.S. Class 8 truck sales increased 9.3% in the first nine months of 2022, compared to the first nine months of 2021.</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8,179 new Class 4 through 7 medium-duty commercial vehicles, including 1,041 buses, during the first nine months of 2022, a 2.9% increase compared to 7,951 new Class 4 through 7 medium-duty commercial vehicles, including 788 buses, in the first nine months of 2021. A.C.T. Research estimates that unit sales of new Class 4 through 7 commercial vehicles, including buses, in the U.S decreased approximately 7.4% in the first nine months of 2022, compared to the first nine months of 2021.</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1,497 new light-duty commercial vehicles during the first nine months of 2022, a 21.9% increase compared to 1,228 light-duty commercial vehicles in the first nine months of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5,787 used commercial vehicles during the first nine months of 2022, a 1.0% increase compared to 5,730 used commercial vehicles in the first nine months of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Truck lease and rental revenues increased $55.2 million, or 30.3%, in the first nine months of 2022, compared to the first nine months of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increased $2.2 million, or 10.6%, in the first nine months of 2022, compared to the first nine months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$303.2 million, or 38.0%, in the first nine months of 2022, compared to the first nine months of 2021. Gross profit as a percentage of sales increased to 21.1% in the first nine months of 2022, from 20.9% in the first nine months of 2021.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increased to 38.8% in the first nine months of 2022, from 38.1% in the first nine months of 2021. Gross profit for the Aftermarket Products and Services departments was $683.5 million in the first nine months of 2022, compared to $504.5 million in the first nine months of 2021. Gross profits from parts sales represented 63.0% of total gross profit for Aftermarket Products and Services operations in the first nine months of 2022 and 61.0% in the first nine months of 2021. Service and collision center operations represented 37.0% of total gross profit for Aftermarket Products and Services operations in the first nine months of 2022 and 39.0% in the first nine months of 2021.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new Class 8 truck sales increased to 9.9% in the first nine months of 2022, from 8.9% in the first nine months of 2021.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4 through 7 medium-duty commercial vehicle sales increased to 7.9% in the first nine months of 2022, from 7.5% in the first nine months of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decreased to 10.2% in the first nine months of 2022, from 18.4% in the first nine months of 2021.</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Gross margins from truck lease and rental sales increased to 31.6% in the first nine months of 2022, from 21.3% in the first nine months of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SG&amp;A expenses increased $152.8 million, or 28.3%, in the first nine months of 2022, compared to the first nine months of 2021. SG&amp;A expenses equaled 13.3% of total revenue in the first nine months of 2022, and 14.1% in the first nine months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$1.3 million, or 3.1%, in the first nine months of 2022, compared to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increased $10.1 million, or 1,783.7%, in the first nine months of 2022, compared to the first nine months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increased $157.8 million, or 70.7%, in the first nine months of 2022, compared to the first nine months of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taxes increased $36.8 million, or 73.0%, in the first nine months of 2022, compared to the first nine months of 2021. We provided for taxes at a 22.9% rate in the first nine months of 2022 and a 23.0% rate in the first nine months of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2022, we had working capital of approximately $390.0 million available to fund our operations, including $219.5 million in cash.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Bank N.A. (“BMO Harris”) (the “Floor Plan Credit Agreement”) and the WF Credit Agreement. The resulting interest earned on the Floor Plan Credit Agreement is recognized as an offset to our interest expense.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$15.0 million. There were no advances outstanding under this secured line of credit on September 30, 2022, however, $14.3 million was pledged to secure various letters of credit related to self-insurance products, leaving $0.7 million available for future borrowings as of September 30, 2022.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debt, floor plan financing agreements and the WF Credit Agreement require us to satisfy various financial ratios such as the leverage ratio, the asset coverage ratio and the fixed charge coverage ratio. As of September 30, 2022, we were in compliance with all debt covenants related to debt secured by lease and rental units, our floor plan credit agreements and the WF Credit Agreement. We do not anticipate any breach of the covenants in the foreseeable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$150.0 million to $170.0 million for our leasing operations during 2022, depending on customer demand, most of which will be financed. We also expect to make capital expenditures for the purchase of recurring items such as computers, shop tools and equipment and company vehicles of approximately $35.0 million to $40.0 million during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under contract to construct a new facility in Pontoon Beach, Illinois at an estimated cost of $13.9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third quarter of 2022, we paid a cash dividend of $11.5 million. Additionally, on October 25, 2022, our Board of Directors declared a cash dividend of $0.21 per share of Class A and Class B Common Stock, to be paid on December 9, 2022, to all shareholders of record as of November 10, 2022. The total dividend disbursement is estimated at approximately $11.5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30, 2021,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2021.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September 30, 2022, we had repurchased $91.8 million of our shares of common stock under the current stock repurchase program. The current stock repurchase program expires on December 31, 2022,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September 30, 2022.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$71.4 million during the nine months ended September 30, 2022 and decreased by $52.4 million during the nine months ended September 30, 2021.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nine months of 2022, operating activities resulted in net cash provided by operations of $183.3 million. Net cash provided by operating activities primarily consisted of $293.8 million in net income, as well as non-cash adjustments related to depreciation and amortization of $146.5 million, gain on sale of property and equipment, gain on joint venture and gain on business acquisition of $21.9 million, stock-based compensation of $21.6 million and the benefit for deferred income tax expense of $7.9 million. Cash used by operating activities included an aggregate of $264.5 million net change in operating assets and liabilities. Included in the net change in operating assets and liabilities were cash inflows of $44.1 million from the increase in accounts payable, $9.7 million from the increase in customer deposits and $25.5 million from the increase in accrued expenses, which was offset primarily by cash outflows of $264.7 million from the increase in inventories and $75.1 million from the increase in accounts receivable. The majority of our commercial vehicle inventory is financed through our floor plan credit agreements.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2021, operating activities resulted in net cash provided by operations of $438.6 million. Net cash provided by operating activities primarily consisted of $172.8 million in net income, as well as non-cash adjustments related to depreciation and amortization of $126.7 million, stock-based compensation of $18.3 million and the benefit for deferred income tax expense of $23.0 million. Cash provided by operating activities included an aggregate of $148.2 million net change in operating assets and liabilities. Included in the net change in operating assets and liabilities were cash inflows of $147.3 million from the decrease in inventories, $23.2 million from the decrease in accounts receivable and $16.7 million from the increase in accounts payable, which was offset by cash outflows of $8.4 million from decreases in accrued liabilities and $30.4 million from the decrease in customer deposits.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2022, cash used in investing activities was $168.2 million. Cash flows used in investing activities consists primarily of cash used for capital expenditures. Capital expenditures were $175.2 million during the first nine months of 2022 and consisted primarily of purchases of property and equipment and improvements to our existing dealership facilities. Property and equipment purchases during the first nine months of 2022 included $122.3 million for additional units for the rental and leasing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2021, cash used in investing activities was $121.4 million. Cash flows used in investing activities consists primarily of cash used for capital expenditures. Capital expenditures were $122.3 million during the first nine months of 2021 and consisted primarily of purchases of property and equipment and improvements to our existing dealership facilities. Property and equipment purchases during the first nine months of 2021 included $88.0 million for additional units for the rental and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nine months of 2022, financing activities resulted in net cash provided in financing of $56.6 million, primarily related to $277.3 million from net draws on floor plan notes payable, non-trade, $695.2 million from borrowings of long-term debt and $11.1 million from the issuance of shares related to equity compensation plans. These cash inflows were offset by cash outflows of $799.8 million used for principal repayments of long-term debt and capital lease obligations, $52.3 million used for repurchases of common stock, $8.7 million for taxes paid related to net share settlement of equity awards and $33.1 million used for payment of cash dividends.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2021, financing activities resulted in net cash used in financing of $369.6 million, primarily related to $157.4 million from net payments on floor plan notes payable, non-trade, $232.8 million used for principal repayments of long-term debt and capital lease obligations, $21.7 million used for repurchases of common stock and $30.5 million used for payment of cash dividends. These cash outflows were offset by cash inflows of $6.4 million from the issuance of shares related to equity compensation plans and borrowings of $66.4 million of long-term debt. The borrowings of long-term debt were primarily related to purchasing units for the rental and leasing operations.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WF Lenders and the WF Agent. Pursuant to the terms of the WF Credit Agreement, the WF Lenders have agreed to make up to $250.0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rate plus (i) 1.25% or (ii) 1.5%, depending on our consolidated leverage ratio or (B) on or after the term SOFR transition date, the term SOFR rate plus (i) 1.25% or (ii)</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September 30, 2022, we had approximately $73.1 million outstanding under the WF Credit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2021, we entered into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September 30, 2022, we had approximately $185.0 million outstanding under the PLC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On September 14, 2021, we entered into Floor Plan Credit Agreement with BMO Harris and the lenders signatory thereto.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September 30, 2022, we had approximately $727.3 million outstanding under the Floor Plan Credit Agreement. The average daily outstanding borrowings under the Floor Plan Credit Agreement were $611.6 million during the nine months ended September 30, 2022.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Agreement”) with Bank of Montreal (“BMO”). Pursuant to the terms of the RTC Canada Revolving Agreement, BMO agreed to make up to $140.0 million of revolving credit loans to finance certain of RTC Canada’s capital expenditures, including commercial vehicle purchases and other equipment to be leased or rented through RTC Canada’s Idealease franchise. Advances under the RTC Canada Revolving Agreement bear interest per annum, payable on the first business day of each calendar month, at the Canadian Dollar Offered Rate (CDOR), plus 1.35%. The RTC Canada Revolving Agreement expires September 14, 2026. On September 30, 2022, we had approximately $48.9 million outstanding under the RTC Canada Revolving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Agreement”) with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CDOR, plus 0.90% and in the case of an advance required to be made in USD dollars, at LIBOR, plus 1.10%. The RTC Canada Floor Plan Agreement expires September 14, 2026. On September 30, 2022, we had approximately $37.2 million outstanding under the RTC Canada Floor Plan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30, 2022, our backlog of commercial vehicle orders was approximately $3,300.1 million, compared to a backlog of commercial vehicle orders of approximately $2,720.2 million on September 30, 2021. This increase in our backlog is primarily due to the Summit acquisition and the consolidation of RTC Canada into our operating results, in addition to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2022, and we expect to fill the majority of our backlog orders during 2022 and the first quarter of 2023, assuming that the manufacturers we represent can meet their current production schedule. Our current backlog continues to be much higher than normal. Given the potential for industry headwinds in the coming months caused by lower spot rates and higher interest rates and fuel prices,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59"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two additional states have since signed. Five of the states that signed are states where we operate new commercial vehicle dealerships: California, Colorado, Nevada, North Carolina and Virginia. The signatories to the memorandum all agreed on a goal of ensuring that 100% of new Class 3 through 8 commercial vehicles are zero emission by 2050, with an interim target of 30% zero emission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and discount rates related to finance sales. Our floor plan debt is based on LIBOR and CDOR, the WF Credit Agreement is based on SOFR, the RTC Canada Revolving Agreement is based on CDOR and the PLC Agreement is based on the prime rate. As of September 30, 2022, we had floor plan borrowings and lease and rental fleet borrowings in the amount of $1,242.9 million. Assuming an increase or decrease in LIBOR, SOFR, CDOR or the prime rate of 100 basis points, annual interest expense could correspondingly increase or decrease by approximately $12.4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2022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September 30,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September 30, 2022,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2021 Annual Report on Form 10-K (the “2021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2021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third quarter of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third quarter of 2022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of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4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or Programs (3)</w:t>
            </w:r>
          </w:p>
        </w:tc>
        <w:tc>
          <w:tcPr>
            <w:tcW w:w="100" w:type="dxa"/>
            <w:vAlign w:val="bottom"/>
          </w:tcPr>
          <w:p>
            <w:pPr>
              <w:spacing w:after="0"/>
              <w:rPr>
                <w:sz w:val="20"/>
                <w:szCs w:val="20"/>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 2022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158,717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32,824,841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24,777,515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 2022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8,222,513</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Common Stock and/or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2021, we announced the approval of a new stock repurchase program authorizing management to repurchase, from time to time, up to an aggregate of $100.0 million of our shares of Class A Common Stock and/or Class B Common Stock.</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158,717 shares of Class B Common Stock at an average price paid per share of $53.48.</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144,997 shares of Class A Common Stock at an average price paid per share of $48.91 and 17,386 shares of Class B Common Stock at an average price paid per share of $54.71.</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368,146 shares of Class A Common Stock at an average price paid per share of $44.94.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20"/>
                <w:szCs w:val="20"/>
                <w:color w:val="auto"/>
              </w:rPr>
            </w:pPr>
          </w:p>
        </w:tc>
        <w:tc>
          <w:tcPr>
            <w:tcW w:w="101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00" w:type="dxa"/>
            <w:vAlign w:val="bottom"/>
          </w:tcPr>
          <w:p>
            <w:pPr>
              <w:spacing w:after="0"/>
              <w:rPr>
                <w:sz w:val="14"/>
                <w:szCs w:val="14"/>
                <w:color w:val="auto"/>
              </w:rPr>
            </w:pPr>
          </w:p>
        </w:tc>
        <w:tc>
          <w:tcPr>
            <w:tcW w:w="10160" w:type="dxa"/>
            <w:vAlign w:val="bottom"/>
            <w:gridSpan w:val="9"/>
          </w:tcPr>
          <w:p>
            <w:pPr>
              <w:spacing w:after="0" w:line="169"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r>
      <w:tr>
        <w:trPr>
          <w:trHeight w:val="196"/>
        </w:trPr>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Report on Form 10-Q (File No. 000-20797) for the quarter ended June 30, 2008)</w:t>
              </w:r>
            </w:hyperlink>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300" w:type="dxa"/>
            <w:vAlign w:val="bottom"/>
          </w:tcPr>
          <w:p>
            <w:pPr>
              <w:spacing w:after="0"/>
              <w:rPr>
                <w:sz w:val="17"/>
                <w:szCs w:val="17"/>
                <w:color w:val="auto"/>
              </w:rPr>
            </w:pPr>
          </w:p>
        </w:tc>
        <w:tc>
          <w:tcPr>
            <w:tcW w:w="10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 on</w:t>
              </w:r>
            </w:hyperlink>
          </w:p>
        </w:tc>
      </w:tr>
      <w:tr>
        <w:trPr>
          <w:trHeight w:val="196"/>
        </w:trPr>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9"/>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8-K (File No. 000-20797) filed May 21, 2013)</w:t>
              </w:r>
            </w:hyperlink>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300" w:type="dxa"/>
            <w:vAlign w:val="bottom"/>
          </w:tcPr>
          <w:p>
            <w:pPr>
              <w:spacing w:after="0"/>
              <w:rPr>
                <w:sz w:val="17"/>
                <w:szCs w:val="17"/>
                <w:color w:val="auto"/>
              </w:rPr>
            </w:pPr>
          </w:p>
        </w:tc>
        <w:tc>
          <w:tcPr>
            <w:tcW w:w="10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9"/>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Company’s Current Report on Form 8-K (File No. 000-20797) filed May 24, 2021)</w:t>
              </w:r>
            </w:hyperlink>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30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560" w:type="dxa"/>
            <w:vAlign w:val="bottom"/>
            <w:gridSpan w:val="2"/>
          </w:tcPr>
          <w:p>
            <w:pPr>
              <w:spacing w:after="0"/>
              <w:rPr>
                <w:sz w:val="17"/>
                <w:szCs w:val="17"/>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3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CFO pursuant to Rules 13a-14(a) and 15d-14(a) adopted pursuant to Section 302 of the Sarbanes-Oxley Act of 2002.</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300" w:type="dxa"/>
            <w:vAlign w:val="bottom"/>
            <w:tcBorders>
              <w:top w:val="single" w:sz="8" w:color="0000EE"/>
            </w:tcBorders>
          </w:tcPr>
          <w:p>
            <w:pPr>
              <w:spacing w:after="0"/>
              <w:rPr>
                <w:sz w:val="17"/>
                <w:szCs w:val="17"/>
                <w:color w:val="auto"/>
              </w:rPr>
            </w:pPr>
          </w:p>
        </w:tc>
        <w:tc>
          <w:tcPr>
            <w:tcW w:w="580" w:type="dxa"/>
            <w:vAlign w:val="bottom"/>
            <w:gridSpan w:val="3"/>
          </w:tcPr>
          <w:p>
            <w:pPr>
              <w:spacing w:after="0"/>
              <w:rPr>
                <w:sz w:val="17"/>
                <w:szCs w:val="17"/>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CFO pursuant to 18 U.S.C. Section 1350 as adopted pursuant to Section 906 of the Sarbanes-Oxley Act of 2002.</w:t>
            </w: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60" w:type="dxa"/>
            <w:vAlign w:val="bottom"/>
            <w:gridSpan w:val="4"/>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101.CAL*</w:t>
            </w: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101.LAB*</w:t>
            </w: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100" w:hanging="65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38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8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9, 2022</w:t>
            </w:r>
          </w:p>
        </w:tc>
        <w:tc>
          <w:tcPr>
            <w:tcW w:w="538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2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9, 2022</w:t>
            </w:r>
          </w:p>
        </w:tc>
        <w:tc>
          <w:tcPr>
            <w:tcW w:w="538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gridSpan w:val="2"/>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32"/>
        </w:trPr>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494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8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538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Name:W.M. “Rusty” Rush</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President, Chief Executive Officer and</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Name:Steven L. Keller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8" Type="http://schemas.openxmlformats.org/officeDocument/2006/relationships/image" Target="media/image28.png"/><Relationship Id="rId35" Type="http://schemas.openxmlformats.org/officeDocument/2006/relationships/hyperlink" Target="http://www.sec.gov/Archives/edgar/data/1012019/000110465908051789/a08-18770_1ex3d1.htm" TargetMode="External"/><Relationship Id="rId36" Type="http://schemas.openxmlformats.org/officeDocument/2006/relationships/hyperlink" Target="http://www.sec.gov/Archives/edgar/data/1012019/000143774913006455/rusha20130517_8kex3-1.htm" TargetMode="External"/><Relationship Id="rId37" Type="http://schemas.openxmlformats.org/officeDocument/2006/relationships/hyperlink" Target="http://www.sec.gov/ix?doc=/Archives/edgar/data/1012019/000143774921013172/rusha2021052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2022-11-09T14:29:51Z</dcterms:created>
  <dcterms:modified xsi:type="dcterms:W3CDTF">2022-11-09T14:29:51Z</dcterms:modified>
</cp:coreProperties>
</file>