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34" w:lineRule="exact"/>
        <w:rPr>
          <w:rFonts w:ascii="MS PGothic" w:cs="MS PGothic" w:eastAsia="MS PGothic" w:hAnsi="MS PGothic"/>
          <w:sz w:val="16"/>
          <w:szCs w:val="16"/>
          <w:color w:val="auto"/>
        </w:rPr>
      </w:pPr>
    </w:p>
    <w:p>
      <w:pPr>
        <w:ind w:left="366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September 30,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2440" w:right="1900" w:hanging="2432"/>
        <w:spacing w:after="0" w:line="524"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_____________________ to 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88" w:right="339" w:bottom="244" w:gutter="0" w:footer="0" w:header="0"/>
        </w:sectPr>
      </w:pPr>
    </w:p>
    <w:p>
      <w:pPr>
        <w:spacing w:after="0" w:line="211"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Texas</w:t>
      </w:r>
    </w:p>
    <w:p>
      <w:pPr>
        <w:spacing w:after="0" w:line="23"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1500"/>
        <w:spacing w:after="0"/>
        <w:rPr>
          <w:sz w:val="20"/>
          <w:szCs w:val="20"/>
          <w:color w:val="auto"/>
        </w:rPr>
      </w:pPr>
      <w:r>
        <w:rPr>
          <w:rFonts w:ascii="Arial" w:cs="Arial" w:eastAsia="Arial" w:hAnsi="Arial"/>
          <w:sz w:val="18"/>
          <w:szCs w:val="18"/>
          <w:color w:val="auto"/>
        </w:rPr>
        <w:t>74-1733016</w:t>
      </w:r>
    </w:p>
    <w:p>
      <w:pPr>
        <w:spacing w:after="0" w:line="23"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688" w:right="339" w:bottom="244"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240"/>
          </w:cols>
          <w:pgMar w:left="320" w:top="688" w:right="339" w:bottom="244"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486"/>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firstLine="486"/>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340"/>
        <w:spacing w:after="0" w:line="207" w:lineRule="exact"/>
        <w:tabs>
          <w:tab w:leader="none" w:pos="2980" w:val="left"/>
          <w:tab w:leader="none" w:pos="5660" w:val="left"/>
          <w:tab w:leader="none" w:pos="8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October 28, 2021.</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40" w:type="dxa"/>
            <w:vAlign w:val="bottom"/>
            <w:gridSpan w:val="3"/>
          </w:tcPr>
          <w:p>
            <w:pPr>
              <w:jc w:val="center"/>
              <w:ind w:right="2460"/>
              <w:spacing w:after="0"/>
              <w:rPr>
                <w:sz w:val="20"/>
                <w:szCs w:val="20"/>
                <w:color w:val="auto"/>
              </w:rPr>
            </w:pPr>
            <w:r>
              <w:rPr>
                <w:rFonts w:ascii="Arial" w:cs="Arial" w:eastAsia="Arial" w:hAnsi="Arial"/>
                <w:sz w:val="18"/>
                <w:szCs w:val="18"/>
                <w:color w:val="auto"/>
                <w:w w:val="88"/>
              </w:rPr>
              <w:t>Number of Shares</w:t>
            </w:r>
          </w:p>
        </w:tc>
        <w:tc>
          <w:tcPr>
            <w:tcW w:w="40" w:type="dxa"/>
            <w:vAlign w:val="bottom"/>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20" w:type="dxa"/>
            <w:vAlign w:val="bottom"/>
            <w:gridSpan w:val="3"/>
          </w:tcPr>
          <w:p>
            <w:pPr>
              <w:spacing w:after="0" w:line="190" w:lineRule="exact"/>
              <w:rPr>
                <w:sz w:val="20"/>
                <w:szCs w:val="20"/>
                <w:color w:val="auto"/>
              </w:rPr>
            </w:pPr>
            <w:r>
              <w:rPr>
                <w:rFonts w:ascii="Arial" w:cs="Arial" w:eastAsia="Arial" w:hAnsi="Arial"/>
                <w:sz w:val="18"/>
                <w:szCs w:val="18"/>
                <w:color w:val="auto"/>
              </w:rPr>
              <w:t>Title of Class</w:t>
            </w:r>
          </w:p>
        </w:tc>
        <w:tc>
          <w:tcPr>
            <w:tcW w:w="2540" w:type="dxa"/>
            <w:vAlign w:val="bottom"/>
          </w:tcPr>
          <w:p>
            <w:pPr>
              <w:spacing w:after="0"/>
              <w:rPr>
                <w:sz w:val="16"/>
                <w:szCs w:val="16"/>
                <w:color w:val="auto"/>
              </w:rPr>
            </w:pPr>
          </w:p>
        </w:tc>
        <w:tc>
          <w:tcPr>
            <w:tcW w:w="3840" w:type="dxa"/>
            <w:vAlign w:val="bottom"/>
            <w:gridSpan w:val="3"/>
          </w:tcPr>
          <w:p>
            <w:pPr>
              <w:jc w:val="center"/>
              <w:ind w:right="2440"/>
              <w:spacing w:after="0" w:line="190" w:lineRule="exact"/>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00" w:type="dxa"/>
            <w:vAlign w:val="bottom"/>
          </w:tcPr>
          <w:p>
            <w:pPr>
              <w:spacing w:after="0"/>
              <w:rPr>
                <w:sz w:val="19"/>
                <w:szCs w:val="19"/>
                <w:color w:val="auto"/>
              </w:rPr>
            </w:pPr>
          </w:p>
        </w:tc>
        <w:tc>
          <w:tcPr>
            <w:tcW w:w="4720" w:type="dxa"/>
            <w:vAlign w:val="bottom"/>
            <w:gridSpan w:val="4"/>
          </w:tcPr>
          <w:p>
            <w:pPr>
              <w:ind w:left="400"/>
              <w:spacing w:after="0"/>
              <w:rPr>
                <w:sz w:val="20"/>
                <w:szCs w:val="20"/>
                <w:color w:val="auto"/>
              </w:rPr>
            </w:pPr>
            <w:r>
              <w:rPr>
                <w:rFonts w:ascii="Arial" w:cs="Arial" w:eastAsia="Arial" w:hAnsi="Arial"/>
                <w:sz w:val="18"/>
                <w:szCs w:val="18"/>
                <w:color w:val="auto"/>
              </w:rPr>
              <w:t>Class A Common Stock, $.01 Par Value</w:t>
            </w:r>
          </w:p>
        </w:tc>
        <w:tc>
          <w:tcPr>
            <w:tcW w:w="2540" w:type="dxa"/>
            <w:vAlign w:val="bottom"/>
          </w:tcPr>
          <w:p>
            <w:pPr>
              <w:spacing w:after="0"/>
              <w:rPr>
                <w:sz w:val="19"/>
                <w:szCs w:val="19"/>
                <w:color w:val="auto"/>
              </w:rPr>
            </w:pPr>
          </w:p>
        </w:tc>
        <w:tc>
          <w:tcPr>
            <w:tcW w:w="11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43,069,022</w:t>
            </w: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00" w:type="dxa"/>
            <w:vAlign w:val="bottom"/>
          </w:tcPr>
          <w:p>
            <w:pPr>
              <w:spacing w:after="0"/>
              <w:rPr>
                <w:sz w:val="20"/>
                <w:szCs w:val="20"/>
                <w:color w:val="auto"/>
              </w:rPr>
            </w:pPr>
          </w:p>
        </w:tc>
        <w:tc>
          <w:tcPr>
            <w:tcW w:w="4720" w:type="dxa"/>
            <w:vAlign w:val="bottom"/>
            <w:gridSpan w:val="4"/>
          </w:tcPr>
          <w:p>
            <w:pPr>
              <w:ind w:left="400"/>
              <w:spacing w:after="0"/>
              <w:rPr>
                <w:sz w:val="20"/>
                <w:szCs w:val="20"/>
                <w:color w:val="auto"/>
              </w:rPr>
            </w:pPr>
            <w:r>
              <w:rPr>
                <w:rFonts w:ascii="Arial" w:cs="Arial" w:eastAsia="Arial" w:hAnsi="Arial"/>
                <w:sz w:val="18"/>
                <w:szCs w:val="18"/>
                <w:color w:val="auto"/>
              </w:rPr>
              <w:t>Class B Common Stock, $.01 Par Value</w:t>
            </w:r>
          </w:p>
        </w:tc>
        <w:tc>
          <w:tcPr>
            <w:tcW w:w="2540" w:type="dxa"/>
            <w:vAlign w:val="bottom"/>
          </w:tcPr>
          <w:p>
            <w:pPr>
              <w:spacing w:after="0"/>
              <w:rPr>
                <w:sz w:val="20"/>
                <w:szCs w:val="20"/>
                <w:color w:val="auto"/>
              </w:rPr>
            </w:pPr>
          </w:p>
        </w:tc>
        <w:tc>
          <w:tcPr>
            <w:tcW w:w="11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12,443,504</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4720" w:type="dxa"/>
            <w:vAlign w:val="bottom"/>
            <w:gridSpan w:val="4"/>
          </w:tcPr>
          <w:p>
            <w:pPr>
              <w:ind w:left="40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3"/>
        </w:trPr>
        <w:tc>
          <w:tcPr>
            <w:tcW w:w="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100" w:type="dxa"/>
            <w:vAlign w:val="bottom"/>
            <w:tcBorders>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2"/>
          </w:tcPr>
          <w:p>
            <w:pPr>
              <w:jc w:val="center"/>
              <w:ind w:right="1280"/>
              <w:spacing w:after="0" w:line="189" w:lineRule="exact"/>
              <w:rPr>
                <w:sz w:val="20"/>
                <w:szCs w:val="20"/>
                <w:color w:val="auto"/>
              </w:rPr>
            </w:pPr>
            <w:r>
              <w:rPr>
                <w:rFonts w:ascii="Arial" w:cs="Arial" w:eastAsia="Arial" w:hAnsi="Arial"/>
                <w:sz w:val="18"/>
                <w:szCs w:val="18"/>
                <w:color w:val="auto"/>
                <w:w w:val="88"/>
              </w:rPr>
              <w:t>Title of each class</w:t>
            </w:r>
          </w:p>
        </w:tc>
        <w:tc>
          <w:tcPr>
            <w:tcW w:w="720" w:type="dxa"/>
            <w:vAlign w:val="bottom"/>
            <w:tcBorders>
              <w:bottom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jc w:val="center"/>
              <w:ind w:right="730"/>
              <w:spacing w:after="0" w:line="189" w:lineRule="exact"/>
              <w:rPr>
                <w:sz w:val="20"/>
                <w:szCs w:val="20"/>
                <w:color w:val="auto"/>
              </w:rPr>
            </w:pPr>
            <w:r>
              <w:rPr>
                <w:rFonts w:ascii="Arial" w:cs="Arial" w:eastAsia="Arial" w:hAnsi="Arial"/>
                <w:sz w:val="18"/>
                <w:szCs w:val="18"/>
                <w:color w:val="auto"/>
                <w:w w:val="92"/>
              </w:rPr>
              <w:t>Trading Symbol(s)</w:t>
            </w:r>
          </w:p>
        </w:tc>
        <w:tc>
          <w:tcPr>
            <w:tcW w:w="26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gridSpan w:val="2"/>
          </w:tcPr>
          <w:p>
            <w:pPr>
              <w:jc w:val="center"/>
              <w:ind w:right="320"/>
              <w:spacing w:after="0" w:line="189" w:lineRule="exact"/>
              <w:rPr>
                <w:sz w:val="20"/>
                <w:szCs w:val="20"/>
                <w:color w:val="auto"/>
              </w:rPr>
            </w:pPr>
            <w:r>
              <w:rPr>
                <w:rFonts w:ascii="Arial" w:cs="Arial" w:eastAsia="Arial" w:hAnsi="Arial"/>
                <w:sz w:val="18"/>
                <w:szCs w:val="18"/>
                <w:color w:val="auto"/>
                <w:w w:val="89"/>
              </w:rPr>
              <w:t>Name of each exchange on which registered</w:t>
            </w:r>
          </w:p>
        </w:tc>
        <w:tc>
          <w:tcPr>
            <w:tcW w:w="40" w:type="dxa"/>
            <w:vAlign w:val="bottom"/>
          </w:tcPr>
          <w:p>
            <w:pPr>
              <w:spacing w:after="0"/>
              <w:rPr>
                <w:sz w:val="18"/>
                <w:szCs w:val="18"/>
                <w:color w:val="auto"/>
              </w:rPr>
            </w:pPr>
          </w:p>
        </w:tc>
      </w:tr>
      <w:tr>
        <w:trPr>
          <w:trHeight w:val="178"/>
        </w:trPr>
        <w:tc>
          <w:tcPr>
            <w:tcW w:w="100" w:type="dxa"/>
            <w:vAlign w:val="bottom"/>
            <w:tcBorders>
              <w:right w:val="single" w:sz="8" w:color="auto"/>
            </w:tcBorders>
          </w:tcPr>
          <w:p>
            <w:pPr>
              <w:spacing w:after="0"/>
              <w:rPr>
                <w:sz w:val="15"/>
                <w:szCs w:val="15"/>
                <w:color w:val="auto"/>
              </w:rPr>
            </w:pPr>
          </w:p>
        </w:tc>
        <w:tc>
          <w:tcPr>
            <w:tcW w:w="4000" w:type="dxa"/>
            <w:vAlign w:val="bottom"/>
            <w:tcBorders>
              <w:right w:val="single" w:sz="8" w:color="auto"/>
            </w:tcBorders>
            <w:gridSpan w:val="3"/>
          </w:tcPr>
          <w:p>
            <w:pPr>
              <w:jc w:val="center"/>
              <w:ind w:right="80"/>
              <w:spacing w:after="0" w:line="178" w:lineRule="exact"/>
              <w:rPr>
                <w:sz w:val="20"/>
                <w:szCs w:val="20"/>
                <w:color w:val="auto"/>
              </w:rPr>
            </w:pPr>
            <w:r>
              <w:rPr>
                <w:rFonts w:ascii="Arial" w:cs="Arial" w:eastAsia="Arial" w:hAnsi="Arial"/>
                <w:sz w:val="18"/>
                <w:szCs w:val="18"/>
                <w:color w:val="auto"/>
                <w:w w:val="90"/>
              </w:rPr>
              <w:t>Class A Common Stock, $0.01 par value</w:t>
            </w:r>
          </w:p>
        </w:tc>
        <w:tc>
          <w:tcPr>
            <w:tcW w:w="720" w:type="dxa"/>
            <w:vAlign w:val="bottom"/>
          </w:tcPr>
          <w:p>
            <w:pPr>
              <w:spacing w:after="0"/>
              <w:rPr>
                <w:sz w:val="15"/>
                <w:szCs w:val="15"/>
                <w:color w:val="auto"/>
              </w:rPr>
            </w:pPr>
          </w:p>
        </w:tc>
        <w:tc>
          <w:tcPr>
            <w:tcW w:w="2540" w:type="dxa"/>
            <w:vAlign w:val="bottom"/>
            <w:tcBorders>
              <w:right w:val="single" w:sz="8" w:color="auto"/>
            </w:tcBorders>
          </w:tcPr>
          <w:p>
            <w:pPr>
              <w:jc w:val="center"/>
              <w:ind w:right="730"/>
              <w:spacing w:after="0" w:line="178" w:lineRule="exact"/>
              <w:rPr>
                <w:sz w:val="20"/>
                <w:szCs w:val="20"/>
                <w:color w:val="auto"/>
              </w:rPr>
            </w:pPr>
            <w:r>
              <w:rPr>
                <w:rFonts w:ascii="Arial" w:cs="Arial" w:eastAsia="Arial" w:hAnsi="Arial"/>
                <w:sz w:val="18"/>
                <w:szCs w:val="18"/>
                <w:color w:val="auto"/>
                <w:w w:val="95"/>
              </w:rPr>
              <w:t>RUSHA</w:t>
            </w:r>
          </w:p>
        </w:tc>
        <w:tc>
          <w:tcPr>
            <w:tcW w:w="260" w:type="dxa"/>
            <w:vAlign w:val="bottom"/>
          </w:tcPr>
          <w:p>
            <w:pPr>
              <w:spacing w:after="0"/>
              <w:rPr>
                <w:sz w:val="15"/>
                <w:szCs w:val="15"/>
                <w:color w:val="auto"/>
              </w:rPr>
            </w:pPr>
          </w:p>
        </w:tc>
        <w:tc>
          <w:tcPr>
            <w:tcW w:w="3580" w:type="dxa"/>
            <w:vAlign w:val="bottom"/>
            <w:tcBorders>
              <w:right w:val="single" w:sz="8" w:color="auto"/>
            </w:tcBorders>
            <w:gridSpan w:val="2"/>
          </w:tcPr>
          <w:p>
            <w:pPr>
              <w:jc w:val="center"/>
              <w:ind w:right="320"/>
              <w:spacing w:after="0" w:line="178" w:lineRule="exact"/>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5"/>
                <w:szCs w:val="15"/>
                <w:color w:val="auto"/>
              </w:rPr>
            </w:pPr>
          </w:p>
        </w:tc>
      </w:tr>
      <w:tr>
        <w:trPr>
          <w:trHeight w:val="230"/>
        </w:trPr>
        <w:tc>
          <w:tcPr>
            <w:tcW w:w="100" w:type="dxa"/>
            <w:vAlign w:val="bottom"/>
            <w:tcBorders>
              <w:right w:val="single" w:sz="8" w:color="auto"/>
            </w:tcBorders>
          </w:tcPr>
          <w:p>
            <w:pPr>
              <w:spacing w:after="0"/>
              <w:rPr>
                <w:sz w:val="20"/>
                <w:szCs w:val="20"/>
                <w:color w:val="auto"/>
              </w:rPr>
            </w:pPr>
          </w:p>
        </w:tc>
        <w:tc>
          <w:tcPr>
            <w:tcW w:w="400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0"/>
              </w:rPr>
              <w:t>Class B Common Stock, $0.01 par value</w:t>
            </w:r>
          </w:p>
        </w:tc>
        <w:tc>
          <w:tcPr>
            <w:tcW w:w="72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ind w:right="730"/>
              <w:spacing w:after="0"/>
              <w:rPr>
                <w:sz w:val="20"/>
                <w:szCs w:val="20"/>
                <w:color w:val="auto"/>
              </w:rPr>
            </w:pPr>
            <w:r>
              <w:rPr>
                <w:rFonts w:ascii="Arial" w:cs="Arial" w:eastAsia="Arial" w:hAnsi="Arial"/>
                <w:sz w:val="18"/>
                <w:szCs w:val="18"/>
                <w:color w:val="auto"/>
                <w:w w:val="95"/>
              </w:rPr>
              <w:t>RUSHB</w:t>
            </w:r>
          </w:p>
        </w:tc>
        <w:tc>
          <w:tcPr>
            <w:tcW w:w="26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20"/>
                <w:szCs w:val="20"/>
                <w:color w:val="auto"/>
              </w:rPr>
            </w:pPr>
          </w:p>
        </w:tc>
      </w:tr>
      <w:tr>
        <w:trPr>
          <w:trHeight w:val="568"/>
        </w:trPr>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24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0"/>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12"/>
        </w:trPr>
        <w:tc>
          <w:tcPr>
            <w:tcW w:w="1380" w:type="dxa"/>
            <w:vAlign w:val="bottom"/>
            <w:tcBorders>
              <w:top w:val="single" w:sz="8" w:color="0000EE"/>
            </w:tcBorders>
            <w:gridSpan w:val="2"/>
          </w:tcPr>
          <w:p>
            <w:pPr>
              <w:ind w:left="580"/>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240" w:type="dxa"/>
            <w:vAlign w:val="bottom"/>
            <w:tcBorders>
              <w:top w:val="single" w:sz="8" w:color="0000EE"/>
            </w:tcBorders>
            <w:gridSpan w:val="2"/>
          </w:tcPr>
          <w:p>
            <w:pPr>
              <w:spacing w:after="0"/>
              <w:rPr>
                <w:sz w:val="24"/>
                <w:szCs w:val="24"/>
                <w:color w:val="auto"/>
              </w:rPr>
            </w:pPr>
          </w:p>
        </w:tc>
        <w:tc>
          <w:tcPr>
            <w:tcW w:w="730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September 30, 2021 (unaudited) and December 31, 2020</w:t>
              </w:r>
            </w:hyperlink>
          </w:p>
        </w:tc>
        <w:tc>
          <w:tcPr>
            <w:tcW w:w="2720" w:type="dxa"/>
            <w:vAlign w:val="bottom"/>
            <w:gridSpan w:val="4"/>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and Comprehensive Income - For the Three and Nine Months Ended September 30, 2021</w:t>
              </w:r>
            </w:hyperlink>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and 2020 (unaudited)</w:t>
              </w:r>
            </w:hyperlink>
          </w:p>
        </w:tc>
        <w:tc>
          <w:tcPr>
            <w:tcW w:w="746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Shareholders’ Equity – For the Three and Nine Months Ended September 30, 2021 and 2020</w:t>
              </w:r>
            </w:hyperlink>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 For the Nine Months Ended September 30, 2021 and 2020 (unaudited)</w:t>
              </w:r>
            </w:hyperlink>
          </w:p>
        </w:tc>
        <w:tc>
          <w:tcPr>
            <w:tcW w:w="900" w:type="dxa"/>
            <w:vAlign w:val="bottom"/>
            <w:gridSpan w:val="2"/>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(unaudited)</w:t>
              </w:r>
            </w:hyperlink>
          </w:p>
        </w:tc>
        <w:tc>
          <w:tcPr>
            <w:tcW w:w="5020" w:type="dxa"/>
            <w:vAlign w:val="bottom"/>
            <w:gridSpan w:val="7"/>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2.</w:t>
            </w:r>
          </w:p>
        </w:tc>
        <w:tc>
          <w:tcPr>
            <w:tcW w:w="904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600" w:type="dxa"/>
            <w:vAlign w:val="bottom"/>
            <w:gridSpan w:val="3"/>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4.</w:t>
            </w:r>
          </w:p>
        </w:tc>
        <w:tc>
          <w:tcPr>
            <w:tcW w:w="90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844"/>
        </w:trPr>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756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90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720" w:type="dxa"/>
            <w:vAlign w:val="bottom"/>
            <w:gridSpan w:val="14"/>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4700" w:type="dxa"/>
            <w:vAlign w:val="bottom"/>
            <w:gridSpan w:val="6"/>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6720" w:type="dxa"/>
            <w:vAlign w:val="bottom"/>
            <w:gridSpan w:val="8"/>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4.</w:t>
            </w:r>
          </w:p>
        </w:tc>
        <w:tc>
          <w:tcPr>
            <w:tcW w:w="904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280" w:type="dxa"/>
            <w:vAlign w:val="bottom"/>
            <w:gridSpan w:val="9"/>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740" w:type="dxa"/>
            <w:vAlign w:val="bottom"/>
            <w:gridSpan w:val="15"/>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1380" w:type="dxa"/>
            <w:vAlign w:val="bottom"/>
            <w:gridSpan w:val="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53"/>
        </w:trPr>
        <w:tc>
          <w:tcPr>
            <w:tcW w:w="11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3"/>
          </w:tcPr>
          <w:p>
            <w:pPr>
              <w:ind w:left="4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312,048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149,281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172,481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858,291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1,357,726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1,166,191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1,203,719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292,142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292,142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2,777,329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2,985,393</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Floor plan notes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354,346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511,786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26,787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26,373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128,137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110,728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151,830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772,725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1,026,794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309,014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387,982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54,732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51,155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103,410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126,439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2021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authorized; 43,018,498 Class A shares and 12,474,589 Class B shares outstanding in 2021;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42,503,925 Class A shares and 12,470,308 Class B shares outstanding in 2020</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462,406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437,646</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Treasury stock, at cost: 183,765 Class A shares and 416,069 Class B shares in 2021; and 10,335 Class A</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and 73,437 Class B shares in 2020</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973,665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831,850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1,412,783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1,268,037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2,777,329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2,985,393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New and used commercial vehicle sales</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729,344</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711,754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2,274,332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2,060,370</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463,020</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400,260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1,324,283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1,205,791</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Lease and rental sales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57,913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182,312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175,984</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15,060</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12,692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10,538</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1,266,521</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1,178,568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3,814,342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3,467,743</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656,411</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2,053,271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1,908,225</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280,866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258,379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819,786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766,990</w:t>
            </w: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and rental sales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46,949</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153,244</w:t>
            </w:r>
          </w:p>
        </w:tc>
      </w:tr>
      <w:tr>
        <w:trPr>
          <w:trHeight w:val="20"/>
        </w:trPr>
        <w:tc>
          <w:tcPr>
            <w:tcW w:w="4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60" w:type="dxa"/>
            <w:vAlign w:val="bottom"/>
          </w:tcPr>
          <w:p>
            <w:pPr>
              <w:ind w:left="180"/>
              <w:spacing w:after="0"/>
              <w:rPr>
                <w:sz w:val="20"/>
                <w:szCs w:val="20"/>
                <w:color w:val="auto"/>
              </w:rPr>
            </w:pPr>
            <w:r>
              <w:rPr>
                <w:rFonts w:ascii="Arial" w:cs="Arial" w:eastAsia="Arial" w:hAnsi="Arial"/>
                <w:sz w:val="18"/>
                <w:szCs w:val="18"/>
                <w:color w:val="auto"/>
              </w:rPr>
              <w:t>Total cost of products sold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984,226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966,116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3,016,451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2,828,459</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282,295</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212,452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797,891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639,284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179,890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155,487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539,579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496,756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90,169</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101,066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income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5,074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r>
      <w:tr>
        <w:trPr>
          <w:trHeight w:val="20"/>
        </w:trPr>
        <w:tc>
          <w:tcPr>
            <w:tcW w:w="4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Income before taxes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43,928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223,235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98,109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24,247</w:t>
            </w:r>
          </w:p>
        </w:tc>
      </w:tr>
      <w:tr>
        <w:trPr>
          <w:trHeight w:val="20"/>
        </w:trPr>
        <w:tc>
          <w:tcPr>
            <w:tcW w:w="4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69,399</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33,939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172,776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73,862</w:t>
            </w: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Diluted</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56,007</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56,443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57,834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55,929</w:t>
            </w: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68,928</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172,872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73,345</w:t>
            </w:r>
          </w:p>
        </w:tc>
      </w:tr>
      <w:tr>
        <w:trPr>
          <w:trHeight w:val="20"/>
        </w:trPr>
        <w:tc>
          <w:tcPr>
            <w:tcW w:w="59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940" w:type="dxa"/>
            <w:vAlign w:val="bottom"/>
            <w:gridSpan w:val="9"/>
          </w:tcPr>
          <w:p>
            <w:pPr>
              <w:jc w:val="center"/>
              <w:ind w:left="22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360" w:type="dxa"/>
            <w:vAlign w:val="bottom"/>
          </w:tcPr>
          <w:p>
            <w:pPr>
              <w:spacing w:after="0"/>
              <w:rPr>
                <w:sz w:val="24"/>
                <w:szCs w:val="24"/>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8"/>
              </w:rPr>
              <w:t>$0.01</w:t>
            </w:r>
          </w:p>
        </w:tc>
        <w:tc>
          <w:tcPr>
            <w:tcW w:w="100" w:type="dxa"/>
            <w:vAlign w:val="bottom"/>
          </w:tcPr>
          <w:p>
            <w:pPr>
              <w:spacing w:after="0"/>
              <w:rPr>
                <w:sz w:val="18"/>
                <w:szCs w:val="18"/>
                <w:color w:val="auto"/>
              </w:rPr>
            </w:pPr>
          </w:p>
        </w:tc>
        <w:tc>
          <w:tcPr>
            <w:tcW w:w="1100" w:type="dxa"/>
            <w:vAlign w:val="bottom"/>
            <w:gridSpan w:val="4"/>
          </w:tcPr>
          <w:p>
            <w:pPr>
              <w:ind w:left="12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Paid-In</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Treasury</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Retained</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4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6"/>
              </w:rPr>
              <w:t>Class A</w:t>
            </w: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3"/>
              </w:rPr>
              <w:t>Class B</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Stock</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Earnings</w:t>
            </w:r>
          </w:p>
        </w:tc>
        <w:tc>
          <w:tcPr>
            <w:tcW w:w="24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Income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09"/>
        </w:trPr>
        <w:tc>
          <w:tcPr>
            <w:tcW w:w="35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437,646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(2,879)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$ 831,850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$ 1,268,037</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options exercised and stock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5,419</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options, restricted shares and employee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(6,777)</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(6,483)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(6,483)</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(7,684)</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Dividend Class B common stock</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(2,380)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45,333</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45,333</w:t>
            </w:r>
          </w:p>
        </w:tc>
        <w:tc>
          <w:tcPr>
            <w:tcW w:w="100" w:type="dxa"/>
            <w:vAlign w:val="bottom"/>
          </w:tcPr>
          <w:p>
            <w:pPr>
              <w:spacing w:after="0"/>
              <w:rPr>
                <w:sz w:val="18"/>
                <w:szCs w:val="18"/>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42,885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449,790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(9,362)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$ 867,119</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$ 1,309,229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Stock options exercised and stock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3,928</w:t>
            </w: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options, restricted shares and employee stock</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Dividend Class A common stock</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(7,735)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(7,735)</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58,044</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June 30, 2021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43,104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12,561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560</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456,785</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(13,585)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$ 915,003</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$ 1,360,199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 and stock awards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Stock-based compensation related to stock</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w w:val="91"/>
              </w:rPr>
              <w:t>options, restricted shares and employee stock</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purchase plan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(11,229)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(11,229)</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Dividend Class A common stock</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(8,199)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(8,199)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69,399</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September 30, 2021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43,018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12,475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561</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462,406</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(24,814)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$ 973,665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6"/>
              </w:rPr>
              <w:t>$ 1,412,783</w:t>
            </w:r>
          </w:p>
        </w:tc>
      </w:tr>
      <w:tr>
        <w:trPr>
          <w:trHeight w:val="20"/>
        </w:trPr>
        <w:tc>
          <w:tcPr>
            <w:tcW w:w="3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right="10"/>
              <w:spacing w:after="0"/>
              <w:rPr>
                <w:sz w:val="20"/>
                <w:szCs w:val="20"/>
                <w:color w:val="auto"/>
              </w:rPr>
            </w:pPr>
            <w:r>
              <w:rPr>
                <w:rFonts w:ascii="Arial" w:cs="Arial" w:eastAsia="Arial" w:hAnsi="Arial"/>
                <w:sz w:val="18"/>
                <w:szCs w:val="18"/>
                <w:color w:val="auto"/>
                <w:w w:val="93"/>
              </w:rPr>
              <w:t>$0.01</w:t>
            </w:r>
          </w:p>
        </w:tc>
        <w:tc>
          <w:tcPr>
            <w:tcW w:w="100" w:type="dxa"/>
            <w:vAlign w:val="bottom"/>
          </w:tcPr>
          <w:p>
            <w:pPr>
              <w:spacing w:after="0"/>
              <w:rPr>
                <w:sz w:val="18"/>
                <w:szCs w:val="18"/>
                <w:color w:val="auto"/>
              </w:rPr>
            </w:pPr>
          </w:p>
        </w:tc>
        <w:tc>
          <w:tcPr>
            <w:tcW w:w="1100" w:type="dxa"/>
            <w:vAlign w:val="bottom"/>
            <w:gridSpan w:val="4"/>
          </w:tcPr>
          <w:p>
            <w:pPr>
              <w:ind w:left="12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Paid-In</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Retained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400" w:type="dxa"/>
            <w:vAlign w:val="bottom"/>
          </w:tcPr>
          <w:p>
            <w:pPr>
              <w:spacing w:after="0"/>
              <w:rPr>
                <w:sz w:val="18"/>
                <w:szCs w:val="18"/>
                <w:color w:val="auto"/>
              </w:rPr>
            </w:pPr>
          </w:p>
        </w:tc>
        <w:tc>
          <w:tcPr>
            <w:tcW w:w="8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3"/>
              </w:rPr>
              <w:t>Class A</w:t>
            </w: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Class 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Earnings</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(Loss)Income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10"/>
        </w:trPr>
        <w:tc>
          <w:tcPr>
            <w:tcW w:w="3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41,930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12,361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397,267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(304,129)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1,065,553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$ 1,159,493</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Stock options exercised and stock awards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8"/>
                <w:szCs w:val="18"/>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compensation related to stock</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shares and employee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(2,414)</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under employee</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(833)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(19,902)</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(19,902)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Dividend Class B common stock</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(1,108)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23,107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23,107</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8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41,299</w:t>
            </w:r>
          </w:p>
        </w:tc>
        <w:tc>
          <w:tcPr>
            <w:tcW w:w="7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12,616</w:t>
            </w:r>
          </w:p>
        </w:tc>
        <w:tc>
          <w:tcPr>
            <w:tcW w:w="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w:t>
            </w:r>
          </w:p>
        </w:tc>
        <w:tc>
          <w:tcPr>
            <w:tcW w:w="2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406,725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(324,031)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1,083,906</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$ 1,165,476</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Stock options exercised and stock awards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18"/>
                <w:szCs w:val="18"/>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compensation related to stock</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shares and employee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A common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Dividend Class B common stock</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16,816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16,816</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2020</w:t>
            </w:r>
          </w:p>
        </w:tc>
        <w:tc>
          <w:tcPr>
            <w:tcW w:w="8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41,593</w:t>
            </w:r>
          </w:p>
        </w:tc>
        <w:tc>
          <w:tcPr>
            <w:tcW w:w="7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12,616</w:t>
            </w:r>
          </w:p>
        </w:tc>
        <w:tc>
          <w:tcPr>
            <w:tcW w:w="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471</w:t>
            </w:r>
          </w:p>
        </w:tc>
        <w:tc>
          <w:tcPr>
            <w:tcW w:w="22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414,812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(324,031)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1,095,976</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$ 1,186,560</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Stock options exercised and stock awards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18"/>
                <w:szCs w:val="18"/>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compensation related to stock</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shares and employee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under employee</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(2,749)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treasury stock</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326,057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(326,129)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Dividend Class A common stock</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(3,922)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(3,922)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33,939</w:t>
            </w:r>
          </w:p>
        </w:tc>
      </w:tr>
      <w:tr>
        <w:trPr>
          <w:trHeight w:val="210"/>
        </w:trPr>
        <w:tc>
          <w:tcPr>
            <w:tcW w:w="34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September 30, 2020</w:t>
            </w:r>
          </w:p>
        </w:tc>
        <w:tc>
          <w:tcPr>
            <w:tcW w:w="84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42,208</w:t>
            </w:r>
          </w:p>
        </w:tc>
        <w:tc>
          <w:tcPr>
            <w:tcW w:w="7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12,519</w:t>
            </w:r>
          </w:p>
        </w:tc>
        <w:tc>
          <w:tcPr>
            <w:tcW w:w="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547</w:t>
            </w:r>
          </w:p>
        </w:tc>
        <w:tc>
          <w:tcPr>
            <w:tcW w:w="2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8"/>
              </w:rPr>
              <w:t>428,823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(723)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798,606</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(180)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$ 1,227,073</w:t>
            </w:r>
          </w:p>
        </w:tc>
        <w:tc>
          <w:tcPr>
            <w:tcW w:w="100" w:type="dxa"/>
            <w:vAlign w:val="bottom"/>
            <w:tcBorders>
              <w:top w:val="single" w:sz="8" w:color="CCEEFF"/>
            </w:tcBorders>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172,776</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73,862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126,691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134,001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18,347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15,463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(11,597)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23,200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28,027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439,226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7,413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Payments on floor plan notes payable – 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(62,329)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(3,781)</w:t>
            </w:r>
          </w:p>
        </w:tc>
      </w:tr>
      <w:tr>
        <w:trPr>
          <w:trHeight w:val="210"/>
        </w:trPr>
        <w:tc>
          <w:tcPr>
            <w:tcW w:w="800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438,645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590,469</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(122,318)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(107,839)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 in other assets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3,278</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(98,898)</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floor plan notes payable – non-trade,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(157,440)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(320,307)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66,430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139,870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(202,690)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(10,620)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(9,539)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Proceeds from issuance of shares relating to employee stock options and employee stock purchases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(30,499)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(14,680)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(22,405)</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(369,648)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(413,648)</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77,923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181,620</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259,693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259,543</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19,805</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31,153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92,795</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21,442</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34,839</w:t>
            </w: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2020. Results of operations for interim periods are not necessarily indicative of results that may be expected for any other interim periods or the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While the COVID-19 pandemic is not over, business conditions have improved significantly since the second quarter of 2020. The Company is unable to predict the impact that the COVID-19 pandemic will have on its future business and operating results due to numerous uncertainties, including the duration and severity of the outbreak.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2020-04, </w:t>
      </w:r>
      <w:r>
        <w:rPr>
          <w:rFonts w:ascii="Arial" w:cs="Arial" w:eastAsia="Arial" w:hAnsi="Arial"/>
          <w:sz w:val="17"/>
          <w:szCs w:val="17"/>
          <w:i w:val="1"/>
          <w:iCs w:val="1"/>
          <w:color w:val="auto"/>
        </w:rPr>
        <w:t>Reference Rate Reform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848): Facilitation of the Effects of Reference Rate Reform on Financial Reporting </w:t>
      </w:r>
      <w:r>
        <w:rPr>
          <w:rFonts w:ascii="Arial" w:cs="Arial" w:eastAsia="Arial" w:hAnsi="Arial"/>
          <w:sz w:val="17"/>
          <w:szCs w:val="17"/>
          <w:color w:val="auto"/>
        </w:rPr>
        <w:t>("ASU 2020-04"). In January 2021, the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Update No.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clarified the scope and application of the original guidance. The guidance in these standards applies to contract accounting, hedging relationships, and other transactions affected by reference rate reform if certain criteria are met and provides optional expedients and exceptions for a limited time to ease the potential burden in accounting for reference rate reform. The amendments apply only to contracts and hedging relationships that reference LIBOR or another reference rate expected to be discontinued due to reference rate reform. ASU 2020-04 is effective upon issuance and generally can be applied to applicable contract modifications through December 31, 2022. LIBOR benchmarking is utilized in the Company’s working capital and floorplan facilities. The Company is in the process of completing its evaluation of the impact, if any, that the adoption of this standard will have on its Consolidated Financial Statements.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w:t>
      </w:r>
      <w:r>
        <w:rPr>
          <w:rFonts w:ascii="Arial" w:cs="Arial" w:eastAsia="Arial" w:hAnsi="Arial"/>
          <w:sz w:val="18"/>
          <w:szCs w:val="18"/>
          <w:b w:val="1"/>
          <w:bCs w:val="1"/>
          <w:color w:val="auto"/>
        </w:rPr>
        <w:t>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as of September 30, 2021 and December 31, 2020,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September 30, 2021, and is reported in Other Assets on the Consolidated Balance Sheet.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$5.2 million as of September 30, 2021 and December 31, 2020, and is included in the investment in RTC Canada. As of September 30, 2021, the Company’s investment in RTC Canada is $35.1 million. The Company’s equity income in RTC Canada is included in Other income on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total capitalized costs of the Company’s SAP enterprise resource planning software platform (“the ERP Platform”) of $5.8 million are recorded on the Consolidated Balance Sheet in Other Assets. Amortization expense relating to the ERP Platform, which is recognized in depreciation and amortization expense in the Consolidated Statements of Income and Comprehensive Income, was $0.3 million for the three months ended September 30, 2021 and $0.5 million for the three months ended September 30, 2020, and $1.2 million for the nine months ended September 30, 2021 and $1.4 million for the nine months ended September 30, 2020. The Company estimates that amortization expense relating to the ERP Platform will be approximately $1.5 million in 2021 and $1.2 million per year for the next four years.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60" w:type="dxa"/>
            <w:vAlign w:val="bottom"/>
            <w:gridSpan w:val="11"/>
          </w:tcPr>
          <w:p>
            <w:pPr>
              <w:ind w:left="660"/>
              <w:spacing w:after="0"/>
              <w:rPr>
                <w:sz w:val="20"/>
                <w:szCs w:val="20"/>
                <w:color w:val="auto"/>
              </w:rPr>
            </w:pPr>
            <w:r>
              <w:rPr>
                <w:rFonts w:ascii="Arial" w:cs="Arial" w:eastAsia="Arial" w:hAnsi="Arial"/>
                <w:sz w:val="18"/>
                <w:szCs w:val="18"/>
                <w:color w:val="auto"/>
                <w:w w:val="92"/>
              </w:rPr>
              <w:t>The following table sets forth the computation of basic and diluted earnings per share (in thousands, except per share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4"/>
              </w:rPr>
              <w:t>Numerator for basic and diluted earnings per share – Net income available to</w:t>
            </w: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69,399</w:t>
            </w:r>
          </w:p>
        </w:tc>
        <w:tc>
          <w:tcPr>
            <w:tcW w:w="260" w:type="dxa"/>
            <w:vAlign w:val="bottom"/>
          </w:tcPr>
          <w:p>
            <w:pPr>
              <w:spacing w:after="0"/>
              <w:rPr>
                <w:sz w:val="17"/>
                <w:szCs w:val="17"/>
                <w:color w:val="auto"/>
              </w:rPr>
            </w:pP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33,939</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172,776</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73,862</w:t>
            </w:r>
          </w:p>
        </w:tc>
        <w:tc>
          <w:tcPr>
            <w:tcW w:w="0" w:type="dxa"/>
            <w:vAlign w:val="bottom"/>
          </w:tcPr>
          <w:p>
            <w:pPr>
              <w:spacing w:after="0"/>
              <w:rPr>
                <w:sz w:val="1"/>
                <w:szCs w:val="1"/>
                <w:color w:val="auto"/>
              </w:rPr>
            </w:pPr>
          </w:p>
        </w:tc>
      </w:tr>
      <w:tr>
        <w:trPr>
          <w:trHeight w:val="217"/>
        </w:trPr>
        <w:tc>
          <w:tcPr>
            <w:tcW w:w="59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56,007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55,033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55,882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54,734</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dilutive securities– Employee and director stock options and</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 awards</w:t>
            </w: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80" w:type="dxa"/>
            <w:vAlign w:val="bottom"/>
          </w:tcPr>
          <w:p>
            <w:pPr>
              <w:ind w:left="180"/>
              <w:spacing w:after="0" w:line="195" w:lineRule="exact"/>
              <w:rPr>
                <w:sz w:val="20"/>
                <w:szCs w:val="20"/>
                <w:color w:val="auto"/>
              </w:rPr>
            </w:pPr>
            <w:r>
              <w:rPr>
                <w:rFonts w:ascii="Arial" w:cs="Arial" w:eastAsia="Arial" w:hAnsi="Arial"/>
                <w:sz w:val="18"/>
                <w:szCs w:val="18"/>
                <w:color w:val="auto"/>
              </w:rPr>
              <w:t>Denominator for diluted earnings per share – adjusted weighted average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57,806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56,443</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57,834</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190"/>
        </w:trPr>
        <w:tc>
          <w:tcPr>
            <w:tcW w:w="5980" w:type="dxa"/>
            <w:vAlign w:val="bottom"/>
          </w:tcPr>
          <w:p>
            <w:pPr>
              <w:ind w:left="34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3.09</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2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0.60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2.99</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nine months ended September 30, 2021 and 2020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4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gridSpan w:val="3"/>
          </w:tcPr>
          <w:p>
            <w:pPr>
              <w:jc w:val="center"/>
              <w:ind w:right="310"/>
              <w:spacing w:after="0"/>
              <w:rPr>
                <w:sz w:val="20"/>
                <w:szCs w:val="20"/>
                <w:color w:val="auto"/>
              </w:rPr>
            </w:pPr>
            <w:r>
              <w:rPr>
                <w:rFonts w:ascii="Arial" w:cs="Arial" w:eastAsia="Arial" w:hAnsi="Arial"/>
                <w:sz w:val="18"/>
                <w:szCs w:val="18"/>
                <w:color w:val="auto"/>
                <w:w w:val="88"/>
              </w:rPr>
              <w:t>September 30,</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30,</w:t>
            </w:r>
          </w:p>
        </w:tc>
      </w:tr>
      <w:tr>
        <w:trPr>
          <w:trHeight w:val="210"/>
        </w:trPr>
        <w:tc>
          <w:tcPr>
            <w:tcW w:w="45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09"/>
        </w:trPr>
        <w:tc>
          <w:tcPr>
            <w:tcW w:w="5360" w:type="dxa"/>
            <w:vAlign w:val="bottom"/>
            <w:gridSpan w:val="2"/>
            <w:shd w:val="clear" w:color="auto" w:fill="CCEEFF"/>
          </w:tcPr>
          <w:p>
            <w:pPr>
              <w:jc w:val="right"/>
              <w:ind w:right="2490"/>
              <w:spacing w:after="0"/>
              <w:rPr>
                <w:sz w:val="20"/>
                <w:szCs w:val="20"/>
                <w:color w:val="auto"/>
              </w:rPr>
            </w:pPr>
            <w:r>
              <w:rPr>
                <w:rFonts w:ascii="Arial" w:cs="Arial" w:eastAsia="Arial" w:hAnsi="Arial"/>
                <w:sz w:val="18"/>
                <w:szCs w:val="18"/>
                <w:color w:val="auto"/>
                <w:w w:val="90"/>
              </w:rPr>
              <w:t>Weighted average anti-dilutive options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1,100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w:t>
      </w:r>
      <w:r>
        <w:rPr>
          <w:rFonts w:ascii="Arial" w:cs="Arial" w:eastAsia="Arial" w:hAnsi="Arial"/>
          <w:sz w:val="18"/>
          <w:szCs w:val="18"/>
          <w:b w:val="1"/>
          <w:bCs w:val="1"/>
          <w:color w:val="auto"/>
        </w:rPr>
        <w:t xml:space="preserve">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which requires the measurement and recognition of compensation expense for all share-based payment awards made to the Company’s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$3.1 million for the three months ended September 30, 2021, and $3.3 million for the three months ended September 30, 2020. Stock-based compensation expense was $18.3 million for the nine months ended September 30, 2021, and $15.5 million for the nine months ended September 30, 2020.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2021, the Company had $10.3 million of unrecognized compensation expense related to non-vested employee stock options to be recognized over a weighted-average period of 2.3 years and $11.0 million of unrecognized compensation cost related to non-vested restricted stock awards to be recognized over a weighted-average period of 1.4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September 30, 2021, and December 31, 2020. The carrying value of current assets and current liabilities approximates the fair value due to the short maturity of these items.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of the Company’s long-term debt is based on secondary market indicators. Because the Company’s debt is not quoted, estimates are based on each obligation’s characteristics, including remaining maturities,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September 30, 2021 and 2020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Truck</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Segment</w:t>
            </w: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Total</w:t>
            </w:r>
          </w:p>
        </w:tc>
      </w:tr>
      <w:tr>
        <w:trPr>
          <w:trHeight w:val="209"/>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As of and for the three months ended September 30, 2021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1,261,885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1,266,521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89,841</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90,169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91,595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91,849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2,722,614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54,715</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2,777,329</w:t>
            </w: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2021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3,801,675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12,667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3,814,342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217,953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219,185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222,218</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223,235</w:t>
            </w: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i w:val="1"/>
                <w:iCs w:val="1"/>
                <w:color w:val="auto"/>
                <w:w w:val="98"/>
              </w:rPr>
              <w:t>As of and for the three months ended September 30, 2020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1,174,662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3,906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1,178,568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42,714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43,844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43,928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2,965,188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45,501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3,010,689</w:t>
            </w: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3,456,780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3,467,743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100,842</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101,066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98,097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98,109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$4.5 million as a component of accrued liabilities as of September 30, 2021 and December 31, 2020,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$150,000 accrued for the payment of interest as of September 30, 2021 and December 31, 2020. No amounts were accrued for penalties.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2021, the tax years ended December 31, 2017 through 2020 remained subject to audit by federal tax authorities, and the tax years ended December 31, 2016 through 2020, remained subject to audit by state tax authorities.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and nine months ended September 30, 2021 and 2020 (in thousands):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4"/>
          </w:tcPr>
          <w:p>
            <w:pPr>
              <w:ind w:left="4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4"/>
          </w:tcPr>
          <w:p>
            <w:pPr>
              <w:ind w:left="320"/>
              <w:spacing w:after="0"/>
              <w:rPr>
                <w:sz w:val="20"/>
                <w:szCs w:val="20"/>
                <w:color w:val="auto"/>
              </w:rPr>
            </w:pPr>
            <w:r>
              <w:rPr>
                <w:rFonts w:ascii="Arial" w:cs="Arial" w:eastAsia="Arial" w:hAnsi="Arial"/>
                <w:sz w:val="18"/>
                <w:szCs w:val="18"/>
                <w:color w:val="auto"/>
              </w:rPr>
              <w:t>Nine Months Ended</w:t>
            </w:r>
          </w:p>
        </w:tc>
      </w:tr>
      <w:tr>
        <w:trPr>
          <w:trHeight w:val="195"/>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86"/>
              </w:rPr>
              <w:t>September 30,</w:t>
            </w:r>
          </w:p>
        </w:tc>
        <w:tc>
          <w:tcPr>
            <w:tcW w:w="13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90"/>
              <w:spacing w:after="0" w:line="195" w:lineRule="exact"/>
              <w:rPr>
                <w:sz w:val="20"/>
                <w:szCs w:val="20"/>
                <w:color w:val="auto"/>
              </w:rPr>
            </w:pPr>
            <w:r>
              <w:rPr>
                <w:rFonts w:ascii="Arial" w:cs="Arial" w:eastAsia="Arial" w:hAnsi="Arial"/>
                <w:sz w:val="18"/>
                <w:szCs w:val="18"/>
                <w:color w:val="auto"/>
                <w:w w:val="93"/>
              </w:rPr>
              <w:t>September 30,</w:t>
            </w:r>
          </w:p>
        </w:tc>
        <w:tc>
          <w:tcPr>
            <w:tcW w:w="13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6"/>
                <w:szCs w:val="16"/>
                <w:color w:val="auto"/>
              </w:rPr>
            </w:pPr>
          </w:p>
        </w:tc>
      </w:tr>
      <w:tr>
        <w:trPr>
          <w:trHeight w:val="230"/>
        </w:trPr>
        <w:tc>
          <w:tcPr>
            <w:tcW w:w="4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vehicle sales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729,344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711,754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2,274,332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2,060,370</w:t>
            </w:r>
          </w:p>
        </w:tc>
      </w:tr>
      <w:tr>
        <w:trPr>
          <w:trHeight w:val="216"/>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Parts revenue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274,551</w:t>
            </w:r>
          </w:p>
        </w:tc>
        <w:tc>
          <w:tcPr>
            <w:tcW w:w="3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235,282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778,479</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683,684</w:t>
            </w:r>
          </w:p>
        </w:tc>
      </w:tr>
      <w:tr>
        <w:trPr>
          <w:trHeight w:val="216"/>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vehicle repair service revenue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188,469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545,804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522,107</w:t>
            </w:r>
          </w:p>
        </w:tc>
      </w:tr>
      <w:tr>
        <w:trPr>
          <w:trHeight w:val="216"/>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Finance revenue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3,757</w:t>
            </w:r>
          </w:p>
        </w:tc>
        <w:tc>
          <w:tcPr>
            <w:tcW w:w="3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12,210</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7,986</w:t>
            </w:r>
          </w:p>
        </w:tc>
      </w:tr>
      <w:tr>
        <w:trPr>
          <w:trHeight w:val="216"/>
        </w:trPr>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revenue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w:t>
            </w: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12,692</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tcPr>
          <w:p>
            <w:pPr>
              <w:spacing w:after="0"/>
              <w:rPr>
                <w:sz w:val="19"/>
                <w:szCs w:val="19"/>
                <w:color w:val="auto"/>
              </w:rPr>
            </w:pPr>
          </w:p>
        </w:tc>
      </w:tr>
      <w:tr>
        <w:trPr>
          <w:trHeight w:val="290"/>
        </w:trPr>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1,203,832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1,120,655</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3,632,030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3,291,759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did not have any material contract assets or contract liabilities on the balance sheet as of September 30, 2021. Revenues related to commercial vehicle sales, parts sales, commercial vehicle repair service, finance and the majority of the Company’s other revenues are related to the Truck Segment.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leases commercial vehicles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6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Company’s policy is to depreciate its lease fleet using a straight-line method over each customer’s contractual lease term. The lease unit is depreciated to a residual value that is the estimated fair value of the lease unit at the expiration of the lease term. This policy results in the Company realizing reasonable gross margins while the unit is in service and a corresponding gain or loss on sale when the unit is sold at the end of the lease term.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was $5.4 million as of September 30, 2021, and $5.6 million as of December 31, 2020, and is reflected in Other Assets on the Consolidated Balance Sheet.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 w:name="page13"/>
    <w:bookmarkEnd w:id="12"/>
    <w:p>
      <w:pPr>
        <w:jc w:val="both"/>
        <w:ind w:right="20" w:firstLine="648"/>
        <w:spacing w:after="0" w:line="277" w:lineRule="auto"/>
        <w:rPr>
          <w:sz w:val="20"/>
          <w:szCs w:val="20"/>
          <w:color w:val="auto"/>
        </w:rPr>
      </w:pPr>
      <w:r>
        <w:rPr>
          <w:rFonts w:ascii="Arial" w:cs="Arial" w:eastAsia="Arial" w:hAnsi="Arial"/>
          <w:sz w:val="18"/>
          <w:szCs w:val="18"/>
          <w:color w:val="auto"/>
        </w:rPr>
        <w:t>Lease and rental income during the three and nine months ended September 30, 2021, and September 30, 2020, consisted of the following (in thousands):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8"/>
                <w:szCs w:val="18"/>
                <w:color w:val="auto"/>
              </w:rPr>
              <w:t>Nine Months Ended</w:t>
            </w:r>
          </w:p>
        </w:tc>
      </w:tr>
      <w:tr>
        <w:trPr>
          <w:trHeight w:val="195"/>
        </w:trPr>
        <w:tc>
          <w:tcPr>
            <w:tcW w:w="4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September 30,</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4"/>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September 30,</w:t>
            </w:r>
          </w:p>
        </w:tc>
        <w:tc>
          <w:tcPr>
            <w:tcW w:w="12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3"/>
              </w:rPr>
              <w:t>September 30,</w:t>
            </w:r>
          </w:p>
        </w:tc>
        <w:tc>
          <w:tcPr>
            <w:tcW w:w="100" w:type="dxa"/>
            <w:vAlign w:val="bottom"/>
          </w:tcPr>
          <w:p>
            <w:pPr>
              <w:spacing w:after="0"/>
              <w:rPr>
                <w:sz w:val="16"/>
                <w:szCs w:val="16"/>
                <w:color w:val="auto"/>
              </w:rPr>
            </w:pPr>
          </w:p>
        </w:tc>
      </w:tr>
      <w:tr>
        <w:trPr>
          <w:trHeight w:val="230"/>
        </w:trPr>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54,267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153,453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Nonlease payments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24,393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22,531</w:t>
            </w: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57,913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182,312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175,984</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 xml:space="preserve">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income (loss) (in thousands):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r>
      <w:tr>
        <w:trPr>
          <w:trHeight w:val="20"/>
        </w:trPr>
        <w:tc>
          <w:tcPr>
            <w:tcW w:w="7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r>
      <w:tr>
        <w:trPr>
          <w:trHeight w:val="20"/>
        </w:trPr>
        <w:tc>
          <w:tcPr>
            <w:tcW w:w="7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r>
      <w:tr>
        <w:trPr>
          <w:trHeight w:val="20"/>
        </w:trPr>
        <w:tc>
          <w:tcPr>
            <w:tcW w:w="7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equity method investment in RTC Canada was valued using the exchange rate of one US Dollar equals 1.2648 Canadian dollars as of September 30, 2021. The adjustment is reflected in Other Assets on the Consolidated Balance Sheet.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and Allowance for Credit Losses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establishes an allowance for credit losses to present the net amount of accounts receivable expected to be collected. Under Topic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326</w:t>
      </w:r>
      <w:r>
        <w:rPr>
          <w:rFonts w:ascii="Arial" w:cs="Arial" w:eastAsia="Arial" w:hAnsi="Arial"/>
          <w:sz w:val="16"/>
          <w:szCs w:val="16"/>
          <w:i w:val="1"/>
          <w:iCs w:val="1"/>
          <w:color w:val="auto"/>
        </w:rPr>
        <w:t>: Measurement of Credit Losses on Financial Instruments</w:t>
      </w:r>
      <w:r>
        <w:rPr>
          <w:rFonts w:ascii="Arial" w:cs="Arial" w:eastAsia="Arial" w:hAnsi="Arial"/>
          <w:sz w:val="16"/>
          <w:szCs w:val="16"/>
          <w:color w:val="auto"/>
        </w:rPr>
        <w:t>, the Company is required to remeasure expected credit losses for financial instruments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reporting date based on historical experience, current conditions and reasonable forecasts.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leasing and parts and service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Provision for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Write offs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the Nine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Against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Months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Allowance,</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net of</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Recoveries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480" w:type="dxa"/>
            <w:vAlign w:val="bottom"/>
          </w:tcPr>
          <w:p>
            <w:pPr>
              <w:spacing w:after="0"/>
              <w:rPr>
                <w:sz w:val="18"/>
                <w:szCs w:val="18"/>
                <w:color w:val="auto"/>
              </w:rPr>
            </w:pPr>
          </w:p>
        </w:tc>
      </w:tr>
      <w:tr>
        <w:trPr>
          <w:trHeight w:val="425"/>
        </w:trPr>
        <w:tc>
          <w:tcPr>
            <w:tcW w:w="66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 xml:space="preserve"> Asset Purchase Agreement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7, 2021, the Company entered into an Asset Purchase Agreement with certain subsidiaries and affiliates of The Summit Truck Group (“Summit”) to acquire full-service commercial vehicle dealerships and Idealease franchises in Arkansas, Kansas, Mississippi, Missouri, Oklahoma, Tennessee and Texas. The acquisition includes Summit’s dealerships representing International, IC Bus, Idealease, Isuzu and other commercial vehicle manufacturers. The Company estimates that the purchase price will be approximately $223.0 million, excluding the anticipated purchase of certain real property of the Seller for approximately $60.0 million pursuant to one or more real property purchase agreements. At the closing, the Company anticipates that it will finance approximately $114.0 million of the purchase price. The closing of the transaction, expected in December 2021, is subject to, amongst other things, manufacturers’ approval, various regulatory approvals and the satisfaction of the closing conditions set forth in the asset purchase agreement. The Company does not expect to ultimately own Summit’s dealerships in Oklahoma or Mississippi.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 xml:space="preserve"> Lease and Rental Debt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14, 2021, the Company entered into a credit agreement (“the WF Credit Agreement”) with the Lenders signatory thereto (the “WF Lenders”) and Wells Fargo Bank, National Association (“WF”), as administrative agent (in such capacity, the “WF Agent”). Pursuant to the terms of the WF Credit Agreement, the WF Lenders have agreed to make up to $250.0 million of revolving credit loans for certain of the Company’s capital expenditures, including commercial vehicle purchases for the Company’s Idealease lease and rental fleet, and general working capital needs. The Company expects to use the revolving credit loans available under the WF Credit Agreement primarily for the purpose of purchasing commercial vehicles for the Company’s Idealease lease and rental fleet.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interest associated with the WF Credit Agreement was $1.2 million in the third quarter of 2021 and is recorded in interest expense on the financial statements. The WF Credit Agreement is a general borrowing facility, whereas prior to the WF Credit Agreement, interest expense associated with the Company’s Idealease lease and rental fleet was recorded in cost of sales as the borrowings were directly related to each lease and rental vehicle. This change in presentation of interest expense will result in increased gross margins from the Company’s Idealease lease and rental sales.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2021, the Company entered into that certain Amended and Restated Inventory Financing and Purchase Money Security Agreement with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the Company’s PacLease franchises. The interest associated with the PLC Agreement will be recorded in interest expense on the financial statements because the PLC Agreement is a general borrowing facility. This change in presentation of interest expense will result in increased gross margins from the Company’s PacLease lease and rental sales.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w:t>
      </w:r>
      <w:r>
        <w:rPr>
          <w:rFonts w:ascii="Arial" w:cs="Arial" w:eastAsia="Arial" w:hAnsi="Arial"/>
          <w:sz w:val="16"/>
          <w:szCs w:val="16"/>
          <w:color w:val="auto"/>
        </w:rPr>
        <w:t>’</w:t>
      </w:r>
      <w:r>
        <w:rPr>
          <w:rFonts w:ascii="Arial" w:cs="Arial" w:eastAsia="Arial" w:hAnsi="Arial"/>
          <w:sz w:val="16"/>
          <w:szCs w:val="16"/>
          <w:i w:val="1"/>
          <w:iCs w:val="1"/>
          <w:color w:val="auto"/>
        </w:rPr>
        <w:t>s behalf from time to time in other reports, filings with the Securities and Exchange Commission (</w:t>
      </w: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 xml:space="preserve">), news releases, conferences, website postings or otherwise) that are not statements of historical fact constitute </w:t>
      </w:r>
      <w:r>
        <w:rPr>
          <w:rFonts w:ascii="Arial" w:cs="Arial" w:eastAsia="Arial" w:hAnsi="Arial"/>
          <w:sz w:val="16"/>
          <w:szCs w:val="16"/>
          <w:color w:val="auto"/>
        </w:rPr>
        <w:t>“</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within the meaning of the Private Securities Litigation Reform Act of 1995, Section 27A of the Securities Act of 1933, as amended (the </w:t>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w:t>
      </w:r>
      <w:r>
        <w:rPr>
          <w:rFonts w:ascii="Arial" w:cs="Arial" w:eastAsia="Arial" w:hAnsi="Arial"/>
          <w:sz w:val="16"/>
          <w:szCs w:val="16"/>
          <w:i w:val="1"/>
          <w:iCs w:val="1"/>
          <w:color w:val="auto"/>
        </w:rPr>
        <w:t xml:space="preserve">), and Section 21E of the Exchange Act of 1934, as amended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notwithstanding that such statements are not specifically identified. Forward-looking statements include statements about the Company</w:t>
      </w:r>
      <w:r>
        <w:rPr>
          <w:rFonts w:ascii="Arial" w:cs="Arial" w:eastAsia="Arial" w:hAnsi="Arial"/>
          <w:sz w:val="16"/>
          <w:szCs w:val="16"/>
          <w:color w:val="auto"/>
        </w:rPr>
        <w:t>’</w:t>
      </w:r>
      <w:r>
        <w:rPr>
          <w:rFonts w:ascii="Arial" w:cs="Arial" w:eastAsia="Arial" w:hAnsi="Arial"/>
          <w:sz w:val="16"/>
          <w:szCs w:val="16"/>
          <w:i w:val="1"/>
          <w:iCs w:val="1"/>
          <w:color w:val="auto"/>
        </w:rPr>
        <w:t>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w:t>
      </w:r>
      <w:r>
        <w:rPr>
          <w:rFonts w:ascii="Arial" w:cs="Arial" w:eastAsia="Arial" w:hAnsi="Arial"/>
          <w:sz w:val="16"/>
          <w:szCs w:val="16"/>
          <w:color w:val="auto"/>
        </w:rPr>
        <w:t>’</w:t>
      </w:r>
      <w:r>
        <w:rPr>
          <w:rFonts w:ascii="Arial" w:cs="Arial" w:eastAsia="Arial" w:hAnsi="Arial"/>
          <w:sz w:val="16"/>
          <w:szCs w:val="16"/>
          <w:i w:val="1"/>
          <w:iCs w:val="1"/>
          <w:color w:val="auto"/>
        </w:rPr>
        <w:t>s management as well as assumptions made by and information currently available to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management. Use of the words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intend</w:t>
      </w:r>
      <w:r>
        <w:rPr>
          <w:rFonts w:ascii="Arial" w:cs="Arial" w:eastAsia="Arial" w:hAnsi="Arial"/>
          <w:sz w:val="16"/>
          <w:szCs w:val="16"/>
          <w:color w:val="auto"/>
        </w:rPr>
        <w:t>”</w:t>
      </w:r>
      <w:r>
        <w:rPr>
          <w:rFonts w:ascii="Arial" w:cs="Arial" w:eastAsia="Arial" w:hAnsi="Arial"/>
          <w:sz w:val="16"/>
          <w:szCs w:val="16"/>
          <w:i w:val="1"/>
          <w:iCs w:val="1"/>
          <w:color w:val="auto"/>
        </w:rPr>
        <w:t xml:space="preserve">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the Company</w:t>
      </w:r>
      <w:r>
        <w:rPr>
          <w:rFonts w:ascii="Arial" w:cs="Arial" w:eastAsia="Arial" w:hAnsi="Arial"/>
          <w:sz w:val="16"/>
          <w:szCs w:val="16"/>
          <w:color w:val="auto"/>
        </w:rPr>
        <w:t>’</w:t>
      </w:r>
      <w:r>
        <w:rPr>
          <w:rFonts w:ascii="Arial" w:cs="Arial" w:eastAsia="Arial" w:hAnsi="Arial"/>
          <w:sz w:val="16"/>
          <w:szCs w:val="16"/>
          <w:i w:val="1"/>
          <w:iCs w:val="1"/>
          <w:color w:val="auto"/>
        </w:rPr>
        <w:t>s Annual Report on Form 10-K for the year ended December 31, 2020,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Peterbilt</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Peterbilt Motors Company. PACCAR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Inc. PacLease</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PACCAR Leasing Corporation. Navistar</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Corporation. International</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Blue Bird Investment Corporation. IC Bus</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IC Bus, LLC. Hino</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Hino Motors, Ltd. Isuzu</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Isuzu Motors Limited. Ford Motor Credit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Ford</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Ford Motor Company. SAP</w:t>
      </w:r>
      <w:r>
        <w:rPr>
          <w:rFonts w:ascii="Arial" w:cs="Arial" w:eastAsia="Arial" w:hAnsi="Arial"/>
          <w:sz w:val="18"/>
          <w:szCs w:val="18"/>
          <w:color w:val="auto"/>
        </w:rPr>
        <w:t>®</w:t>
      </w:r>
      <w:r>
        <w:rPr>
          <w:rFonts w:ascii="Arial" w:cs="Arial" w:eastAsia="Arial" w:hAnsi="Arial"/>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network has remained operational since the beginning of the COVID-19 pandemic. While the COVID-19 pandemic is not over, business conditions have improved significantly since the second quarter of 2020. However, our industry continues to be impacted by supply chain issues generally believed to be attributable to the COVID-19 pandemic that are negatively affecting new commercial vehicle production and the availability of aftermarket parts.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of the commercial vehicle manufacturers that we represent resumed operations following any COVID-19 related shutdowns in 2020. However, supply chain delays related to commercial vehicle components have forced some of the manufacturers we represent to temporarily cease production at times and will limit the commercial vehicle industry’s ability to meet demand for commercial vehicles throughout the remainder of 2021 and into 2022. The decrease in the supply of new commercial vehicles has resulted in increased demand for used commercial vehicles.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our parts, service and collision center (collectively, “Aftermarket Products and Services”) departments, with some minor exceptions, our parts supply chain has remained relatively uninterrupted and our parts sales are back to pre-pandemic levels. We believe that the investments we made over the years with respect to our aftermarket strategic initiatives enabled us to mitigate some of the impact of the COVID-19 pandemic on our Aftermarket Products and Service business. However, with respect to parts availability going forward, we are dependent on our manufacturers and future production levels of certain parts and components are uncertain at this time. Although the supply chain disruptions are only impacting a small percentage of the parts we sell, any delay we experience in receiving a part has a corresponding delay in our completion of services on the commercial vehicle for which the part was ordered.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our rental and leasing operations, in 2020, we allowed certain credit-worthy customers serving industries that were dramatically impacted by the COVID-19 pandemic to skip up to three months of lease payments and either extend the lease term by three months or increase the remaining payments to keep the same lease term. These customers have resumed payments. Revenues from our rental and leasing operations are back to pre-pandemic levels.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we had $259.7 million in cash. For further discussion of our liquidity, see the Liquidity and Capital Resources discussion set forth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A.C.T. Research Co., LLC (“A.C.T. Research”), a commercial vehicle industry data and forecasting service provider, currently forecasts new U.S. Class 8 retail truck sales to be 228,500 units in 2021, which would represent a 16.8% increase compared to 2020. While demand for new commercial vehicles is currently strong, we believe that component supply chain issues will continue to delay production, pushing new Class 8 truck deliveries into 2022, and negatively impacting our new Class 8 truck sales in the fourth quarter of this year. In addition, we have been informed by our manufacturers that production of commercial vehicles in 2022 will be allocated to all of their dealers based on historical purchases. While we do not yet know our allocation for 2022, we believe that our allocation of commercial vehicles will not be less than the number of commercial vehicles we expect to sell in 2021.</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our market share of new Class 8 truck sales to range between 5.0% and 5.2% in 2021. This market share percentage would result in the sale of approximately 11,400 to 11,900 of new Class 8 trucks in 2021, based on A.C.T. Research’s current U.S. retail sales estimate of 228,500 units.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new U.S. Class 4 through 7 retail commercial vehicle sales, A.C.T. Research currently forecasts sales to be 251,000 units in 2021, which would represent an 8.2% increase compared to 2020. We expect our market share of new Class 4 through 7 commercial vehicle sales to range between 4.0% and 4.3% in 2021. This market share percentage would result in the sale of approximately 10,000 to 10,800 of new Class 4 through 7 commercial vehicles in 2021, based on A.C.T. Research’s current U.S. retail sales estimates of 251,000 units.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We expect to sell approximately 1,600 light-duty vehicles and approximately 7,200 to 7,400 used commercial vehicles in 2021. We expect lease and rental revenue to increase 5% to 7% during 2021, compared to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parts supply chain constraints are expected to negatively impact the Aftermarket Products and Services industry for the remainder of 2021, we do not believe these constraints will have a significant overall effect on our Aftermarket Products and Services revenues. We believe our Aftermarket Products and Services revenues will increase 10% to 12% in 2021, compared to 2020.</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October 2021, we acquired an independent parts and service facility in Victorville, California that will be converted into a full service Peterbilt dealership. We also plan to acquire a full-service Hino and Isuzu dealership in Elk Grove, Illinois in November 2021. Additionally, on September 7, 2021, we entered into an agreement with certain subsidiaries and affiliates of The Summit Truck Group (“Summit”) to acquire full-service commercial vehicle dealerships and Idealease franchises in Arkansas, Kansas, Mississippi, Missouri, Oklahoma, Tennessee and Texas. The acquisition includes Summit’s dealerships representing International, IC Bus, Idealease, Isuzu and other commercial vehicle manufacturers. The closing of the transaction is subject to, amongst other things, manufacturers’ approval, various regulatory approvals and the satisfaction of the closing conditions set forth in the asset purchase agreement, but we expect the transaction to close in December 2021. We do not expect to ultimately own Summit’s dealerships in Oklahoma or Mississippi.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ind w:firstLine="648"/>
        <w:spacing w:after="0" w:line="263" w:lineRule="auto"/>
        <w:rPr>
          <w:sz w:val="20"/>
          <w:szCs w:val="20"/>
          <w:color w:val="auto"/>
        </w:rPr>
      </w:pPr>
      <w:r>
        <w:rPr>
          <w:rFonts w:ascii="Arial" w:cs="Arial" w:eastAsia="Arial" w:hAnsi="Arial"/>
          <w:sz w:val="18"/>
          <w:szCs w:val="18"/>
          <w:color w:val="auto"/>
        </w:rPr>
        <w:t>Goodwill was tested for impairment during the fourth quarter of 2020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w:t>
      </w:r>
      <w:r>
        <w:rPr>
          <w:rFonts w:ascii="Arial" w:cs="Arial" w:eastAsia="Arial" w:hAnsi="Arial"/>
          <w:sz w:val="16"/>
          <w:szCs w:val="16"/>
          <w:color w:val="auto"/>
        </w:rPr>
        <w:t>“</w:t>
      </w:r>
      <w:r>
        <w:rPr>
          <w:rFonts w:ascii="Arial" w:cs="Arial" w:eastAsia="Arial" w:hAnsi="Arial"/>
          <w:sz w:val="16"/>
          <w:szCs w:val="16"/>
          <w:i w:val="1"/>
          <w:iCs w:val="1"/>
          <w:color w:val="auto"/>
        </w:rPr>
        <w:t>Topic 606</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and/or economic risk where appropriate. Determination of the proper amount of allowances by portfolio requires management to exercise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nine months ended September 30, 2021 and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100.0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products sold</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79.1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r>
      <w:tr>
        <w:trPr>
          <w:trHeight w:val="425"/>
        </w:trPr>
        <w:tc>
          <w:tcPr>
            <w:tcW w:w="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9" w:name="page20"/>
    <w:bookmarkEnd w:id="19"/>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gridSpan w:val="7"/>
          </w:tcPr>
          <w:p>
            <w:pPr>
              <w:spacing w:after="0"/>
              <w:rPr>
                <w:sz w:val="20"/>
                <w:szCs w:val="20"/>
                <w:color w:val="auto"/>
              </w:rPr>
            </w:pPr>
            <w:r>
              <w:rPr>
                <w:rFonts w:ascii="Arial" w:cs="Arial" w:eastAsia="Arial" w:hAnsi="Arial"/>
                <w:sz w:val="18"/>
                <w:szCs w:val="18"/>
                <w:color w:val="auto"/>
                <w:w w:val="91"/>
              </w:rPr>
              <w:t>The following table sets forth for the periods indicated the percent of gross profit by revenue source:</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420" w:type="dxa"/>
            <w:vAlign w:val="bottom"/>
          </w:tcPr>
          <w:p>
            <w:pPr>
              <w:spacing w:after="0"/>
              <w:rPr>
                <w:sz w:val="24"/>
                <w:szCs w:val="24"/>
                <w:color w:val="auto"/>
              </w:rPr>
            </w:pPr>
          </w:p>
        </w:tc>
        <w:tc>
          <w:tcPr>
            <w:tcW w:w="2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420" w:type="dxa"/>
            <w:vAlign w:val="bottom"/>
          </w:tcPr>
          <w:p>
            <w:pPr>
              <w:spacing w:after="0"/>
              <w:rPr>
                <w:sz w:val="20"/>
                <w:szCs w:val="20"/>
                <w:color w:val="auto"/>
              </w:rPr>
            </w:pPr>
          </w:p>
        </w:tc>
        <w:tc>
          <w:tcPr>
            <w:tcW w:w="2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4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0"/>
        </w:trPr>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our absorption ratio (revenue in millions):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Nine Months Ended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18"/>
                <w:szCs w:val="18"/>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2,584</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8,486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7,528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804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16,870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Used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2,055</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5,381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376.2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370.8</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1,261.1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1,129.3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683.2</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r>
      <w:tr>
        <w:trPr>
          <w:trHeight w:val="20"/>
        </w:trPr>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1,986.2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1,847.3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Used vehicle revenue</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103.0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303.9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202.7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49.9%</w:t>
            </w:r>
          </w:p>
        </w:tc>
      </w:tr>
      <w:tr>
        <w:trPr>
          <w:trHeight w:val="216"/>
        </w:trPr>
        <w:tc>
          <w:tcPr>
            <w:tcW w:w="246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revenues:</w:t>
            </w:r>
            <w:r>
              <w:rPr>
                <w:rFonts w:ascii="Arial" w:cs="Arial" w:eastAsia="Arial" w:hAnsi="Arial"/>
                <w:sz w:val="25"/>
                <w:szCs w:val="25"/>
                <w:color w:val="auto"/>
                <w:vertAlign w:val="superscript"/>
              </w:rPr>
              <w:t>(1)</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r>
      <w:tr>
        <w:trPr>
          <w:trHeight w:val="218"/>
        </w:trPr>
        <w:tc>
          <w:tcPr>
            <w:tcW w:w="2460" w:type="dxa"/>
            <w:vAlign w:val="bottom"/>
          </w:tcPr>
          <w:p>
            <w:pPr>
              <w:spacing w:after="0"/>
              <w:rPr>
                <w:sz w:val="20"/>
                <w:szCs w:val="20"/>
                <w:color w:val="auto"/>
              </w:rPr>
            </w:pPr>
            <w:r>
              <w:rPr>
                <w:rFonts w:ascii="Arial" w:cs="Arial" w:eastAsia="Arial" w:hAnsi="Arial"/>
                <w:sz w:val="18"/>
                <w:szCs w:val="18"/>
                <w:b w:val="1"/>
                <w:bCs w:val="1"/>
                <w:color w:val="auto"/>
              </w:rPr>
              <w:t>Absorption ratio:</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bl>
    <w:p>
      <w:pPr>
        <w:ind w:left="6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134.0% absorption ratio for the third quarter of 2021 compared to a 119.4% absorption ratio for the third quarter of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$88.0 million, or 7.5%, in the third quarter of 2021, compared to the third quarter of 2020.</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Aftermarket Products and Services revenues totaled $463.0 million in the third quarter of 2021, up 15.7% from the third quarter of 2020. This increase was primarily due to the overall continued recovery of the national economy and strong demand for aftermarket parts and services.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ind w:right="20" w:firstLine="648"/>
        <w:spacing w:after="0" w:line="263" w:lineRule="auto"/>
        <w:rPr>
          <w:sz w:val="20"/>
          <w:szCs w:val="20"/>
          <w:color w:val="auto"/>
        </w:rPr>
      </w:pPr>
      <w:r>
        <w:rPr>
          <w:rFonts w:ascii="Arial" w:cs="Arial" w:eastAsia="Arial" w:hAnsi="Arial"/>
          <w:sz w:val="18"/>
          <w:szCs w:val="18"/>
          <w:color w:val="auto"/>
        </w:rPr>
        <w:t>Revenues from sales of new and used commercial vehicles increased $17.6 million, or 2.5%, in the third quarter of 2021, compared to the third quarter of 2020. This increase was also primarily due to the continued recovery of the national economy, which has led to strong freight rates throughout the country and strong demand for commercial vehicles.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sold 2,537 new Class 8 trucks in the third quarter of 2021, a 1.8% decrease compared to 2,584 new Class 8 trucks sold in the third quarter of 2020. Our new Class 8 truck sales were negatively impacted by industry-wide new truck production constraints. According to A.C.T. Research, retail sales in the U.S. Class 8 truck market increased 2.5% in the third quarter of 2021, compared to the third quarter of 2020.</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sold 2,792 new Class 4 through 7 medium-duty commercial vehicles, including 410 buses, in the third quarter of 2021, a 5.1% decrease compared to 2,941 new medium-duty commercial vehicles, including 429 buses, in the third quarter of 2020. Our third quarter 2021 new Class 4 through 7 commercial vehicle sales were negatively impacted by industry-wide new truck production constraints. A.C.T. Research estimates that unit sales of new Class 4 through 7 commercial vehicles in the U.S. decreased approximately 2.2% in the third quarter of 2021, compared to the third quarter of 2020.</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sold 361 light-duty vehicles in the third quarter of 2021, a 27.6% increase compared to 283 light-duty vehicles sold in the third quarter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sold 1,712 used commercial vehicles in the third quarter of 2021, a 16.7% decrease compared to 2,055 used commercial vehicles in the third quarter of 2020. Demand for used commercial vehicles remained strong in the third quarter of 2021, driven in large part by production delays for new Class 8 trucks, however, the number of used commercial vehicles we will be able to sell depends on our ability to acquire quality used commercial vehicle inventory. We believe used truck values will decrease when new truck production increases; however, we believe demand for used trucks will remain strong through 2021 and into 2022.</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Commercial vehicle lease and rental revenues increased $4.8 million, or 8.2%, in the third quarter of 2021, compared to the third quarter of 2020. The increase is primarily due to increased rental fleet utilization and strong demand for vehicles to lease, which is partly due to the limited supply of new commercial vehicles.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and insurance revenues increased $1.2 million, or 21.6%, in the third quarter of 2021, compared to the third quarter of 2020. We expect finance and insurance revenues to fluctuate proportionately with our new and used commercial vehicle sales in 2021. Finance and insurance revenues have limited direct costs and, therefore, contribute a disproportionate share of our operating profits.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increased $69.8 million, or 32.9%, in the third quarter of 2021, compared to the third quarter of 2020. Gross profit as a percentage of sales increased to 22.3% in the third quarter of 2021, from 18.0% in the third quarter of 2020. This increase in gross profit as a percentage of sales is a result of widespread increased gross margins across all of our operations.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Gross margins from our Aftermarket Products and Services operations increased to 39.3% in the third quarter of 2021, from 35.4% in the third quarter of 2020, which is primarily related to the increase in parts rebates from parts suppliers and increases in parts list pricing by the manufacturers we represent, which lead to increased margins on parts sales with respect to inventory acquired prior to the manufacturers’ price increases, compared to the third quarter of 2020. Gross profit for the Aftermarket Products and Services departments increased to $182.2 million in the third quarter of 2021, from $141.9 million in the third quarter of 2020. Historically, gross margins on parts sales range from 27% to 28% and gross margins on service and collision center operations range from 67% to 68%. Gross profits from parts sales represented 62.4% of total gross profit for Aftermarket Products and Services operations in the third quarter of 2021 and 58.8% in the third quarter of 2020. Service and collision center operations represented 37.6% of total gross profit for Aftermarket Products and Services operations in the third quarter of 2021 and 41.2% in the third quarter of 2020.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Class 8 truck sales increased to 8.7% in the third quarter of 2021, from 7.8% in the third quarter of 2020. This increase is primarily due to strong demand for Class 8 trucks and the mix of purchasers during the third quarter of 2021. In 2021, we expect overall gross margins from new Class 8 truck sales of approximately 8.0% to 9.0%.</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Gross margins on new Class 4 through 7 commercial vehicle sales increased to 8.0% in the third quarter of 2021, from 5.9% in the third quarter of 2020. This increase is primarily due to the mix of purchasers during the third quarter of 2021. For 2021, we expect overall gross margins from new medium-duty commercial vehicle sales of approximately 6.5% to 7.5%, but this will largely depend upon the mix of purchasers and types of vehicles sold.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Gross margins on used commercial vehicle sales increased to 19.7% in the third quarter of 2021, from 12.0% in the third quarter of 2020. This increase in margins in the third quarter of 2021 was primarily due to the increase in used truck values due to strong demand for used commercial vehicles. The lower margins that we recognized in 2020 were due to weak demand for used trucks in early 2020 caused by the beginning of the COVID-19 pandemic and the write-down of used truck inventory values to account for extremely weak market conditions at that time. We expect margins on used commercial vehicles to be approximately 12% to 16% for the remainder of 2021.</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Gross margins from truck lease and rental sales increased to 25.1% in the third quarter of 2021, from 14.4% in the third quarter of 2020. This increase is primarily related to increased rental fleet utilization and changes to the way we finance commercial vehicles for our lease and rental fleet. In the third quarter of 2021, we entered into a credit agreement with Wells Fargo Bank, N.A. in the amount of $250.0 million (the “WF Credit Agreement”) that allows us to finance a portion of our Idealease lease and rental fleet through a general borrowing facility. The interest associated with the WF Credit Agreement is recorded in interest expense on the financial statements and was $1.2 million in the third quarter of 2021. Prior to the WF Credit Agreement, interest expense associated with our Idealease lease and rental fleet was recorded in cost of sales as the borrowings were directly related to each lease and rental vehicle. This change in presentation of interest expense will result in increased gross margins from our Idealease truck lease and rental sales. In October of 2021, we entered into a similar credit agreement with PACCAR Leasing Company (“PLC”) in the amount of $300.0 million for our PacLease lease and rental fleet. Our policy is to depreciate our lease and rental fleet using a straight-line method over each customer’s contractual lease term. Each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7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General and Administrative (“SG&amp;A”) expenses increased $24.4 million, or 15.7%, in the third quarter of 2021, compared to the third quarter of 2020. This increase resulted from increased personnel expense and increased selling expense, compared to 2020. SG&amp;A expenses as a percentage of total revenues increased to 14.2% in the third quarter of 2021, from 13.2% in the third quarter of 2020. Annual SG&amp;A expenses as a percentage of total revenues have ranged from 12.4% to 14.0% over the last five years. For 2021, we expect SG&amp;A expenses as a percentage of total revenues to range from 13.0% to 14.0%, due to the increase in revenues from sales of new and used commercial vehicles and Aftermarket Products and Services. For 2021, we expect the selling portion of SG&amp;A expenses to be approximately 25.0% to 30.0% of new and used commercial vehicle gross profit.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and amortization expense decreased $1.3 million, or 8.9%, in the third quarter of 2021, compared to the third quarter of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decreased $0.8 million, or 74.3%, in the third quarter of 2021, compared to the third quarter of 2020. This decrease was primarily due to the decrease in floorplan liability related to lower commercial vehicle inventory levels, the product mix of our commercial vehicle inventory and the reduction in our real estate debt. During the third quarter of 2021, a higher portion of our vehicle inventory was from commercial vehicle manufacturers that were offering more favorable floorplan terms than in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$47.9 million, or 109.1%, in the third quarter of 2021, compared to the third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increased $12.5 million, or 124.7%, in the third quarter of 2021, compared to the third quarter of 2020. We provided for taxes at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24.75% effective rate in the third quarter of 2021 and 22.7% in the third quarter of 2020. We expect our effective tax rate to be approximately 23.0%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24.0% of pretax income in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 to the items discussed in this section are set forth in the discussion of the Three Months Ended September 30, 2021 Compared to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$346.6 million, or 10.0%, in the first nine months of 2021, compared to the first nine months of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Aftermarket Products and Services revenues increased $118.5 million, or 9.8%, in the first nine months of 2021, compared to the first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2020.</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Revenues from the sales of new and used commercial vehicles increased $214.0 million, or 10.4%, in the first nine months of 2021, compared to the first nine months of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8,486 new Class 8 heavy-duty trucks during the first nine months of 2021, a 12.7% increase compared to 7,528 new Class 8 heavy-duty trucks in the first nine months of 2020. According to A.C.T. Research, new U.S. Class 8 truck sales increased 22.6% in the first nine months of 2021, compared to the first nine months of 2020.</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sold 7,951 new Class 4 through 7 medium-duty commercial vehicles, including 788 buses, during the first nine months of 2021, a 6.9% decrease compared to 8,538 new Class 4 through 7 medium-duty commercial vehicles, including 853 buses, in the first nine months of 2020. New Class 4 through 7 commercial vehicle sales in the first nine months of 2021 were negatively impacted by new truck production constraints on the manufacturers we represent. A.C.T. Research estimates that unit sales of new Class 4 through 7 commercial vehicles, including buses, in the U.S increased approximately 11.6% in the first nine months of 2021, compared to the first nine months of 2020.</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1,228 new light-duty commercial vehicles during the first nine months of 2021, a 52.7% increase compared to 804 light-duty commercial vehicles in the first nine months of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5,730 used commercial vehicles during the first nine months of 2021, a 6.5% increase compared to 5,381 used commercial vehicles in the first nine months of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$6.3 million, or 3.6%, in the first nine months of 2021, compared to the first nine months of 2020.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increased $5.7 million, or 37.6%, in the first nine months of 2021, compared to the first nine months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$158.6 million, or 24.8%, in the first nine months of 2021, compared to the first nine months of 2020. Gross profit as a percentage of sales increased to 20.9% in the first nine months of 2021, from 18.4% in the first nine months of 2020.</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Gross margins from our Aftermarket Products and Services operations increased to 38.1% in the first nine months of 2021, from 36.4% in the first nine months of 2020. Gross profit for the Aftermarket Products and Services departments was $504.5 million in the first nine months of 2021, compared to $438.8 million in the first nine months of 2020. Gross profits from parts sales represented 61.0% of total gross profit for Aftermarket Products and Services operations in the first nine months of 2021 and 59.3% in the first nine months of 2020. Service and collision center operations represented 39.0% of total gross profit for Aftermarket Products and Services operations in the first nine months of 2021 and 40.7% in the first nine months of 2020.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new Class 8 truck sales were 8.9% in the first nine months of 2021 and 8.1% in the first nine months of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Class 4 through 7 medium-duty commercial vehicle sales increased to 7.5% in the first nine months of 2021, from 6.0% in the first nine months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Gross margins on used commercial vehicle sales increased to 18.4% in the first nine months of 2021, from 8.0% in the first nine months of 2020.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increased to 21.3% in the first nine months of 2021, from 12.9% in the first nine months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SG&amp;A expenses increased $42.8 million, or 8.6%, in the first nine months of 2021, compared to the first nine months of 2020. SG&amp;A expenses equaled 14.2% of total revenue in the first nine months of 2021, and 14.3% in the first nine months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decreased $3.0 million, or 6.9%, in the first nine months of 2021, compared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$7.5 million, or 93.0%, in the first nine months of 2021, compared to the first nine months of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before income taxes increased $125.1 million, or 127.5%, in the first nine months of 2021, compared to the first nine months of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taxes increased $26.2 million, or 108.1%, in the first nine months of 2021, compared to the first nine months of 2020. We provided for taxes at a 23.0% rate in the first nine months of 2021 and a 24.7% rate in the first nine months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2021, we had working capital of approximately $405.3 million, including $259.7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Bank N.A. (“BMO Harris”) (the “Floor Plan Credit Agreement”), and the resulting interest earned is recognized as an offset to our gross interest expense under the Floor Plan Credit Agreement.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$15.0 million. There were no advances outstanding under this secured line of credit at September 30, 2021, however, $11.9 million was pledged to secure various letters of credit related to self-insurance products, leaving $3.1 million available for future borrowings as of September 30, 2021.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debt, floor plan financing agreements and the WF Credit Agreement require us to satisfy various financial ratios such as the leverage ratio, the asset coverage ratio and the fixed charge coverage ratio. As of September 30, 2021, we were in compliance with all debt covenants related to debt secured by lease and rental units, our floor plan credit agreements and the WF Credit Agreement. We do not anticipate any breach of the covenants in the foreseeable future.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purchase or lease commercial vehicles worth approximately $150.0 million to $180.0 million for our leasing operations during 2021, depending on customer demand, most of which will be financed. We also expect to make capital expenditures for recurring items such as computers, shop tools and equipment and vehicles of approximately $30.0 million to $35.0 million during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During the third quarter of 2021, we paid a cash dividend of $10.6 million. Additionally, on October 20, 2021, our Board of Directors declared a cash dividend of $0.19 per share of Class A and Class B Common Stock, to be paid on December 10, 2021, to all shareholders of record as of November 8, 2021. The total dividend disbursement is estimated at approximately $10.6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8, 2020,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2020.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September 30, 2021, we had repurchased $23.8 million of our shares of common stock under the current stock repurchase program. The current stock repurchase program expires on December 31, 2021, and may be suspended or discontinued at any time.</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September 7, 2021, we entered into an Asset Purchase Agreement to acquire substantially all of the assets and assume certain liabilities of Summit Truck Group, LLC, a Texas limited liability company, and certain of its subsidiaries and affiliates (collectively, “Summit”), which assets are currently used in the conduct of commercial vehicle sales, leasing, rental, parts and service business operated by Summit at its dealership facilities located in Arkansas, Kansas, Mississippi, Missouri, Oklahoma, Tennessee and Texas. We estimate that the purchase price, including goodwill, but excluding any real property, will be approximately $223.0 million. At the closing, we anticipate that we will finance approximately $114.0 million of the purchase price. In connection with the transaction, we also anticipate purchasing certain real property of the Seller for approximately $60.0 million pursuant to one or more real property purchase agreements. We do not expect to ultimately own Summit’s dealerships located in Oklahoma or Mississippi.</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September 30, 2021.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and cash equivalents decreased by $52.4 million during the nine months ended September 30, 2021 and increased by $77.9 million during the nine months ended September 30, 2020.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nine months of 2021, operating activities resulted in net cash provided by operations of $438.6 million. Net cash provided by operating activities primarily consisted of $172.8 million in net income, as well as non-cash adjustments related to depreciation and amortization of $126.7 million, stock-based compensation of $18.3 million and the benefit for deferred income tax expense of $23.0 million. Cash provided by operating activities included an aggregate of $148.2 million net change in operating assets and liabilities. Included in the net change in operating assets and liabilities were cash inflows of $147.3 million from the decrease in inventories, $23.2 million from the decrease in accounts receivable and $16.7 million from the increase in accounts payable, which was offset by cash outflows of $8.4 million from decreases in accrued liabilities and $30.4 million from the decrease in customer deposits. The majority of our commercial vehicle inventory is financed through our floor plan credit agreements.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first nine months of 2020, operating activities resulted in net cash provided by operations of $590.5 million. Net cash provided by operating activities primarily consisted of $73.9 million in net income, as well as non-cash adjustments related to depreciation and amortization of $134.0 million, stock-based compensation of $15.5 million and the benefit for deferred income tax expense of $11.6 million. Cash provided by operating activities included an aggregate of $384.3 million net change in operating assets and liabilities. Included in the net change in operating assets and liabilities were cash inflows of $439.2 million from the decrease in inventories, $28.0 million from the decrease in accounts receivable and $7.4 million from the decrease in other assets and $3.0 million from the increase in accrued liabilities, which was offset by cash outflows of $24.9 million from decreases in accounts payables, $62.3 million from the net decrease in floor plan, trade and $6.1 million from the decrease in customer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nine months of 2021, cash used in investing activities was $121.4 million. Cash flows used in investing activities consists primarily of cash used for capital expenditures. Capital expenditures were $122.3 million during the first nine months of 2021 and consisted primarily of purchases of property and equipment and improvements to our existing dealership facilities. Property and equipment purchases during the first nine months of 2021 included $88.0 million for additional units for the rental and leasing operations.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first nine months of 2020, cash used in investing activities was $98.9 million. Cash flows used in investing activities consists primarily of cash used for capital expenditures. Capital expenditures were $107.8 million during the first nine months of 2020 and consisted primarily of purchases of property and equipment and improvements to our existing dealership facilities. Property and equipment purchases during the first nine months of 2020 included $75.6 million for additional units for the rental and leasing operations, which were directly offset by borrowings of long-term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non-trade. During the first nine months of 2021, financing activities resulted in net cash used in financing of $369.6 million, primarily related to $157.4 million from net payments on floor plan notes payable, non-trade, $232.8 million used for principal repayments of long-term debt and capital lease obligations, $21.7 million used for repurchases of common stock and $30.5 million used for payment of cash dividends. These cash outflows were offset by cash inflows of $6.4 million from the issuance of shares related to equity compensation plans and borrowings of $66.4 million of long-term debt. The borrowings of long-term debt were primarily related to purchasing units for the rental and leasing operations.</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first nine months of 2020, financing activities resulted in net cash used in financing of $413.6 million, primarily related to $320.3 million from net payments on floor plan notes payable, non-trade, $212.2 million used for principal repayments of long-term debt and capital lease obligations, $22.4 million used for repurchases of common stock and $14.7 million used for payment of cash dividends. These cash outflows were offset by cash inflows of $16.1 million from the issuance of shares related to equity compensation plans and borrowings of $139.9 million of long-term debt. The borrowings of long-term debt were primarily related to purchasing units for our rental and leasing operations.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September 14, 2021, we entered into the WF Credit Agreement with the Lenders signatory thereto (the “WF Lenders”) and Wells Fargo Bank, National Association (“WF”), as Administrative Agent (in such capacity, the “WF Agent”). Pursuant to the terms of the WF Credit Agreement, the WF Lenders have agreed to make up to $250.0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loans from time to time until the maturity date. Borrowings under the WF Credit Agreement bear interest per annum, payable on each interest payment date, as defined in the WF Credit Agreement, at (A) the daily simple secured overnight financing rate (“SOFR”) rate plus (i) 1.25% or (ii) 1.5%, depending on our consolidated leverage ratio or (B) on or after the term SOFR transition date, the term SOFR rate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October 1, 2021, we entered into that certain Amended and Restated Inventory Financing and Purchase Money Security Agreement with PLC, a division of PACCAR Financial Corp. (the “PLC Agreement”). Pursuant to the terms of the PLC Agreement, PLC agreed to make up to $300 million of revolving credit loans to finance certain of our capital expenditures, including commercial vehicle purchases and other equipment to be leased or rented through our PacLease franchises. We may borrow, repay and reborrow loans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days or less from the date the commercial vehicles are invoiced from the factory. On September 14, 2021, we entered into the Fifth Amended and Restated Floor Plan Credit Agreement with BMO Harris Bank N.A. and the lenders signatory thereto (the Floor Plan Credit Agreement). Prior to the Floor Plan Credit Agreement, we financed the majority of all new commercial vehicle inventory and the loan value of our used commercial vehicle inventory under the Fourth Amended and Restated Floor Plan Credit Agreement with BMO Harris Bank N.A. and the majority of such financings will continue to occur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1.10% and are payable monthly. Loans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September 30, 2021, we had approximately $333.7 million outstanding under the Floor Plan Credit Agreement. The average daily outstanding borrowings under the Floor Plan Credit Agreement were $376.8 million during the nine months ended September 30, 2021.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30, 2021, our backlog of commercial vehicle orders was approximately $2,720.2 million, compared to a backlog of commercial vehicle orders of approximately $1,067.3 million on September 30, 2020.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2021, and we are uncertain of when we will fill our backlog orders due to the current supply chain delays.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For example, in June 2020, the California Air Resources Board adopted a final rule that is intended to phase out the sale of diesel-powered commercial vehicles over time by requiring a certain percentage of each manufacturer’s commercial vehicles sold within the state to be “zero-emission vehicles,” or “near-zero emission vehicles,” starting in model year 2024. In addition, in July 2020, a group of fifteen U.S. states and the District of Columbia entered into a joint memorandum of understanding that commits each of them to work together to advance and accelerate the market for electric Class 3 through 8 commercial vehicles. Three of the states that signed are states where we operate new commercial vehicle dealerships: California, Colorado and North Carolina. The signatories to the memorandum all agreed on a goal of ensuring that 100% of new Class 3 through 8 commercial vehicles are zero emission, with an interim target of 30% zero emission by 2030. Attaining these goals would likely require the adoption of new laws and regulations and we cannot predict at this time whether such laws and regulations would have an adverse impact on our business.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WF Credit Agreement, the PLC Agreement and discount rates related to finance sales. The majority of floor plan debt is based on LIBOR. As of September 30, 2021, we had floor plan borrowings of approximately $354.3 million. Assuming an increase or decrease in LIBOR of 100 basis points, annual interest expense could correspondingly increase or decrease by approximately $3.5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2021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September 30, 2021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Part I of our 2020 Annual Report on Form 10-K describes some of the risks and uncertainties associated with our business that have the potential to materially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third quarter of 2021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Part of a</w:t>
            </w: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Price Paid</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or Programs (3)</w:t>
            </w:r>
          </w:p>
        </w:tc>
        <w:tc>
          <w:tcPr>
            <w:tcW w:w="100" w:type="dxa"/>
            <w:vAlign w:val="bottom"/>
          </w:tcPr>
          <w:p>
            <w:pPr>
              <w:spacing w:after="0"/>
              <w:rPr>
                <w:sz w:val="20"/>
                <w:szCs w:val="20"/>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2021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41.30 </w:t>
            </w:r>
            <w:r>
              <w:rPr>
                <w:rFonts w:ascii="Arial" w:cs="Arial" w:eastAsia="Arial" w:hAnsi="Arial"/>
                <w:sz w:val="18"/>
                <w:szCs w:val="18"/>
                <w:b w:val="1"/>
                <w:bCs w:val="1"/>
                <w:color w:val="auto"/>
              </w:rPr>
              <w:t>(4)</w:t>
            </w:r>
          </w:p>
        </w:tc>
        <w:tc>
          <w:tcPr>
            <w:tcW w:w="1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85,417,276</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August 1 – August 31, 2021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107,367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xml:space="preserve">44.36 </w:t>
            </w:r>
            <w:r>
              <w:rPr>
                <w:rFonts w:ascii="Arial" w:cs="Arial" w:eastAsia="Arial" w:hAnsi="Arial"/>
                <w:sz w:val="18"/>
                <w:szCs w:val="18"/>
                <w:b w:val="1"/>
                <w:bCs w:val="1"/>
                <w:color w:val="auto"/>
              </w:rPr>
              <w:t>(5)</w:t>
            </w: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107,367</w:t>
            </w: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80,651,633</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6"/>
              </w:rPr>
              <w:t>September 1 – September 30, 2021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43.22 </w:t>
            </w:r>
            <w:r>
              <w:rPr>
                <w:rFonts w:ascii="Arial" w:cs="Arial" w:eastAsia="Arial" w:hAnsi="Arial"/>
                <w:sz w:val="18"/>
                <w:szCs w:val="18"/>
                <w:b w:val="1"/>
                <w:bCs w:val="1"/>
                <w:color w:val="auto"/>
              </w:rPr>
              <w:t>(6)</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102,145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76,233,995</w:t>
            </w:r>
          </w:p>
        </w:tc>
      </w:tr>
      <w:tr>
        <w:trPr>
          <w:trHeight w:val="20"/>
        </w:trPr>
        <w:tc>
          <w:tcPr>
            <w:tcW w:w="2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259,011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259,011</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3" w:lineRule="exact"/>
        <w:rPr>
          <w:sz w:val="20"/>
          <w:szCs w:val="20"/>
          <w:color w:val="auto"/>
        </w:rPr>
      </w:pPr>
    </w:p>
    <w:p>
      <w:pPr>
        <w:ind w:left="66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left="660" w:hanging="652"/>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8, 2020, we announced the approval of a new stock repurchase program authorizing management to repurchase, from time to time, up to an aggregate of $100.0 million of our shares of Class A Common Stock and/or Class B Common Stock.</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8,841 shares of Class A Common Stock at an average price paid per share of $46.62 and 40,658 shares of Class B Common Stock at an average price paid per share of $40.15.</w:t>
      </w:r>
    </w:p>
    <w:p>
      <w:pPr>
        <w:ind w:left="660" w:right="2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84,675 shares of Class A Common Stock at an average price paid per share of $44.69 and 22,692 shares of Class B Common Stock at an average price paid per share of $43.11.</w:t>
      </w:r>
    </w:p>
    <w:p>
      <w:pPr>
        <w:ind w:left="660" w:hanging="652"/>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77,250, shares of Class A Common Stock at an average price paid per share of $43.33 and 24,895 shares of Class B Common Stock at an average price paid per share of $42.87.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9880" w:type="dxa"/>
            <w:vAlign w:val="bottom"/>
            <w:tcBorders>
              <w:bottom w:val="single" w:sz="8" w:color="auto"/>
            </w:tcBorders>
            <w:gridSpan w:val="18"/>
          </w:tcPr>
          <w:p>
            <w:pPr>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14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4"/>
                <w:szCs w:val="14"/>
                <w:color w:val="auto"/>
              </w:rPr>
            </w:pPr>
          </w:p>
        </w:tc>
        <w:tc>
          <w:tcPr>
            <w:tcW w:w="9880" w:type="dxa"/>
            <w:vAlign w:val="bottom"/>
            <w:tcBorders>
              <w:bottom w:val="single" w:sz="8" w:color="0000EE"/>
            </w:tcBorders>
            <w:gridSpan w:val="18"/>
          </w:tcPr>
          <w:p>
            <w:pPr>
              <w:spacing w:after="0" w:line="169"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Restated Articles of Incorporation of Rush Enterprises, Inc. (incorporated herein by reference to Exhibit 3.1 of the Company’s Quarterly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Report on Form 10-Q (File No. 000-20797) for the quarter ended June 30, 2008)</w:t>
              </w:r>
            </w:hyperlink>
          </w:p>
        </w:tc>
        <w:tc>
          <w:tcPr>
            <w:tcW w:w="4080" w:type="dxa"/>
            <w:vAlign w:val="bottom"/>
            <w:gridSpan w:val="14"/>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Rush Enterprises, Inc. Amended and Restated Bylaws (incorporated herein by reference to Exhibit 3.1 of the Company’s Current Report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on Form 8-K (File No. 000-20797) filed May 21, 2013)</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7"/>
                <w:szCs w:val="17"/>
                <w:color w:val="auto"/>
              </w:rPr>
            </w:pPr>
          </w:p>
        </w:tc>
        <w:tc>
          <w:tcPr>
            <w:tcW w:w="988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First Amendment to Amended and Restated Bylaws of Rush Enterprises, Inc. (incorporated herein by reference to Exhibit 3.1 of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Company’s Current Report on Form 8-K (File No. 000-20797) filed May 24, 2021)</w:t>
              </w:r>
            </w:hyperlink>
          </w:p>
        </w:tc>
        <w:tc>
          <w:tcPr>
            <w:tcW w:w="3880" w:type="dxa"/>
            <w:vAlign w:val="bottom"/>
            <w:gridSpan w:val="13"/>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Asset Purchase Agreement, dated as of September 7, 2021 by and among certain subsidiaries of Rush Enterprises, Inc. and certain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subsidiaries of Summit Truck Group (incorporated herein by reference to Exhibit 10.1 of the Company’s Current Report on Form 8-K</w:t>
              </w:r>
            </w:hyperlink>
          </w:p>
        </w:tc>
        <w:tc>
          <w:tcPr>
            <w:tcW w:w="2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(File No. 000-20797) filed September 13, 2021)</w:t>
              </w:r>
            </w:hyperlink>
          </w:p>
        </w:tc>
        <w:tc>
          <w:tcPr>
            <w:tcW w:w="6420" w:type="dxa"/>
            <w:vAlign w:val="bottom"/>
            <w:gridSpan w:val="16"/>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Fifth Amended and Restated Credit Agreement, dated as of September 14, 2021 by and among Rush Enterprises, Inc., the subsidiaries of</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Rush party thereto as borrowers, the Lenders signatory thereto and BMO Harris Bank N.A., as Administrative Agent and Collateral</w:t>
              </w:r>
            </w:hyperlink>
          </w:p>
        </w:tc>
        <w:tc>
          <w:tcPr>
            <w:tcW w:w="4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Agent (incorporated herein by reference to Exhibit 10.1 of the Company’s Current Report on Form 8-K (File No. 000-20797) filed</w:t>
              </w:r>
            </w:hyperlink>
          </w:p>
        </w:tc>
        <w:tc>
          <w:tcPr>
            <w:tcW w:w="48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September 20, 2021)</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7"/>
                <w:szCs w:val="17"/>
                <w:color w:val="auto"/>
              </w:rPr>
            </w:pPr>
          </w:p>
        </w:tc>
        <w:tc>
          <w:tcPr>
            <w:tcW w:w="9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37">
              <w:r>
                <w:rPr>
                  <w:rFonts w:ascii="Arial" w:cs="Arial" w:eastAsia="Arial" w:hAnsi="Arial"/>
                  <w:sz w:val="18"/>
                  <w:szCs w:val="18"/>
                  <w:color w:val="0000EE"/>
                  <w:w w:val="89"/>
                </w:rPr>
                <w:t>Credit Agreement, dated as of September 14, 2021 by and among Rush Enterprises, Inc., the subsidiaries of Rush party thereto as</w:t>
              </w:r>
            </w:hyperlink>
          </w:p>
        </w:tc>
        <w:tc>
          <w:tcPr>
            <w:tcW w:w="5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borrowers, the Lenders signatory thereto and Wells Fargo Bank, National Association, as Administrative Agent (incorporated herein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reference to Exhibit 10.2 of the Company’s Current Report on Form 8-K (File No. 000-20797) filed September 20, 2021)</w:t>
              </w:r>
            </w:hyperlink>
          </w:p>
        </w:tc>
        <w:tc>
          <w:tcPr>
            <w:tcW w:w="14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60" w:type="dxa"/>
            <w:vAlign w:val="bottom"/>
            <w:gridSpan w:val="6"/>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Collateral Agreement, dated as of September 14, 2021, executed by Rush Enterprises, Inc. and the subsidiaries of Rush party thereto as</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38">
              <w:r>
                <w:rPr>
                  <w:rFonts w:ascii="Arial" w:cs="Arial" w:eastAsia="Arial" w:hAnsi="Arial"/>
                  <w:sz w:val="18"/>
                  <w:szCs w:val="18"/>
                  <w:color w:val="0000EE"/>
                  <w:w w:val="93"/>
                </w:rPr>
                <w:t>borrowers in favor of Wells Fargo Bank, National Association, as Administrative Agent (incorporated herein by reference to Exhibit</w:t>
              </w:r>
            </w:hyperlink>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of the Company’s Current Report on Form 8-K (File No. 000-20797) filed September 20, 2021)</w:t>
              </w:r>
            </w:hyperlink>
          </w:p>
        </w:tc>
        <w:tc>
          <w:tcPr>
            <w:tcW w:w="2260" w:type="dxa"/>
            <w:vAlign w:val="bottom"/>
            <w:tcBorders>
              <w:top w:val="single" w:sz="8" w:color="0000EE"/>
            </w:tcBorders>
            <w:gridSpan w:val="6"/>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Guaranty Agreement, dated as of September 14, 2021, executed by Rush Enterprises, Inc. in favor of Wells Fargo Bank, National</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300" w:type="dxa"/>
            <w:vAlign w:val="bottom"/>
            <w:gridSpan w:val="8"/>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8"/>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Association, as Administrative Agent (incorporated herein by reference to Exhibit 10.4 of the Company’s Current Report on Form 8-K</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(File No. 000-20797) filed September 20, 2021)</w:t>
              </w:r>
            </w:hyperlink>
          </w:p>
        </w:tc>
        <w:tc>
          <w:tcPr>
            <w:tcW w:w="6240" w:type="dxa"/>
            <w:vAlign w:val="bottom"/>
            <w:tcBorders>
              <w:top w:val="single" w:sz="8" w:color="0000EE"/>
            </w:tcBorders>
            <w:gridSpan w:val="12"/>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80"/>
        </w:trPr>
        <w:tc>
          <w:tcPr>
            <w:tcW w:w="1140" w:type="dxa"/>
            <w:vAlign w:val="bottom"/>
          </w:tcPr>
          <w:p>
            <w:pPr>
              <w:spacing w:after="0"/>
              <w:rPr>
                <w:sz w:val="24"/>
                <w:szCs w:val="24"/>
                <w:color w:val="auto"/>
              </w:rPr>
            </w:pPr>
          </w:p>
        </w:tc>
        <w:tc>
          <w:tcPr>
            <w:tcW w:w="6020" w:type="dxa"/>
            <w:vAlign w:val="bottom"/>
            <w:gridSpan w:val="5"/>
          </w:tcPr>
          <w:p>
            <w:pPr>
              <w:jc w:val="right"/>
              <w:ind w:right="14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10.6</w:t>
            </w:r>
          </w:p>
        </w:tc>
        <w:tc>
          <w:tcPr>
            <w:tcW w:w="9480" w:type="dxa"/>
            <w:vAlign w:val="bottom"/>
            <w:tcBorders>
              <w:bottom w:val="single" w:sz="8" w:color="0000EE"/>
            </w:tcBorders>
            <w:gridSpan w:val="6"/>
          </w:tcPr>
          <w:p>
            <w:pPr>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Amended and Restated Inventory Financing and Purchase Money Security Agreement, dated as of October 1, 2021 by and between</w:t>
              </w:r>
            </w:hyperlink>
          </w:p>
        </w:tc>
        <w:tc>
          <w:tcPr>
            <w:tcW w:w="4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Rush Truck Leasing, Inc. and PACCAR Leasing Company (incorporated herein by reference to Exhibit 10.1 of the Company’s Current</w:t>
              </w:r>
            </w:hyperlink>
          </w:p>
        </w:tc>
        <w:tc>
          <w:tcPr>
            <w:tcW w:w="16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0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Report on Form 8-K (File No. 000-20797) filed October 7, 2021)</w:t>
              </w:r>
            </w:hyperlink>
          </w:p>
        </w:tc>
        <w:tc>
          <w:tcPr>
            <w:tcW w:w="5180" w:type="dxa"/>
            <w:vAlign w:val="bottom"/>
            <w:gridSpan w:val="11"/>
          </w:tcPr>
          <w:p>
            <w:pPr>
              <w:spacing w:after="0"/>
              <w:rPr>
                <w:sz w:val="17"/>
                <w:szCs w:val="17"/>
                <w:color w:val="auto"/>
              </w:rPr>
            </w:pPr>
          </w:p>
        </w:tc>
      </w:tr>
      <w:tr>
        <w:trPr>
          <w:trHeight w:val="196"/>
        </w:trPr>
        <w:tc>
          <w:tcPr>
            <w:tcW w:w="136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10.7</w:t>
            </w:r>
          </w:p>
        </w:tc>
        <w:tc>
          <w:tcPr>
            <w:tcW w:w="9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Promissory Note dated October 1, 2021 issued by Rush Truck Leasing, Inc. in favor of PACCAR Leasing Company (incorporated herein</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6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by reference to Exhibit 10.2 of the Company’s Current Report on Form 8-K (File No. 000-20797) filed October 7, 2021)</w:t>
              </w:r>
            </w:hyperlink>
          </w:p>
        </w:tc>
        <w:tc>
          <w:tcPr>
            <w:tcW w:w="1200" w:type="dxa"/>
            <w:vAlign w:val="bottom"/>
            <w:gridSpan w:val="10"/>
          </w:tcPr>
          <w:p>
            <w:pPr>
              <w:spacing w:after="0"/>
              <w:rPr>
                <w:sz w:val="17"/>
                <w:szCs w:val="17"/>
                <w:color w:val="auto"/>
              </w:rPr>
            </w:pPr>
          </w:p>
        </w:tc>
      </w:tr>
      <w:tr>
        <w:trPr>
          <w:trHeight w:val="196"/>
        </w:trPr>
        <w:tc>
          <w:tcPr>
            <w:tcW w:w="136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10.8</w:t>
            </w:r>
          </w:p>
        </w:tc>
        <w:tc>
          <w:tcPr>
            <w:tcW w:w="96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Corporate Guarantee dated November 1, 2002, issued by Rush Enterprises, Inc. in favor of PACCAR Leasing Company (incorporated</w:t>
              </w:r>
            </w:hyperlink>
          </w:p>
        </w:tc>
        <w:tc>
          <w:tcPr>
            <w:tcW w:w="2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2"/>
          </w:tcPr>
          <w:p>
            <w:pPr>
              <w:spacing w:after="0" w:line="196" w:lineRule="exact"/>
              <w:rPr>
                <w:rFonts w:ascii="Arial" w:cs="Arial" w:eastAsia="Arial" w:hAnsi="Arial"/>
                <w:sz w:val="18"/>
                <w:szCs w:val="18"/>
                <w:color w:val="0000EE"/>
                <w:w w:val="98"/>
              </w:rPr>
            </w:pPr>
            <w:hyperlink r:id="rId42">
              <w:r>
                <w:rPr>
                  <w:rFonts w:ascii="Arial" w:cs="Arial" w:eastAsia="Arial" w:hAnsi="Arial"/>
                  <w:sz w:val="18"/>
                  <w:szCs w:val="18"/>
                  <w:color w:val="0000EE"/>
                  <w:w w:val="98"/>
                </w:rPr>
                <w:t>herein by reference to Exhibit 10.3 of the Company’s Current Report on Form 8-K (File No. 000-20797) filed October 7, 2021)</w:t>
              </w:r>
            </w:hyperlink>
          </w:p>
        </w:tc>
      </w:tr>
      <w:tr>
        <w:trPr>
          <w:trHeight w:val="20"/>
        </w:trPr>
        <w:tc>
          <w:tcPr>
            <w:tcW w:w="1360" w:type="dxa"/>
            <w:vAlign w:val="bottom"/>
          </w:tcPr>
          <w:p>
            <w:pPr>
              <w:spacing w:after="0" w:line="20" w:lineRule="exact"/>
              <w:rPr>
                <w:sz w:val="1"/>
                <w:szCs w:val="1"/>
                <w:color w:val="auto"/>
              </w:rPr>
            </w:pPr>
          </w:p>
        </w:tc>
        <w:tc>
          <w:tcPr>
            <w:tcW w:w="9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36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5"/>
              </w:rPr>
              <w:t>31.1*</w:t>
            </w:r>
          </w:p>
        </w:tc>
        <w:tc>
          <w:tcPr>
            <w:tcW w:w="96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CEO pursuant to Rules 13a-14(a) and 15d-14(a) adopted pursuant to Section 302 of the Sarbanes-Oxley Act of 2002.</w:t>
              </w:r>
            </w:hyperlink>
          </w:p>
        </w:tc>
        <w:tc>
          <w:tcPr>
            <w:tcW w:w="280" w:type="dxa"/>
            <w:vAlign w:val="bottom"/>
            <w:gridSpan w:val="4"/>
          </w:tcPr>
          <w:p>
            <w:pPr>
              <w:spacing w:after="0"/>
              <w:rPr>
                <w:sz w:val="17"/>
                <w:szCs w:val="17"/>
                <w:color w:val="auto"/>
              </w:rPr>
            </w:pPr>
          </w:p>
        </w:tc>
      </w:tr>
      <w:tr>
        <w:trPr>
          <w:trHeight w:val="196"/>
        </w:trPr>
        <w:tc>
          <w:tcPr>
            <w:tcW w:w="136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5"/>
              </w:rPr>
              <w:t>31.2*</w:t>
            </w:r>
          </w:p>
        </w:tc>
        <w:tc>
          <w:tcPr>
            <w:tcW w:w="9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CFO pursuant to Rules 13a-14(a) and 15d-14(a) adopted pursuant to Section 302 of the Sarbanes-Oxley Act of 2002.</w:t>
              </w:r>
            </w:hyperlink>
          </w:p>
        </w:tc>
        <w:tc>
          <w:tcPr>
            <w:tcW w:w="300" w:type="dxa"/>
            <w:vAlign w:val="bottom"/>
            <w:gridSpan w:val="5"/>
          </w:tcPr>
          <w:p>
            <w:pPr>
              <w:spacing w:after="0"/>
              <w:rPr>
                <w:sz w:val="17"/>
                <w:szCs w:val="17"/>
                <w:color w:val="auto"/>
              </w:rPr>
            </w:pPr>
          </w:p>
        </w:tc>
      </w:tr>
      <w:tr>
        <w:trPr>
          <w:trHeight w:val="196"/>
        </w:trPr>
        <w:tc>
          <w:tcPr>
            <w:tcW w:w="1360" w:type="dxa"/>
            <w:vAlign w:val="bottom"/>
          </w:tcPr>
          <w:p>
            <w:pPr>
              <w:jc w:val="center"/>
              <w:ind w:right="130"/>
              <w:spacing w:after="0" w:line="196" w:lineRule="exact"/>
              <w:rPr>
                <w:sz w:val="20"/>
                <w:szCs w:val="20"/>
                <w:color w:val="auto"/>
              </w:rPr>
            </w:pPr>
            <w:r>
              <w:rPr>
                <w:rFonts w:ascii="Arial" w:cs="Arial" w:eastAsia="Arial" w:hAnsi="Arial"/>
                <w:sz w:val="18"/>
                <w:szCs w:val="18"/>
                <w:color w:val="auto"/>
              </w:rPr>
              <w:t>32.1**</w:t>
            </w:r>
          </w:p>
        </w:tc>
        <w:tc>
          <w:tcPr>
            <w:tcW w:w="92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Certification of CEO pursuant to 18 U.S.C. Section 1350 as adopted pursuant to Section 906 of the Sarbanes-Oxley Act of 2002.</w:t>
              </w:r>
            </w:hyperlink>
          </w:p>
        </w:tc>
        <w:tc>
          <w:tcPr>
            <w:tcW w:w="600" w:type="dxa"/>
            <w:vAlign w:val="bottom"/>
            <w:gridSpan w:val="7"/>
          </w:tcPr>
          <w:p>
            <w:pPr>
              <w:spacing w:after="0"/>
              <w:rPr>
                <w:sz w:val="17"/>
                <w:szCs w:val="17"/>
                <w:color w:val="auto"/>
              </w:rPr>
            </w:pPr>
          </w:p>
        </w:tc>
      </w:tr>
      <w:tr>
        <w:trPr>
          <w:trHeight w:val="196"/>
        </w:trPr>
        <w:tc>
          <w:tcPr>
            <w:tcW w:w="1360" w:type="dxa"/>
            <w:vAlign w:val="bottom"/>
          </w:tcPr>
          <w:p>
            <w:pPr>
              <w:jc w:val="center"/>
              <w:ind w:right="130"/>
              <w:spacing w:after="0" w:line="196" w:lineRule="exact"/>
              <w:rPr>
                <w:sz w:val="20"/>
                <w:szCs w:val="20"/>
                <w:color w:val="auto"/>
              </w:rPr>
            </w:pPr>
            <w:r>
              <w:rPr>
                <w:rFonts w:ascii="Arial" w:cs="Arial" w:eastAsia="Arial" w:hAnsi="Arial"/>
                <w:sz w:val="18"/>
                <w:szCs w:val="18"/>
                <w:color w:val="auto"/>
              </w:rPr>
              <w:t>32.2**</w:t>
            </w:r>
          </w:p>
        </w:tc>
        <w:tc>
          <w:tcPr>
            <w:tcW w:w="92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CFO pursuant to 18 U.S.C. Section 1350 as adopted pursuant to Section 906 of the Sarbanes-Oxley Act of 2002.</w:t>
              </w:r>
            </w:hyperlink>
          </w:p>
        </w:tc>
        <w:tc>
          <w:tcPr>
            <w:tcW w:w="620" w:type="dxa"/>
            <w:vAlign w:val="bottom"/>
            <w:gridSpan w:val="8"/>
          </w:tcPr>
          <w:p>
            <w:pPr>
              <w:spacing w:after="0"/>
              <w:rPr>
                <w:sz w:val="17"/>
                <w:szCs w:val="17"/>
                <w:color w:val="auto"/>
              </w:rPr>
            </w:pP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16"/>
        </w:trPr>
        <w:tc>
          <w:tcPr>
            <w:tcW w:w="1360" w:type="dxa"/>
            <w:vAlign w:val="bottom"/>
          </w:tcPr>
          <w:p>
            <w:pPr>
              <w:spacing w:after="0"/>
              <w:rPr>
                <w:sz w:val="18"/>
                <w:szCs w:val="18"/>
                <w:color w:val="auto"/>
              </w:rPr>
            </w:pPr>
          </w:p>
        </w:tc>
        <w:tc>
          <w:tcPr>
            <w:tcW w:w="988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gridSpan w:val="12"/>
          </w:tcPr>
          <w:p>
            <w:pPr>
              <w:spacing w:after="0"/>
              <w:rPr>
                <w:sz w:val="20"/>
                <w:szCs w:val="20"/>
                <w:color w:val="auto"/>
              </w:rPr>
            </w:pPr>
            <w:r>
              <w:rPr>
                <w:rFonts w:ascii="Arial" w:cs="Arial" w:eastAsia="Arial" w:hAnsi="Arial"/>
                <w:sz w:val="18"/>
                <w:szCs w:val="18"/>
                <w:color w:val="auto"/>
              </w:rPr>
              <w:t>Cover Page Interactive Data File (embedded within the Inline XBRL and contained in Exhibit 101)</w:t>
            </w:r>
          </w:p>
        </w:tc>
      </w:tr>
    </w:tbl>
    <w:p>
      <w:pPr>
        <w:spacing w:after="0" w:line="20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RUSH ENTERPRISES, INC.</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November 5,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W.M. “RUSTY” RUSH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W.M. “Rusty” Rush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ectPr>
          <w:pgSz w:w="11900" w:h="16838" w:orient="portrait"/>
          <w:cols w:equalWidth="0" w:num="4">
            <w:col w:w="400" w:space="400"/>
            <w:col w:w="4120" w:space="720"/>
            <w:col w:w="260" w:space="80"/>
            <w:col w:w="5260"/>
          </w:cols>
          <w:pgMar w:left="320" w:top="580" w:right="3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November 5, 2021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STEVEN L. KELLER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Keller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ectPr>
          <w:pgSz w:w="11900" w:h="16838" w:orient="portrait"/>
          <w:cols w:equalWidth="0" w:num="4">
            <w:col w:w="400" w:space="400"/>
            <w:col w:w="4120" w:space="720"/>
            <w:col w:w="260" w:space="80"/>
            <w:col w:w="5260"/>
          </w:cols>
          <w:pgMar w:left="320" w:top="580" w:right="3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580" w:right="3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51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1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5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94"/>
        <w:spacing w:after="0" w:line="263" w:lineRule="auto"/>
        <w:tabs>
          <w:tab w:leader="none" w:pos="1127"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94"/>
        <w:spacing w:after="0" w:line="263" w:lineRule="auto"/>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94"/>
        <w:spacing w:after="0" w:line="308" w:lineRule="auto"/>
        <w:tabs>
          <w:tab w:leader="none" w:pos="12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3" w:lineRule="auto"/>
        <w:tabs>
          <w:tab w:leader="none" w:pos="118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45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494"/>
        <w:spacing w:after="0" w:line="277" w:lineRule="auto"/>
        <w:tabs>
          <w:tab w:leader="none" w:pos="135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124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November 5, 2021</w:t>
            </w:r>
          </w:p>
        </w:tc>
        <w:tc>
          <w:tcPr>
            <w:tcW w:w="5040" w:type="dxa"/>
            <w:vAlign w:val="bottom"/>
            <w:gridSpan w:val="3"/>
          </w:tcPr>
          <w:p>
            <w:pPr>
              <w:ind w:left="1920"/>
              <w:spacing w:after="0"/>
              <w:rPr>
                <w:sz w:val="20"/>
                <w:szCs w:val="20"/>
                <w:color w:val="auto"/>
              </w:rPr>
            </w:pPr>
            <w:r>
              <w:rPr>
                <w:rFonts w:ascii="Arial" w:cs="Arial" w:eastAsia="Arial" w:hAnsi="Arial"/>
                <w:sz w:val="18"/>
                <w:szCs w:val="18"/>
                <w:color w:val="auto"/>
              </w:rPr>
              <w:t>By: /S/ W.M. “RUSTY” RUSH</w:t>
            </w:r>
          </w:p>
        </w:tc>
      </w:tr>
      <w:tr>
        <w:trPr>
          <w:trHeight w:val="222"/>
        </w:trPr>
        <w:tc>
          <w:tcPr>
            <w:tcW w:w="3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2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33" w:name="page34"/>
    <w:bookmarkEnd w:id="33"/>
    <w:p>
      <w:pPr>
        <w:ind w:left="10160"/>
        <w:spacing w:after="0"/>
        <w:rPr>
          <w:sz w:val="20"/>
          <w:szCs w:val="20"/>
          <w:color w:val="auto"/>
        </w:rPr>
      </w:pPr>
      <w:r>
        <w:rPr>
          <w:rFonts w:ascii="Arial" w:cs="Arial" w:eastAsia="Arial" w:hAnsi="Arial"/>
          <w:sz w:val="17"/>
          <w:szCs w:val="17"/>
          <w:u w:val="single" w:color="auto"/>
          <w:color w:val="auto"/>
        </w:rPr>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55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5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53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94"/>
        <w:spacing w:after="0" w:line="263" w:lineRule="auto"/>
        <w:tabs>
          <w:tab w:leader="none" w:pos="112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94"/>
        <w:spacing w:after="0" w:line="263" w:lineRule="auto"/>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94"/>
        <w:spacing w:after="0" w:line="308" w:lineRule="auto"/>
        <w:tabs>
          <w:tab w:leader="none" w:pos="1244"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3" w:lineRule="auto"/>
        <w:tabs>
          <w:tab w:leader="none" w:pos="118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8" w:lineRule="auto"/>
        <w:tabs>
          <w:tab w:leader="none" w:pos="55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494"/>
        <w:spacing w:after="0" w:line="277" w:lineRule="auto"/>
        <w:tabs>
          <w:tab w:leader="none" w:pos="1347"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94"/>
        <w:spacing w:after="0" w:line="277" w:lineRule="auto"/>
        <w:tabs>
          <w:tab w:leader="none" w:pos="123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Date: November 5, 2021</w:t>
            </w:r>
          </w:p>
        </w:tc>
        <w:tc>
          <w:tcPr>
            <w:tcW w:w="5480" w:type="dxa"/>
            <w:vAlign w:val="bottom"/>
            <w:gridSpan w:val="3"/>
          </w:tcPr>
          <w:p>
            <w:pPr>
              <w:ind w:left="1920"/>
              <w:spacing w:after="0"/>
              <w:rPr>
                <w:sz w:val="20"/>
                <w:szCs w:val="20"/>
                <w:color w:val="auto"/>
              </w:rPr>
            </w:pPr>
            <w:r>
              <w:rPr>
                <w:rFonts w:ascii="Arial" w:cs="Arial" w:eastAsia="Arial" w:hAnsi="Arial"/>
                <w:sz w:val="18"/>
                <w:szCs w:val="18"/>
                <w:color w:val="auto"/>
              </w:rPr>
              <w:t>By: /S/ STEVEN L. KELLER</w:t>
            </w:r>
          </w:p>
        </w:tc>
      </w:tr>
      <w:tr>
        <w:trPr>
          <w:trHeight w:val="222"/>
        </w:trPr>
        <w:tc>
          <w:tcPr>
            <w:tcW w:w="3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September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9"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W.M. “RUSTY” RUSH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W.M. “Rusty” Rush</w:t>
      </w:r>
    </w:p>
    <w:p>
      <w:pPr>
        <w:spacing w:after="0" w:line="9"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5, 2021</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-10160</wp:posOffset>
            </wp:positionV>
            <wp:extent cx="14719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47193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Treasurer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32" Type="http://schemas.openxmlformats.org/officeDocument/2006/relationships/hyperlink" Target="http://www.sec.gov/Archives/edgar/data/1012019/000110465908051789/a08-18770_1ex3d1.htm" TargetMode="External"/><Relationship Id="rId33" Type="http://schemas.openxmlformats.org/officeDocument/2006/relationships/hyperlink" Target="http://www.sec.gov/Archives/edgar/data/1012019/000143774913006455/rusha20130517_8kex3-1.htm" TargetMode="External"/><Relationship Id="rId34" Type="http://schemas.openxmlformats.org/officeDocument/2006/relationships/hyperlink" Target="http://www.sec.gov/ix?doc=/Archives/edgar/data/1012019/000143774921013172/rusha20210524_8k.htm" TargetMode="External"/><Relationship Id="rId35" Type="http://schemas.openxmlformats.org/officeDocument/2006/relationships/hyperlink" Target="http://www.sec.gov/Archives/edgar/data/1012019/000143774921022038/ex_283593.htm" TargetMode="External"/><Relationship Id="rId36" Type="http://schemas.openxmlformats.org/officeDocument/2006/relationships/hyperlink" Target="http://www.sec.gov/Archives/edgar/data/1012019/000143774921022435/ex_285039.htm" TargetMode="External"/><Relationship Id="rId37" Type="http://schemas.openxmlformats.org/officeDocument/2006/relationships/hyperlink" Target="http://www.sec.gov/Archives/edgar/data/1012019/000143774921022435/ex_285040.htm" TargetMode="External"/><Relationship Id="rId38" Type="http://schemas.openxmlformats.org/officeDocument/2006/relationships/hyperlink" Target="http://www.sec.gov/Archives/edgar/data/1012019/000143774921022435/ex_285041.htm" TargetMode="External"/><Relationship Id="rId39" Type="http://schemas.openxmlformats.org/officeDocument/2006/relationships/hyperlink" Target="http://www.sec.gov/Archives/edgar/data/1012019/000143774921022435/ex_285042.htm" TargetMode="External"/><Relationship Id="rId40" Type="http://schemas.openxmlformats.org/officeDocument/2006/relationships/hyperlink" Target="http://www.sec.gov/Archives/edgar/data/1012019/000143774921023441/ex_289969.htm" TargetMode="External"/><Relationship Id="rId41" Type="http://schemas.openxmlformats.org/officeDocument/2006/relationships/hyperlink" Target="http://www.sec.gov/Archives/edgar/data/1012019/000143774921023441/ex_289970.htm" TargetMode="External"/><Relationship Id="rId42" Type="http://schemas.openxmlformats.org/officeDocument/2006/relationships/hyperlink" Target="http://www.sec.gov/Archives/edgar/data/1012019/000143774921023441/ex_2900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2021-11-05T15:18:16Z</dcterms:created>
  <dcterms:modified xsi:type="dcterms:W3CDTF">2021-11-05T15:18:16Z</dcterms:modified>
</cp:coreProperties>
</file>