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0-20797</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4980" w:type="dxa"/>
            <w:vAlign w:val="bottom"/>
          </w:tcPr>
          <w:p>
            <w:pPr>
              <w:jc w:val="center"/>
              <w:ind w:right="570"/>
              <w:spacing w:after="0"/>
              <w:rPr>
                <w:sz w:val="20"/>
                <w:szCs w:val="20"/>
                <w:color w:val="auto"/>
              </w:rPr>
            </w:pPr>
            <w:r>
              <w:rPr>
                <w:rFonts w:ascii="Arial" w:cs="Arial" w:eastAsia="Arial" w:hAnsi="Arial"/>
                <w:sz w:val="18"/>
                <w:szCs w:val="18"/>
                <w:b w:val="1"/>
                <w:bCs w:val="1"/>
                <w:color w:val="auto"/>
                <w:w w:val="86"/>
              </w:rPr>
              <w:t>Texas</w:t>
            </w:r>
          </w:p>
        </w:tc>
        <w:tc>
          <w:tcPr>
            <w:tcW w:w="3280" w:type="dxa"/>
            <w:vAlign w:val="bottom"/>
          </w:tcPr>
          <w:p>
            <w:pPr>
              <w:jc w:val="right"/>
              <w:ind w:right="77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4980" w:type="dxa"/>
            <w:vAlign w:val="bottom"/>
          </w:tcPr>
          <w:p>
            <w:pPr>
              <w:jc w:val="center"/>
              <w:ind w:right="5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80" w:type="dxa"/>
            <w:vAlign w:val="bottom"/>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98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555 IH 35 South, New Braunfels, TX</w:t>
            </w:r>
          </w:p>
        </w:tc>
        <w:tc>
          <w:tcPr>
            <w:tcW w:w="3280" w:type="dxa"/>
            <w:vAlign w:val="bottom"/>
          </w:tcPr>
          <w:p>
            <w:pPr>
              <w:jc w:val="right"/>
              <w:ind w:right="990"/>
              <w:spacing w:after="0"/>
              <w:rPr>
                <w:sz w:val="20"/>
                <w:szCs w:val="20"/>
                <w:color w:val="auto"/>
              </w:rPr>
            </w:pPr>
            <w:r>
              <w:rPr>
                <w:rFonts w:ascii="Arial" w:cs="Arial" w:eastAsia="Arial" w:hAnsi="Arial"/>
                <w:sz w:val="18"/>
                <w:szCs w:val="18"/>
                <w:b w:val="1"/>
                <w:bCs w:val="1"/>
                <w:color w:val="auto"/>
              </w:rPr>
              <w:t>78130</w:t>
            </w:r>
          </w:p>
        </w:tc>
      </w:tr>
      <w:tr>
        <w:trPr>
          <w:trHeight w:val="230"/>
        </w:trPr>
        <w:tc>
          <w:tcPr>
            <w:tcW w:w="498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280" w:type="dxa"/>
            <w:vAlign w:val="bottom"/>
          </w:tcPr>
          <w:p>
            <w:pPr>
              <w:jc w:val="center"/>
              <w:ind w:left="59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626-5200</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Class A and Class B Common Stock, $.01 par value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 of Class)</w:t>
      </w:r>
    </w:p>
    <w:p>
      <w:pPr>
        <w:spacing w:after="0" w:line="170"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8"/>
          <w:szCs w:val="18"/>
          <w:color w:val="auto"/>
        </w:rPr>
        <w:t>☑</w:t>
      </w:r>
    </w:p>
    <w:p>
      <w:pPr>
        <w:spacing w:after="0" w:line="156"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2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Arial" w:cs="Arial" w:eastAsia="Arial" w:hAnsi="Arial"/>
                <w:sz w:val="18"/>
                <w:szCs w:val="18"/>
                <w:color w:val="auto"/>
                <w:w w:val="97"/>
              </w:rPr>
              <w:t>Large accelerated filer o</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300" w:type="dxa"/>
            <w:vAlign w:val="bottom"/>
          </w:tcPr>
          <w:p>
            <w:pPr>
              <w:ind w:left="1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2009 was approximately $370,939,488 based upon the last sales price on June 30, 2009 on The NASDAQ Global Select Market</w:t>
      </w:r>
      <w:r>
        <w:rPr>
          <w:rFonts w:ascii="Arial" w:cs="Arial" w:eastAsia="Arial" w:hAnsi="Arial"/>
          <w:sz w:val="15"/>
          <w:szCs w:val="15"/>
          <w:color w:val="auto"/>
        </w:rPr>
        <w:t>SM</w:t>
      </w:r>
      <w:r>
        <w:rPr>
          <w:rFonts w:ascii="Arial" w:cs="Arial" w:eastAsia="Arial" w:hAnsi="Arial"/>
          <w:sz w:val="18"/>
          <w:szCs w:val="18"/>
          <w:color w:val="auto"/>
        </w:rPr>
        <w:t xml:space="preserve"> of $11.65 for the registrant’s Class A common stock and $9.91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6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registrant had 26,471,733 shares Class A common stock and 10,690,127 shares of Class B common stock outstanding on March 8, 2010.</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0219"/>
          </w:cols>
          <w:pgMar w:left="240" w:top="122" w:right="1440" w:bottom="0" w:gutter="0" w:footer="0" w:header="0"/>
        </w:sectPr>
      </w:pPr>
    </w:p>
    <w:bookmarkStart w:id="2" w:name="page3"/>
    <w:bookmarkEnd w:id="2"/>
    <w:p>
      <w:pPr>
        <w:jc w:val="both"/>
        <w:ind w:right="559"/>
        <w:spacing w:after="0" w:line="266" w:lineRule="auto"/>
        <w:rPr>
          <w:sz w:val="20"/>
          <w:szCs w:val="20"/>
          <w:color w:val="auto"/>
        </w:rPr>
      </w:pPr>
      <w:r>
        <w:rPr>
          <w:rFonts w:ascii="Arial" w:cs="Arial" w:eastAsia="Arial" w:hAnsi="Arial"/>
          <w:sz w:val="18"/>
          <w:szCs w:val="18"/>
          <w:b w:val="1"/>
          <w:bCs w:val="1"/>
          <w:color w:val="auto"/>
        </w:rPr>
        <w:t>Portions of registrant’s definitive proxy statement for the registrant’s 2010 Annual Meeting of Shareholders, to be filed with the Securities and Exchange Commission not later than April 30, 2010,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59258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790575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60" w:type="dxa"/>
            <w:vAlign w:val="bottom"/>
            <w:gridSpan w:val="17"/>
          </w:tcPr>
          <w:p>
            <w:pPr>
              <w:jc w:val="center"/>
              <w:ind w:right="2380"/>
              <w:spacing w:after="0"/>
              <w:rPr>
                <w:sz w:val="20"/>
                <w:szCs w:val="20"/>
                <w:color w:val="auto"/>
              </w:rPr>
            </w:pPr>
            <w:r>
              <w:rPr>
                <w:rFonts w:ascii="Arial" w:cs="Arial" w:eastAsia="Arial" w:hAnsi="Arial"/>
                <w:sz w:val="18"/>
                <w:szCs w:val="18"/>
                <w:b w:val="1"/>
                <w:bCs w:val="1"/>
                <w:color w:val="auto"/>
                <w:w w:val="98"/>
              </w:rPr>
              <w:t>RUSH ENTERPRISES, INC.</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15"/>
          </w:tcPr>
          <w:p>
            <w:pPr>
              <w:jc w:val="center"/>
              <w:ind w:right="2740"/>
              <w:spacing w:after="0"/>
              <w:rPr>
                <w:sz w:val="20"/>
                <w:szCs w:val="20"/>
                <w:color w:val="auto"/>
              </w:rPr>
            </w:pPr>
            <w:r>
              <w:rPr>
                <w:rFonts w:ascii="Arial" w:cs="Arial" w:eastAsia="Arial" w:hAnsi="Arial"/>
                <w:sz w:val="18"/>
                <w:szCs w:val="18"/>
                <w:b w:val="1"/>
                <w:bCs w:val="1"/>
                <w:color w:val="auto"/>
                <w:w w:val="93"/>
              </w:rPr>
              <w:t>Index to Form 10-K</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60" w:type="dxa"/>
            <w:vAlign w:val="bottom"/>
            <w:gridSpan w:val="17"/>
          </w:tcPr>
          <w:p>
            <w:pPr>
              <w:jc w:val="center"/>
              <w:ind w:right="2360"/>
              <w:spacing w:after="0"/>
              <w:rPr>
                <w:sz w:val="20"/>
                <w:szCs w:val="20"/>
                <w:color w:val="auto"/>
              </w:rPr>
            </w:pPr>
            <w:r>
              <w:rPr>
                <w:rFonts w:ascii="Arial" w:cs="Arial" w:eastAsia="Arial" w:hAnsi="Arial"/>
                <w:sz w:val="18"/>
                <w:szCs w:val="18"/>
                <w:b w:val="1"/>
                <w:bCs w:val="1"/>
                <w:color w:val="auto"/>
                <w:w w:val="89"/>
              </w:rPr>
              <w:t>Year ended December 31, 2009</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3380" w:type="dxa"/>
            <w:vAlign w:val="bottom"/>
            <w:gridSpan w:val="9"/>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line="20" w:lineRule="exact"/>
              <w:rPr>
                <w:sz w:val="1"/>
                <w:szCs w:val="1"/>
                <w:color w:val="auto"/>
              </w:rPr>
            </w:pPr>
          </w:p>
        </w:tc>
      </w:tr>
      <w:tr>
        <w:trPr>
          <w:trHeight w:val="412"/>
        </w:trPr>
        <w:tc>
          <w:tcPr>
            <w:tcW w:w="15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1A Risk Factors</w:t>
              </w:r>
            </w:hyperlink>
          </w:p>
        </w:tc>
        <w:tc>
          <w:tcPr>
            <w:tcW w:w="6680" w:type="dxa"/>
            <w:vAlign w:val="bottom"/>
            <w:gridSpan w:val="24"/>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1B Unresolved Staff Comments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12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5560" w:type="dxa"/>
            <w:vAlign w:val="bottom"/>
            <w:gridSpan w:val="1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Legal Proceedings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3340" w:type="dxa"/>
            <w:vAlign w:val="bottom"/>
            <w:gridSpan w:val="8"/>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4 Market for Registrant’s Common Equity, Related Shareholder Matters and Issuer Purchases of Equity</w:t>
              </w:r>
            </w:hyperlink>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gridSpan w:val="26"/>
          </w:tcPr>
          <w:p>
            <w:pPr>
              <w:jc w:val="right"/>
              <w:ind w:right="6920"/>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Securities</w:t>
              </w:r>
            </w:hyperlink>
          </w:p>
        </w:tc>
        <w:tc>
          <w:tcPr>
            <w:tcW w:w="400" w:type="dxa"/>
            <w:vAlign w:val="bottom"/>
            <w:gridSpan w:val="2"/>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line="20" w:lineRule="exact"/>
              <w:rPr>
                <w:sz w:val="1"/>
                <w:szCs w:val="1"/>
                <w:color w:val="auto"/>
              </w:rPr>
            </w:pPr>
          </w:p>
        </w:tc>
      </w:tr>
      <w:tr>
        <w:trPr>
          <w:trHeight w:val="412"/>
        </w:trPr>
        <w:tc>
          <w:tcPr>
            <w:tcW w:w="22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5 Selected Financial Data</w:t>
              </w:r>
            </w:hyperlink>
          </w:p>
        </w:tc>
        <w:tc>
          <w:tcPr>
            <w:tcW w:w="6000" w:type="dxa"/>
            <w:vAlign w:val="bottom"/>
            <w:gridSpan w:val="21"/>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12"/>
        </w:trPr>
        <w:tc>
          <w:tcPr>
            <w:tcW w:w="6960" w:type="dxa"/>
            <w:vAlign w:val="bottom"/>
            <w:tcBorders>
              <w:top w:val="single" w:sz="8" w:color="0000EE"/>
            </w:tcBorders>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6A Quantitative and Qualitative Disclosures about Market Risk</w:t>
              </w:r>
            </w:hyperlink>
          </w:p>
        </w:tc>
        <w:tc>
          <w:tcPr>
            <w:tcW w:w="1260" w:type="dxa"/>
            <w:vAlign w:val="bottom"/>
            <w:gridSpan w:val="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412"/>
        </w:trPr>
        <w:tc>
          <w:tcPr>
            <w:tcW w:w="3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7 Financial Statements and Supplementary Data</w:t>
              </w:r>
            </w:hyperlink>
          </w:p>
        </w:tc>
        <w:tc>
          <w:tcPr>
            <w:tcW w:w="1100" w:type="dxa"/>
            <w:vAlign w:val="bottom"/>
            <w:tcBorders>
              <w:top w:val="single" w:sz="8" w:color="0000EE"/>
            </w:tcBorders>
            <w:gridSpan w:val="10"/>
          </w:tcPr>
          <w:p>
            <w:pPr>
              <w:spacing w:after="0"/>
              <w:rPr>
                <w:sz w:val="24"/>
                <w:szCs w:val="24"/>
                <w:color w:val="auto"/>
              </w:rPr>
            </w:pPr>
          </w:p>
        </w:tc>
        <w:tc>
          <w:tcPr>
            <w:tcW w:w="328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8 Changes in and Disagreements with Accountants on Accounting and Financial Disclosure</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8A Controls and Procedures</w:t>
              </w:r>
            </w:hyperlink>
          </w:p>
        </w:tc>
        <w:tc>
          <w:tcPr>
            <w:tcW w:w="4560" w:type="dxa"/>
            <w:vAlign w:val="bottom"/>
            <w:tcBorders>
              <w:top w:val="single" w:sz="8" w:color="0000EE"/>
            </w:tcBorders>
            <w:gridSpan w:val="16"/>
          </w:tcPr>
          <w:p>
            <w:pPr>
              <w:spacing w:after="0"/>
              <w:rPr>
                <w:sz w:val="24"/>
                <w:szCs w:val="24"/>
                <w:color w:val="auto"/>
              </w:rPr>
            </w:pPr>
          </w:p>
        </w:tc>
        <w:tc>
          <w:tcPr>
            <w:tcW w:w="124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8B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13"/>
          </w:tcPr>
          <w:p>
            <w:pPr>
              <w:jc w:val="center"/>
              <w:ind w:right="312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1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Item 9 Directors and Executive Officers of the Registrant</w:t>
              </w:r>
            </w:hyperlink>
          </w:p>
        </w:tc>
        <w:tc>
          <w:tcPr>
            <w:tcW w:w="200" w:type="dxa"/>
            <w:vAlign w:val="bottom"/>
          </w:tcPr>
          <w:p>
            <w:pPr>
              <w:spacing w:after="0"/>
              <w:rPr>
                <w:sz w:val="24"/>
                <w:szCs w:val="24"/>
                <w:color w:val="auto"/>
              </w:rPr>
            </w:pPr>
          </w:p>
        </w:tc>
        <w:tc>
          <w:tcPr>
            <w:tcW w:w="600" w:type="dxa"/>
            <w:vAlign w:val="bottom"/>
            <w:tcBorders>
              <w:top w:val="single" w:sz="8" w:color="0000EE"/>
            </w:tcBorders>
            <w:gridSpan w:val="6"/>
          </w:tcPr>
          <w:p>
            <w:pPr>
              <w:spacing w:after="0"/>
              <w:rPr>
                <w:sz w:val="24"/>
                <w:szCs w:val="24"/>
                <w:color w:val="auto"/>
              </w:rPr>
            </w:pPr>
          </w:p>
        </w:tc>
        <w:tc>
          <w:tcPr>
            <w:tcW w:w="3300" w:type="dxa"/>
            <w:vAlign w:val="bottom"/>
            <w:gridSpan w:val="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Item 10 Executive Compensation</w:t>
              </w:r>
            </w:hyperlink>
          </w:p>
        </w:tc>
        <w:tc>
          <w:tcPr>
            <w:tcW w:w="5820" w:type="dxa"/>
            <w:vAlign w:val="bottom"/>
            <w:gridSpan w:val="2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788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Item 11 Security Ownership of Certain Beneficial Owners and Management and Related Shareholder Matters</w:t>
              </w:r>
            </w:hyperlink>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8220" w:type="dxa"/>
            <w:vAlign w:val="bottom"/>
            <w:gridSpan w:val="3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12 Certain Relationships and Related Transactions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4000" w:type="dxa"/>
            <w:vAlign w:val="bottom"/>
            <w:tcBorders>
              <w:top w:val="single" w:sz="8" w:color="0000EE"/>
            </w:tcBorders>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13 Principal Accountant Fees and Services</w:t>
              </w:r>
            </w:hyperlink>
          </w:p>
        </w:tc>
        <w:tc>
          <w:tcPr>
            <w:tcW w:w="4220" w:type="dxa"/>
            <w:vAlign w:val="bottom"/>
            <w:gridSpan w:val="1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1"/>
          </w:tcPr>
          <w:p>
            <w:pPr>
              <w:jc w:val="center"/>
              <w:ind w:right="332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IV</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14 Exhibits and Financial Statement Schedules</w:t>
              </w:r>
            </w:hyperlink>
          </w:p>
        </w:tc>
        <w:tc>
          <w:tcPr>
            <w:tcW w:w="580" w:type="dxa"/>
            <w:vAlign w:val="bottom"/>
            <w:gridSpan w:val="5"/>
          </w:tcPr>
          <w:p>
            <w:pPr>
              <w:spacing w:after="0"/>
              <w:rPr>
                <w:sz w:val="24"/>
                <w:szCs w:val="24"/>
                <w:color w:val="auto"/>
              </w:rPr>
            </w:pPr>
          </w:p>
        </w:tc>
        <w:tc>
          <w:tcPr>
            <w:tcW w:w="560" w:type="dxa"/>
            <w:vAlign w:val="bottom"/>
            <w:tcBorders>
              <w:top w:val="single" w:sz="8" w:color="0000EE"/>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80" w:type="dxa"/>
            <w:vAlign w:val="bottom"/>
            <w:gridSpan w:val="29"/>
          </w:tcPr>
          <w:p>
            <w:pPr>
              <w:jc w:val="right"/>
              <w:ind w:right="7320"/>
              <w:spacing w:after="0"/>
              <w:rPr>
                <w:sz w:val="20"/>
                <w:szCs w:val="20"/>
                <w:color w:val="auto"/>
              </w:rPr>
            </w:pPr>
            <w:r>
              <w:rPr>
                <w:rFonts w:ascii="Arial" w:cs="Arial" w:eastAsia="Arial" w:hAnsi="Arial"/>
                <w:sz w:val="18"/>
                <w:szCs w:val="18"/>
                <w:color w:val="0000EE"/>
                <w:w w:val="89"/>
              </w:rPr>
              <w:t>Exhibit 21.1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02"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7"/>
          <w:szCs w:val="17"/>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current beliefs of the Company’s management as well as assumptions made by and information currently available to the Company’s management. Use of the words “may,” “should,” “continue,” “plan,” “potential,” “anticipate,” “believe,” “estimate,” “expect,” “hopeful”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risks associated with the current recession and its impact on capital markets and liquidity, competitive factors, general economic conditions, cyclicality, market conditions in the new and used commercial vehicle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INCORPORATION BY REFERENCE</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10-K</w:t>
      </w:r>
    </w:p>
    <w:p>
      <w:pPr>
        <w:spacing w:after="0" w:line="189" w:lineRule="exact"/>
        <w:rPr>
          <w:sz w:val="20"/>
          <w:szCs w:val="20"/>
          <w:color w:val="auto"/>
        </w:rPr>
      </w:pPr>
    </w:p>
    <w:p>
      <w:pPr>
        <w:jc w:val="both"/>
        <w:ind w:left="340" w:right="559"/>
        <w:spacing w:after="0" w:line="18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Cummins Intellectual Property, Inc. Eaton is a registered trademark of Eaton Corporation. Arvin Meritor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Meritor Technology, Inc.</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Case is a registered trademark of Case Corporation. Komatsu</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Kabushiki Kaisha Komatsu Seisakusho Corporation Japan. The CIT Group</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CIT Group Holdings, Inc. JPMorgan Chase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w:t>
      </w: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References herein to “the Company,” “Rush Enterprises,” “Rush,” “we,” “our” or “us” mean Rush Enterprises, Inc., a Texas corporation, and its subsidiaries unless the context requires otherwise.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Access to Company Information</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Rush electronically files annual reports, quarterly reports, and other reports with the SEC. You may read and copy any of the materials that we have filed with the SEC at the SEC’s Public Reference Room at 100 F Street NE, NW, Washington, DC 20549. You may obtain information about the Public Reference Room by calling the SEC at 1-800-SEC-0330. Our filings are also available to you on the SEC’s website at www.sec.gov.</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Rush Enterprises, Inc. was incorporated in Texas in 1965 and consists of two reportable segments: the Truck Segment and the Construction Equipment Segment. The Company conducts business through numerous subsidiaries, all of which it wholly owns, directly or indirectly. Its principal offices are located at 555 IH 35 South, Suite 500, New Braunfels, Texas 78130.</w:t>
      </w:r>
    </w:p>
    <w:p>
      <w:pPr>
        <w:spacing w:after="0" w:line="10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sell vehicles manufactured by Peterbilt Motors Company (a division of PACCAR, Inc.), International, Volvo, GMC, Hino, UD, Ford, Isuzu and Blue Bird. The Company also operates two John Deere construction equipment dealerships at its Rush Equipment Centers in Southeast Texas. Through its strategically located network of Rush Truck Centers and its Rush Equipment Centers, the Company provides one-stop service for the needs of its customers, including retail sales of new and used commercial vehicles and construction equipment, aftermarket parts sales, service and repair facilities, and financing, leasing and rental, and insurance products.</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Rush Truck Centers in Alabama, Arizona, California, Colorado, Florida, Georgia, New Mexico, North Carolina, Oklahoma, Tennessee and Texas.</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Rush Truck Centers. </w:t>
      </w:r>
      <w:r>
        <w:rPr>
          <w:rFonts w:ascii="Arial" w:cs="Arial" w:eastAsia="Arial" w:hAnsi="Arial"/>
          <w:sz w:val="18"/>
          <w:szCs w:val="18"/>
          <w:color w:val="auto"/>
        </w:rPr>
        <w:t>Our Rush Truck Centers are located in Alabama, Arizona, California, Colorado, Florida, Georgia, New</w:t>
      </w:r>
      <w:r>
        <w:rPr>
          <w:rFonts w:ascii="Arial" w:cs="Arial" w:eastAsia="Arial" w:hAnsi="Arial"/>
          <w:sz w:val="18"/>
          <w:szCs w:val="18"/>
          <w:i w:val="1"/>
          <w:iCs w:val="1"/>
          <w:color w:val="auto"/>
        </w:rPr>
        <w:t xml:space="preserve"> </w:t>
      </w:r>
      <w:r>
        <w:rPr>
          <w:rFonts w:ascii="Arial" w:cs="Arial" w:eastAsia="Arial" w:hAnsi="Arial"/>
          <w:sz w:val="18"/>
          <w:szCs w:val="18"/>
          <w:color w:val="auto"/>
        </w:rPr>
        <w:t>Mexico, North Carolina, Oklahoma, Tennessee and Texas. The following chart reflects our franchises and parts, service and body shop operations by location.</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Rush Truck Center</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Heavy-Duty</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Medium-Duty and Bus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r>
      <w:tr>
        <w:trPr>
          <w:trHeight w:val="234"/>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24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Franchise(s)</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Parts</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Shop</w:t>
            </w:r>
          </w:p>
        </w:tc>
      </w:tr>
      <w:tr>
        <w:trPr>
          <w:trHeight w:val="210"/>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Alabama: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0"/>
        </w:trPr>
        <w:tc>
          <w:tcPr>
            <w:tcW w:w="1940" w:type="dxa"/>
            <w:vAlign w:val="bottom"/>
          </w:tcPr>
          <w:p>
            <w:pPr>
              <w:ind w:left="200"/>
              <w:spacing w:after="0"/>
              <w:rPr>
                <w:sz w:val="20"/>
                <w:szCs w:val="20"/>
                <w:color w:val="auto"/>
              </w:rPr>
            </w:pPr>
            <w:r>
              <w:rPr>
                <w:rFonts w:ascii="Arial" w:cs="Arial" w:eastAsia="Arial" w:hAnsi="Arial"/>
                <w:sz w:val="18"/>
                <w:szCs w:val="18"/>
                <w:color w:val="auto"/>
              </w:rPr>
              <w:t>Mobile</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02"/>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Arizona: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Flagstaff</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Phoenix</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Tucson</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Yuma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California: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Escondido</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Fontana Heavy-Duty</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Fontana Medium-Duty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 Isuzu, UD</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Pico Rivera</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Peterbilt, UD (parts only)</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Diego</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San Luis Obispo</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Sylmar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Colorado:</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Denver Heavy-Duty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Denver Medium-Duty</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Ford, Isuzu</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Greeley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1940" w:type="dxa"/>
            <w:vAlign w:val="bottom"/>
          </w:tcPr>
          <w:p>
            <w:pPr>
              <w:ind w:left="200"/>
              <w:spacing w:after="0"/>
              <w:rPr>
                <w:sz w:val="20"/>
                <w:szCs w:val="20"/>
                <w:color w:val="auto"/>
              </w:rPr>
            </w:pPr>
            <w:r>
              <w:rPr>
                <w:rFonts w:ascii="Arial" w:cs="Arial" w:eastAsia="Arial" w:hAnsi="Arial"/>
                <w:sz w:val="18"/>
                <w:szCs w:val="18"/>
                <w:color w:val="auto"/>
              </w:rPr>
              <w:t>Pueblo</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Florida: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Haines City</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Peterbilt,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Jacksonville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Hino, Diamond Coach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Tampa</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Peterbilt,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Winter Garden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Peterbilt, GMC, Isuzu, UD, Diamond Coach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Georgia: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Atlanta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GMC, Hino, Isuzu, UD</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New Mexico:</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Albuquerque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1940" w:type="dxa"/>
            <w:vAlign w:val="bottom"/>
          </w:tcPr>
          <w:p>
            <w:pPr>
              <w:ind w:left="200"/>
              <w:spacing w:after="0"/>
              <w:rPr>
                <w:sz w:val="20"/>
                <w:szCs w:val="20"/>
                <w:color w:val="auto"/>
              </w:rPr>
            </w:pPr>
            <w:r>
              <w:rPr>
                <w:rFonts w:ascii="Arial" w:cs="Arial" w:eastAsia="Arial" w:hAnsi="Arial"/>
                <w:sz w:val="18"/>
                <w:szCs w:val="18"/>
                <w:color w:val="auto"/>
              </w:rPr>
              <w:t>Las Cruces</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24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North Carolina: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Charlotte</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Peterbilt, Hino, Isuzu</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Charlotte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Oklahoma: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Ardmore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940" w:type="dxa"/>
            <w:vAlign w:val="bottom"/>
          </w:tcPr>
          <w:p>
            <w:pPr>
              <w:ind w:left="200"/>
              <w:spacing w:after="0"/>
              <w:rPr>
                <w:sz w:val="20"/>
                <w:szCs w:val="20"/>
                <w:color w:val="auto"/>
              </w:rPr>
            </w:pPr>
            <w:r>
              <w:rPr>
                <w:rFonts w:ascii="Arial" w:cs="Arial" w:eastAsia="Arial" w:hAnsi="Arial"/>
                <w:sz w:val="18"/>
                <w:szCs w:val="18"/>
                <w:color w:val="auto"/>
              </w:rPr>
              <w:t>Oklahoma City</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02"/>
        </w:trPr>
        <w:tc>
          <w:tcPr>
            <w:tcW w:w="1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Tulsa</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Peterbilt,</w:t>
            </w:r>
          </w:p>
        </w:tc>
        <w:tc>
          <w:tcPr>
            <w:tcW w:w="240" w:type="dxa"/>
            <w:vAlign w:val="bottom"/>
            <w:shd w:val="clear" w:color="auto" w:fill="CCEEFF"/>
          </w:tcPr>
          <w:p>
            <w:pPr>
              <w:spacing w:after="0"/>
              <w:rPr>
                <w:sz w:val="17"/>
                <w:szCs w:val="17"/>
                <w:color w:val="auto"/>
              </w:rPr>
            </w:pPr>
          </w:p>
        </w:tc>
        <w:tc>
          <w:tcPr>
            <w:tcW w:w="3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GMC, Hino</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Volvo</w:t>
            </w:r>
          </w:p>
        </w:tc>
        <w:tc>
          <w:tcPr>
            <w:tcW w:w="24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Tennessee: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Nashville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w w:val="99"/>
              </w:rPr>
              <w:t>Rush Truck Center</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Heavy-Duty</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2"/>
              </w:rPr>
              <w:t>Medium-Duty and Bus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r>
      <w:tr>
        <w:trPr>
          <w:trHeight w:val="234"/>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Franchise(s)</w:t>
            </w:r>
          </w:p>
        </w:tc>
        <w:tc>
          <w:tcPr>
            <w:tcW w:w="22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Franchise(s)</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Parts</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Shop</w:t>
            </w:r>
          </w:p>
        </w:tc>
      </w:tr>
      <w:tr>
        <w:trPr>
          <w:trHeight w:val="210"/>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Texas: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Abilene</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Alice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8"/>
                <w:szCs w:val="18"/>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Blue Bird, Elkhart, Diamond Coach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620" w:type="dxa"/>
            <w:vAlign w:val="bottom"/>
          </w:tcPr>
          <w:p>
            <w:pPr>
              <w:ind w:left="200"/>
              <w:spacing w:after="0" w:line="201" w:lineRule="exact"/>
              <w:rPr>
                <w:sz w:val="20"/>
                <w:szCs w:val="20"/>
                <w:color w:val="auto"/>
              </w:rPr>
            </w:pPr>
            <w:r>
              <w:rPr>
                <w:rFonts w:ascii="Arial" w:cs="Arial" w:eastAsia="Arial" w:hAnsi="Arial"/>
                <w:sz w:val="18"/>
                <w:szCs w:val="18"/>
                <w:color w:val="auto"/>
              </w:rPr>
              <w:t>Austin</w:t>
            </w:r>
          </w:p>
        </w:tc>
        <w:tc>
          <w:tcPr>
            <w:tcW w:w="24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7"/>
                <w:szCs w:val="17"/>
                <w:color w:val="auto"/>
              </w:rPr>
            </w:pPr>
          </w:p>
        </w:tc>
        <w:tc>
          <w:tcPr>
            <w:tcW w:w="4200" w:type="dxa"/>
            <w:vAlign w:val="bottom"/>
          </w:tcPr>
          <w:p>
            <w:pPr>
              <w:jc w:val="center"/>
              <w:spacing w:after="0" w:line="201" w:lineRule="exact"/>
              <w:rPr>
                <w:sz w:val="20"/>
                <w:szCs w:val="20"/>
                <w:color w:val="auto"/>
              </w:rPr>
            </w:pPr>
            <w:r>
              <w:rPr>
                <w:rFonts w:ascii="Arial" w:cs="Arial" w:eastAsia="Arial" w:hAnsi="Arial"/>
                <w:sz w:val="18"/>
                <w:szCs w:val="18"/>
                <w:color w:val="auto"/>
                <w:w w:val="94"/>
              </w:rPr>
              <w:t>Peterbilt, GMC, Hino, Isuzu, UD, Blue Bird, Elkhart,</w:t>
            </w:r>
          </w:p>
        </w:tc>
        <w:tc>
          <w:tcPr>
            <w:tcW w:w="240" w:type="dxa"/>
            <w:vAlign w:val="bottom"/>
          </w:tcPr>
          <w:p>
            <w:pPr>
              <w:spacing w:after="0"/>
              <w:rPr>
                <w:sz w:val="17"/>
                <w:szCs w:val="17"/>
                <w:color w:val="auto"/>
              </w:rPr>
            </w:pPr>
          </w:p>
        </w:tc>
        <w:tc>
          <w:tcPr>
            <w:tcW w:w="4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7"/>
                <w:szCs w:val="17"/>
                <w:color w:val="auto"/>
              </w:rPr>
            </w:pPr>
          </w:p>
        </w:tc>
        <w:tc>
          <w:tcPr>
            <w:tcW w:w="56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7"/>
                <w:szCs w:val="17"/>
                <w:color w:val="auto"/>
              </w:rPr>
            </w:pP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Diamond Coach</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Dallas Heavy-Duty</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8"/>
                <w:szCs w:val="18"/>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Blue Bird, Elkhart, Diamond Coach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02"/>
        </w:trPr>
        <w:tc>
          <w:tcPr>
            <w:tcW w:w="1620" w:type="dxa"/>
            <w:vAlign w:val="bottom"/>
          </w:tcPr>
          <w:p>
            <w:pPr>
              <w:ind w:left="200"/>
              <w:spacing w:after="0" w:line="201" w:lineRule="exact"/>
              <w:rPr>
                <w:sz w:val="20"/>
                <w:szCs w:val="20"/>
                <w:color w:val="auto"/>
              </w:rPr>
            </w:pPr>
            <w:r>
              <w:rPr>
                <w:rFonts w:ascii="Arial" w:cs="Arial" w:eastAsia="Arial" w:hAnsi="Arial"/>
                <w:sz w:val="18"/>
                <w:szCs w:val="18"/>
                <w:color w:val="auto"/>
              </w:rPr>
              <w:t>Dallas Medium-</w:t>
            </w:r>
          </w:p>
        </w:tc>
        <w:tc>
          <w:tcPr>
            <w:tcW w:w="24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2"/>
              </w:rPr>
              <w:t>None</w:t>
            </w:r>
          </w:p>
        </w:tc>
        <w:tc>
          <w:tcPr>
            <w:tcW w:w="220" w:type="dxa"/>
            <w:vAlign w:val="bottom"/>
          </w:tcPr>
          <w:p>
            <w:pPr>
              <w:spacing w:after="0"/>
              <w:rPr>
                <w:sz w:val="17"/>
                <w:szCs w:val="17"/>
                <w:color w:val="auto"/>
              </w:rPr>
            </w:pPr>
          </w:p>
        </w:tc>
        <w:tc>
          <w:tcPr>
            <w:tcW w:w="4200" w:type="dxa"/>
            <w:vAlign w:val="bottom"/>
          </w:tcPr>
          <w:p>
            <w:pPr>
              <w:jc w:val="center"/>
              <w:spacing w:after="0" w:line="201" w:lineRule="exact"/>
              <w:rPr>
                <w:sz w:val="20"/>
                <w:szCs w:val="20"/>
                <w:color w:val="auto"/>
              </w:rPr>
            </w:pPr>
            <w:r>
              <w:rPr>
                <w:rFonts w:ascii="Arial" w:cs="Arial" w:eastAsia="Arial" w:hAnsi="Arial"/>
                <w:sz w:val="18"/>
                <w:szCs w:val="18"/>
                <w:color w:val="auto"/>
                <w:w w:val="94"/>
              </w:rPr>
              <w:t>Peterbilt, GMC, Hino, UD, Blue Bird, Elkhart Diamond</w:t>
            </w:r>
          </w:p>
        </w:tc>
        <w:tc>
          <w:tcPr>
            <w:tcW w:w="240" w:type="dxa"/>
            <w:vAlign w:val="bottom"/>
          </w:tcPr>
          <w:p>
            <w:pPr>
              <w:spacing w:after="0"/>
              <w:rPr>
                <w:sz w:val="17"/>
                <w:szCs w:val="17"/>
                <w:color w:val="auto"/>
              </w:rPr>
            </w:pPr>
          </w:p>
        </w:tc>
        <w:tc>
          <w:tcPr>
            <w:tcW w:w="4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7"/>
                <w:szCs w:val="17"/>
                <w:color w:val="auto"/>
              </w:rPr>
            </w:pPr>
          </w:p>
        </w:tc>
        <w:tc>
          <w:tcPr>
            <w:tcW w:w="56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7"/>
                <w:szCs w:val="17"/>
                <w:color w:val="auto"/>
              </w:rPr>
            </w:pP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620" w:type="dxa"/>
            <w:vAlign w:val="bottom"/>
          </w:tcPr>
          <w:p>
            <w:pPr>
              <w:ind w:left="400"/>
              <w:spacing w:after="0"/>
              <w:rPr>
                <w:sz w:val="20"/>
                <w:szCs w:val="20"/>
                <w:color w:val="auto"/>
              </w:rPr>
            </w:pPr>
            <w:r>
              <w:rPr>
                <w:rFonts w:ascii="Arial" w:cs="Arial" w:eastAsia="Arial" w:hAnsi="Arial"/>
                <w:sz w:val="18"/>
                <w:szCs w:val="18"/>
                <w:color w:val="auto"/>
              </w:rPr>
              <w:t>Duty</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88"/>
              </w:rPr>
              <w:t>Coach</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 Paso</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8"/>
                <w:szCs w:val="18"/>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GMC, Hino, Isuzu</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Fort Worth</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Peterbilt, UD, Blue Bird, Elkhart,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7"/>
                <w:szCs w:val="17"/>
                <w:color w:val="auto"/>
              </w:rPr>
            </w:pPr>
          </w:p>
        </w:tc>
        <w:tc>
          <w:tcPr>
            <w:tcW w:w="4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GMC, Hino, Blue Bird, Elkhart, Diamond</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Houston</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Coach</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Laredo</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Peterbilt, Blue Bird, Elkhart,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Lufkin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8"/>
                <w:szCs w:val="18"/>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Blue Bird, Elkhart, Diamond Coach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Pharr</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Peterbilt, Hino, UD, Blue Bird, Elkhart,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02"/>
        </w:trPr>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7"/>
                <w:szCs w:val="17"/>
                <w:color w:val="auto"/>
              </w:rPr>
            </w:pPr>
          </w:p>
        </w:tc>
        <w:tc>
          <w:tcPr>
            <w:tcW w:w="4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GMC, Hino, Blue Bird, Elkhart, Diamond</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Antonio</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Coach</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Sealy</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2"/>
              </w:rPr>
              <w:t>Peterbilt, Isuzu, Blue Bird, Elkhart,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Texarkana</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7"/>
                <w:szCs w:val="17"/>
                <w:color w:val="auto"/>
              </w:rPr>
            </w:pPr>
          </w:p>
        </w:tc>
        <w:tc>
          <w:tcPr>
            <w:tcW w:w="4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GMC, Hino, Isuzu, Blue Bird, Elkhart,</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Coach</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6"/>
        </w:trPr>
        <w:tc>
          <w:tcPr>
            <w:tcW w:w="1620" w:type="dxa"/>
            <w:vAlign w:val="bottom"/>
          </w:tcPr>
          <w:p>
            <w:pPr>
              <w:ind w:left="200"/>
              <w:spacing w:after="0"/>
              <w:rPr>
                <w:sz w:val="20"/>
                <w:szCs w:val="20"/>
                <w:color w:val="auto"/>
              </w:rPr>
            </w:pPr>
            <w:r>
              <w:rPr>
                <w:rFonts w:ascii="Arial" w:cs="Arial" w:eastAsia="Arial" w:hAnsi="Arial"/>
                <w:sz w:val="18"/>
                <w:szCs w:val="18"/>
                <w:color w:val="auto"/>
              </w:rPr>
              <w:t>Tyler</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2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Peterbilt, Blue Bird, Elkhart, Diamond Coach</w:t>
            </w:r>
          </w:p>
        </w:tc>
        <w:tc>
          <w:tcPr>
            <w:tcW w:w="2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1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Waco</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Peterbilt</w:t>
            </w:r>
          </w:p>
        </w:tc>
        <w:tc>
          <w:tcPr>
            <w:tcW w:w="220" w:type="dxa"/>
            <w:vAlign w:val="bottom"/>
            <w:shd w:val="clear" w:color="auto" w:fill="CCEEFF"/>
          </w:tcPr>
          <w:p>
            <w:pPr>
              <w:spacing w:after="0"/>
              <w:rPr>
                <w:sz w:val="17"/>
                <w:szCs w:val="17"/>
                <w:color w:val="auto"/>
              </w:rPr>
            </w:pPr>
          </w:p>
        </w:tc>
        <w:tc>
          <w:tcPr>
            <w:tcW w:w="4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Peterbilt, GMC, Hino, Isuzu, Blue Bird, Elkhart,</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Coach</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bl>
    <w:p>
      <w:pPr>
        <w:spacing w:after="0" w:line="17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i w:val="1"/>
          <w:iCs w:val="1"/>
          <w:color w:val="auto"/>
        </w:rPr>
        <w:t xml:space="preserve">Rush Equipment Center. </w:t>
      </w:r>
      <w:r>
        <w:rPr>
          <w:rFonts w:ascii="Arial" w:cs="Arial" w:eastAsia="Arial" w:hAnsi="Arial"/>
          <w:sz w:val="17"/>
          <w:szCs w:val="17"/>
          <w:color w:val="auto"/>
        </w:rPr>
        <w:t>Our Rush Equipment Centers in Southeast Texas, provide a full line of John Deere 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including backhoe loaders, hydraulic excavators, crawler-dozers and four-wheel drive loaders.</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several stand-alone Rush Truck Leasing</w:t>
      </w:r>
      <w:r>
        <w:rPr>
          <w:rFonts w:ascii="Arial" w:cs="Arial" w:eastAsia="Arial" w:hAnsi="Arial"/>
          <w:sz w:val="16"/>
          <w:szCs w:val="16"/>
          <w:i w:val="1"/>
          <w:iCs w:val="1"/>
          <w:color w:val="auto"/>
        </w:rPr>
        <w:t xml:space="preserve"> </w:t>
      </w:r>
      <w:r>
        <w:rPr>
          <w:rFonts w:ascii="Arial" w:cs="Arial" w:eastAsia="Arial" w:hAnsi="Arial"/>
          <w:sz w:val="16"/>
          <w:szCs w:val="16"/>
          <w:color w:val="auto"/>
        </w:rPr>
        <w:t>Centers, we provide a broad line of product selections for lease or rent, including Class 4, Class 5, Class 6, Class 7 and Class 8 trucks, heavy-duty cranes and refuse haulers. Our lease and rental fleets are offered on a daily, monthly or long-term basis.</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i w:val="1"/>
          <w:iCs w:val="1"/>
          <w:color w:val="auto"/>
        </w:rPr>
        <w:t xml:space="preserve">Financial and Insurance Products. </w:t>
      </w:r>
      <w:r>
        <w:rPr>
          <w:rFonts w:ascii="Arial" w:cs="Arial" w:eastAsia="Arial" w:hAnsi="Arial"/>
          <w:sz w:val="16"/>
          <w:szCs w:val="16"/>
          <w:color w:val="auto"/>
        </w:rPr>
        <w:t>At our dealerships we offer third-party financing to assist customers in purchasing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used commercial vehicles and construction equipment. Additionally, we sell, as agent, a complete line of property and casualty insurance, including collision and liability insurance on commercial vehicles, cargo insurance and credit life insurance.</w:t>
      </w:r>
    </w:p>
    <w:p>
      <w:pPr>
        <w:spacing w:after="0" w:line="12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Perfection Equipment. </w:t>
      </w:r>
      <w:r>
        <w:rPr>
          <w:rFonts w:ascii="Arial" w:cs="Arial" w:eastAsia="Arial" w:hAnsi="Arial"/>
          <w:sz w:val="18"/>
          <w:szCs w:val="18"/>
          <w:color w:val="auto"/>
        </w:rPr>
        <w:t>Perfection Equipment offers installation of equipment, equipment repair, parts installation, and paint</w:t>
      </w:r>
      <w:r>
        <w:rPr>
          <w:rFonts w:ascii="Arial" w:cs="Arial" w:eastAsia="Arial" w:hAnsi="Arial"/>
          <w:sz w:val="18"/>
          <w:szCs w:val="18"/>
          <w:i w:val="1"/>
          <w:iCs w:val="1"/>
          <w:color w:val="auto"/>
        </w:rPr>
        <w:t xml:space="preserve"> </w:t>
      </w:r>
      <w:r>
        <w:rPr>
          <w:rFonts w:ascii="Arial" w:cs="Arial" w:eastAsia="Arial" w:hAnsi="Arial"/>
          <w:sz w:val="18"/>
          <w:szCs w:val="18"/>
          <w:color w:val="auto"/>
        </w:rPr>
        <w:t>and body repair to owners of trucks. Perfection Equipment carries over 120 lines of truck and industrial parts and over 100 lines of equipment at its location in Oklahoma City. Perfection Equipment specializes in up-fitting a variety of trucks used by oilfield service providers and other specialized service providers.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i w:val="1"/>
          <w:iCs w:val="1"/>
          <w:color w:val="auto"/>
        </w:rPr>
        <w:t>World Wide Tires</w:t>
      </w:r>
      <w:r>
        <w:rPr>
          <w:rFonts w:ascii="Arial" w:cs="Arial" w:eastAsia="Arial" w:hAnsi="Arial"/>
          <w:sz w:val="18"/>
          <w:szCs w:val="18"/>
          <w:color w:val="auto"/>
        </w:rPr>
        <w:t>. We operate World Wide Tires stores in three locations in Texas. World Wide Tires primarily sells tires for</w:t>
      </w:r>
      <w:r>
        <w:rPr>
          <w:rFonts w:ascii="Arial" w:cs="Arial" w:eastAsia="Arial" w:hAnsi="Arial"/>
          <w:sz w:val="18"/>
          <w:szCs w:val="18"/>
          <w:i w:val="1"/>
          <w:iCs w:val="1"/>
          <w:color w:val="auto"/>
        </w:rPr>
        <w:t xml:space="preserve"> </w:t>
      </w:r>
      <w:r>
        <w:rPr>
          <w:rFonts w:ascii="Arial" w:cs="Arial" w:eastAsia="Arial" w:hAnsi="Arial"/>
          <w:sz w:val="18"/>
          <w:szCs w:val="18"/>
          <w:color w:val="auto"/>
        </w:rPr>
        <w:t>use on Class 8 trucks.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See Part II, Item 6, “Management’s Discussion and Analysis of Financial Condition and Results of Operations — Industry” for a description of our industry and the markets in which we operate.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Strategy</w:t>
      </w:r>
    </w:p>
    <w:p>
      <w:pPr>
        <w:spacing w:after="0" w:line="189"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 network that provides complementary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strategy includes the following key elements:</w:t>
      </w:r>
    </w:p>
    <w:p>
      <w:pPr>
        <w:spacing w:after="0" w:line="143" w:lineRule="exact"/>
        <w:rPr>
          <w:sz w:val="20"/>
          <w:szCs w:val="20"/>
          <w:color w:val="auto"/>
        </w:rPr>
      </w:pPr>
    </w:p>
    <w:p>
      <w:pPr>
        <w:jc w:val="both"/>
        <w:ind w:left="1040" w:right="559" w:hanging="343"/>
        <w:spacing w:after="0" w:line="293" w:lineRule="auto"/>
        <w:tabs>
          <w:tab w:leader="none" w:pos="1040" w:val="left"/>
        </w:tabs>
        <w:numPr>
          <w:ilvl w:val="0"/>
          <w:numId w:val="1"/>
        </w:numPr>
        <w:rPr>
          <w:rFonts w:ascii="Arial" w:cs="Arial" w:eastAsia="Arial" w:hAnsi="Arial"/>
          <w:sz w:val="16"/>
          <w:szCs w:val="16"/>
          <w:b w:val="1"/>
          <w:bCs w:val="1"/>
          <w:color w:val="auto"/>
        </w:rPr>
      </w:pPr>
      <w:r>
        <w:rPr>
          <w:rFonts w:ascii="Arial" w:cs="Arial" w:eastAsia="Arial" w:hAnsi="Arial"/>
          <w:sz w:val="16"/>
          <w:szCs w:val="16"/>
          <w:u w:val="single" w:color="auto"/>
          <w:color w:val="auto"/>
        </w:rPr>
        <w:t>One-Stop Centers</w:t>
      </w:r>
      <w:r>
        <w:rPr>
          <w:rFonts w:ascii="Arial" w:cs="Arial" w:eastAsia="Arial" w:hAnsi="Arial"/>
          <w:sz w:val="16"/>
          <w:szCs w:val="16"/>
          <w:color w:val="auto"/>
        </w:rPr>
        <w:t>. We have developed our commercial vehicle and construction equipment dealerships as “one-stop centers” where, at one convenient location, our customers can do the following: purchase new and used commercial vehicles or construction equipment; finance, lease or rent commercial vehicles or construction equipment;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commercial vehicle and construction equipment sales.</w:t>
      </w:r>
    </w:p>
    <w:p>
      <w:pPr>
        <w:spacing w:after="0" w:line="124" w:lineRule="exact"/>
        <w:rPr>
          <w:rFonts w:ascii="Arial" w:cs="Arial" w:eastAsia="Arial" w:hAnsi="Arial"/>
          <w:sz w:val="16"/>
          <w:szCs w:val="16"/>
          <w:b w:val="1"/>
          <w:bCs w:val="1"/>
          <w:color w:val="auto"/>
        </w:rPr>
      </w:pPr>
    </w:p>
    <w:p>
      <w:pPr>
        <w:jc w:val="both"/>
        <w:ind w:left="1040" w:right="559" w:hanging="343"/>
        <w:spacing w:after="0" w:line="264" w:lineRule="auto"/>
        <w:tabs>
          <w:tab w:leader="none" w:pos="1040" w:val="left"/>
        </w:tabs>
        <w:numPr>
          <w:ilvl w:val="0"/>
          <w:numId w:val="1"/>
        </w:numPr>
        <w:rPr>
          <w:rFonts w:ascii="Arial" w:cs="Arial" w:eastAsia="Arial" w:hAnsi="Arial"/>
          <w:sz w:val="18"/>
          <w:szCs w:val="18"/>
          <w:b w:val="1"/>
          <w:bCs w:val="1"/>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40" w:lineRule="exact"/>
        <w:rPr>
          <w:rFonts w:ascii="Arial" w:cs="Arial" w:eastAsia="Arial" w:hAnsi="Arial"/>
          <w:sz w:val="18"/>
          <w:szCs w:val="18"/>
          <w:b w:val="1"/>
          <w:bCs w:val="1"/>
          <w:color w:val="auto"/>
        </w:rPr>
      </w:pPr>
    </w:p>
    <w:p>
      <w:pPr>
        <w:jc w:val="both"/>
        <w:ind w:left="1040" w:right="559" w:hanging="343"/>
        <w:spacing w:after="0" w:line="255" w:lineRule="auto"/>
        <w:tabs>
          <w:tab w:leader="none" w:pos="1040" w:val="left"/>
        </w:tabs>
        <w:numPr>
          <w:ilvl w:val="0"/>
          <w:numId w:val="1"/>
        </w:numPr>
        <w:rPr>
          <w:rFonts w:ascii="Arial" w:cs="Arial" w:eastAsia="Arial" w:hAnsi="Arial"/>
          <w:sz w:val="18"/>
          <w:szCs w:val="18"/>
          <w:b w:val="1"/>
          <w:bCs w:val="1"/>
          <w:color w:val="auto"/>
        </w:rPr>
      </w:pPr>
      <w:r>
        <w:rPr>
          <w:rFonts w:ascii="Arial" w:cs="Arial" w:eastAsia="Arial" w:hAnsi="Arial"/>
          <w:sz w:val="18"/>
          <w:szCs w:val="18"/>
          <w:u w:val="single" w:color="auto"/>
          <w:color w:val="auto"/>
        </w:rPr>
        <w:t>Management by Dealership Units</w:t>
      </w:r>
      <w:r>
        <w:rPr>
          <w:rFonts w:ascii="Arial" w:cs="Arial" w:eastAsia="Arial" w:hAnsi="Arial"/>
          <w:sz w:val="18"/>
          <w:szCs w:val="18"/>
          <w:color w:val="auto"/>
        </w:rPr>
        <w:t>. At each of our dealerships, we operate one or more of the following business units: new sales, used sales, financial services, parts, service or body shop. Our general managers measure and manage the operations of each of our dealerships according to the specific business units operating at that location. We believe that this system enhances the profitability of all aspects of a dealership and increases our overall operating margins. Operating goals for each business unit at each of our dealerships are established annually and managers are rewarded for performance.</w:t>
      </w:r>
    </w:p>
    <w:p>
      <w:pPr>
        <w:spacing w:after="0" w:line="166" w:lineRule="exact"/>
        <w:rPr>
          <w:rFonts w:ascii="Arial" w:cs="Arial" w:eastAsia="Arial" w:hAnsi="Arial"/>
          <w:sz w:val="18"/>
          <w:szCs w:val="18"/>
          <w:b w:val="1"/>
          <w:bCs w:val="1"/>
          <w:color w:val="auto"/>
        </w:rPr>
      </w:pPr>
    </w:p>
    <w:p>
      <w:pPr>
        <w:jc w:val="both"/>
        <w:ind w:left="1040" w:right="559" w:hanging="343"/>
        <w:spacing w:after="0" w:line="290" w:lineRule="auto"/>
        <w:tabs>
          <w:tab w:leader="none" w:pos="1040" w:val="left"/>
        </w:tabs>
        <w:numPr>
          <w:ilvl w:val="0"/>
          <w:numId w:val="1"/>
        </w:numPr>
        <w:rPr>
          <w:rFonts w:ascii="Arial" w:cs="Arial" w:eastAsia="Arial" w:hAnsi="Arial"/>
          <w:sz w:val="16"/>
          <w:szCs w:val="16"/>
          <w:b w:val="1"/>
          <w:bCs w:val="1"/>
          <w:color w:val="auto"/>
        </w:rPr>
      </w:pPr>
      <w:r>
        <w:rPr>
          <w:rFonts w:ascii="Arial" w:cs="Arial" w:eastAsia="Arial" w:hAnsi="Arial"/>
          <w:sz w:val="16"/>
          <w:szCs w:val="16"/>
          <w:u w:val="single" w:color="auto"/>
          <w:color w:val="auto"/>
        </w:rPr>
        <w:t>Integrated Management Information Systems</w:t>
      </w:r>
      <w:r>
        <w:rPr>
          <w:rFonts w:ascii="Arial" w:cs="Arial" w:eastAsia="Arial" w:hAnsi="Arial"/>
          <w:sz w:val="16"/>
          <w:szCs w:val="16"/>
          <w:color w:val="auto"/>
        </w:rPr>
        <w:t>. In order to efficiently operate separate business units within each dealership, we rely upon our management information systems to determine and monitor appropriate inventory levels and product mix at each Rush Truck Center. Each Rush Truck Center can access a centralized real-time inventory tracking system that is accessible simultaneously by all locations. Our parts reordering system assists each Rush Truck Center in maintaining the proper inventory levels and typically 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expansion and acquisition initiatives, we have grown to operate a large, multistate, full-service network of commercial vehicle dealerships. As described below, we intend to continue to grow our business internally and through acquisitions by expanding into new geographic areas, expanding our product offerings and opening new dealerships in existing markets.</w:t>
      </w:r>
    </w:p>
    <w:p>
      <w:pPr>
        <w:spacing w:after="0" w:line="146" w:lineRule="exact"/>
        <w:rPr>
          <w:sz w:val="20"/>
          <w:szCs w:val="20"/>
          <w:color w:val="auto"/>
        </w:rPr>
      </w:pPr>
    </w:p>
    <w:p>
      <w:pPr>
        <w:jc w:val="both"/>
        <w:ind w:left="1040" w:right="559" w:hanging="343"/>
        <w:spacing w:after="0" w:line="293" w:lineRule="auto"/>
        <w:tabs>
          <w:tab w:leader="none" w:pos="1040" w:val="left"/>
        </w:tabs>
        <w:numPr>
          <w:ilvl w:val="0"/>
          <w:numId w:val="2"/>
        </w:numPr>
        <w:rPr>
          <w:rFonts w:ascii="Arial" w:cs="Arial" w:eastAsia="Arial" w:hAnsi="Arial"/>
          <w:sz w:val="16"/>
          <w:szCs w:val="16"/>
          <w:b w:val="1"/>
          <w:bCs w:val="1"/>
          <w:color w:val="auto"/>
        </w:rPr>
      </w:pPr>
      <w:r>
        <w:rPr>
          <w:rFonts w:ascii="Arial" w:cs="Arial" w:eastAsia="Arial" w:hAnsi="Arial"/>
          <w:sz w:val="16"/>
          <w:szCs w:val="16"/>
          <w:u w:val="single" w:color="auto"/>
          <w:color w:val="auto"/>
        </w:rPr>
        <w:t>Expansion Into New Geographic Areas.</w:t>
      </w:r>
      <w:r>
        <w:rPr>
          <w:rFonts w:ascii="Arial" w:cs="Arial" w:eastAsia="Arial" w:hAnsi="Arial"/>
          <w:sz w:val="16"/>
          <w:szCs w:val="16"/>
          <w:color w:val="auto"/>
        </w:rPr>
        <w:t xml:space="preserve"> We plan to continue to expand our dealership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commercial vehicles and parts by allowing us to allocate our inventory among the geographic regions we serve based on market demand within these regions.</w:t>
      </w:r>
    </w:p>
    <w:p>
      <w:pPr>
        <w:spacing w:after="0" w:line="137" w:lineRule="exact"/>
        <w:rPr>
          <w:rFonts w:ascii="Arial" w:cs="Arial" w:eastAsia="Arial" w:hAnsi="Arial"/>
          <w:sz w:val="16"/>
          <w:szCs w:val="16"/>
          <w:b w:val="1"/>
          <w:bCs w:val="1"/>
          <w:color w:val="auto"/>
        </w:rPr>
      </w:pPr>
    </w:p>
    <w:p>
      <w:pPr>
        <w:jc w:val="both"/>
        <w:ind w:left="1040" w:right="559" w:hanging="343"/>
        <w:spacing w:after="0" w:line="264" w:lineRule="auto"/>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u w:val="single" w:color="auto"/>
          <w:color w:val="auto"/>
        </w:rPr>
        <w:t>Expansion of Product Offerings.</w:t>
      </w:r>
      <w:r>
        <w:rPr>
          <w:rFonts w:ascii="Arial" w:cs="Arial" w:eastAsia="Arial" w:hAnsi="Arial"/>
          <w:sz w:val="18"/>
          <w:szCs w:val="18"/>
          <w:color w:val="auto"/>
        </w:rPr>
        <w:t xml:space="preserve"> We intend to continue to expand our product lines within our dealerships by adding product categories that are both complementary to our existing product lines and well suited to our operating model such as truck mounted cranes, refuse vehicles and towing vehicles.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080" w:right="559"/>
        <w:spacing w:after="0" w:line="277" w:lineRule="auto"/>
        <w:rPr>
          <w:sz w:val="20"/>
          <w:szCs w:val="20"/>
          <w:color w:val="auto"/>
        </w:rPr>
      </w:pPr>
      <w:r>
        <w:rPr>
          <w:rFonts w:ascii="Arial" w:cs="Arial" w:eastAsia="Arial" w:hAnsi="Arial"/>
          <w:sz w:val="18"/>
          <w:szCs w:val="18"/>
          <w:color w:val="auto"/>
        </w:rPr>
        <w:t>We believe that there are many additional product and service offerings that would complement our primary product lines. We expect any product category expansion that we pursue to satisfy our requirements that:</w:t>
      </w:r>
    </w:p>
    <w:p>
      <w:pPr>
        <w:spacing w:after="0" w:line="130" w:lineRule="exact"/>
        <w:rPr>
          <w:sz w:val="20"/>
          <w:szCs w:val="20"/>
          <w:color w:val="auto"/>
        </w:rPr>
      </w:pPr>
    </w:p>
    <w:p>
      <w:pPr>
        <w:ind w:left="1800" w:hanging="360"/>
        <w:spacing w:after="0"/>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the products serve a commercial customer base;</w:t>
      </w:r>
    </w:p>
    <w:p>
      <w:pPr>
        <w:spacing w:after="0" w:line="184" w:lineRule="exact"/>
        <w:rPr>
          <w:rFonts w:ascii="Arial" w:cs="Arial" w:eastAsia="Arial" w:hAnsi="Arial"/>
          <w:sz w:val="18"/>
          <w:szCs w:val="18"/>
          <w:b w:val="1"/>
          <w:bCs w:val="1"/>
          <w:color w:val="auto"/>
        </w:rPr>
      </w:pPr>
    </w:p>
    <w:p>
      <w:pPr>
        <w:ind w:left="1800" w:right="559" w:hanging="360"/>
        <w:spacing w:after="0" w:line="277"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the products provide opportunities for incremental income through related aftermarket sales, service or financing; and</w:t>
      </w:r>
    </w:p>
    <w:p>
      <w:pPr>
        <w:spacing w:after="0" w:line="143" w:lineRule="exact"/>
        <w:rPr>
          <w:rFonts w:ascii="Arial" w:cs="Arial" w:eastAsia="Arial" w:hAnsi="Arial"/>
          <w:sz w:val="18"/>
          <w:szCs w:val="18"/>
          <w:b w:val="1"/>
          <w:bCs w:val="1"/>
          <w:color w:val="auto"/>
        </w:rPr>
      </w:pPr>
    </w:p>
    <w:p>
      <w:pPr>
        <w:ind w:left="1800" w:hanging="360"/>
        <w:spacing w:after="0"/>
        <w:tabs>
          <w:tab w:leader="none" w:pos="1800" w:val="left"/>
        </w:tabs>
        <w:numPr>
          <w:ilvl w:val="1"/>
          <w:numId w:val="3"/>
        </w:numPr>
        <w:rPr>
          <w:rFonts w:ascii="Arial" w:cs="Arial" w:eastAsia="Arial" w:hAnsi="Arial"/>
          <w:sz w:val="17"/>
          <w:szCs w:val="17"/>
          <w:b w:val="1"/>
          <w:bCs w:val="1"/>
          <w:color w:val="auto"/>
        </w:rPr>
      </w:pPr>
      <w:r>
        <w:rPr>
          <w:rFonts w:ascii="Arial" w:cs="Arial" w:eastAsia="Arial" w:hAnsi="Arial"/>
          <w:sz w:val="17"/>
          <w:szCs w:val="17"/>
          <w:color w:val="auto"/>
        </w:rPr>
        <w:t>Rush operating controls can be implemented to enhance the financial performance of the business.</w:t>
      </w:r>
    </w:p>
    <w:p>
      <w:pPr>
        <w:spacing w:after="0" w:line="196" w:lineRule="exact"/>
        <w:rPr>
          <w:rFonts w:ascii="Arial" w:cs="Arial" w:eastAsia="Arial" w:hAnsi="Arial"/>
          <w:sz w:val="17"/>
          <w:szCs w:val="17"/>
          <w:b w:val="1"/>
          <w:bCs w:val="1"/>
          <w:color w:val="auto"/>
        </w:rPr>
      </w:pPr>
    </w:p>
    <w:p>
      <w:pPr>
        <w:jc w:val="both"/>
        <w:ind w:left="1040" w:right="559" w:hanging="343"/>
        <w:spacing w:after="0" w:line="271" w:lineRule="auto"/>
        <w:tabs>
          <w:tab w:leader="none" w:pos="1040" w:val="left"/>
        </w:tabs>
        <w:numPr>
          <w:ilvl w:val="0"/>
          <w:numId w:val="3"/>
        </w:numPr>
        <w:rPr>
          <w:rFonts w:ascii="Arial" w:cs="Arial" w:eastAsia="Arial" w:hAnsi="Arial"/>
          <w:sz w:val="17"/>
          <w:szCs w:val="17"/>
          <w:b w:val="1"/>
          <w:bCs w:val="1"/>
          <w:color w:val="auto"/>
        </w:rPr>
      </w:pPr>
      <w:r>
        <w:rPr>
          <w:rFonts w:ascii="Arial" w:cs="Arial" w:eastAsia="Arial" w:hAnsi="Arial"/>
          <w:sz w:val="17"/>
          <w:szCs w:val="17"/>
          <w:u w:val="single" w:color="auto"/>
          <w:color w:val="auto"/>
        </w:rPr>
        <w:t>Open Dealerships in Existing Areas of Operation.</w:t>
      </w:r>
      <w:r>
        <w:rPr>
          <w:rFonts w:ascii="Arial" w:cs="Arial" w:eastAsia="Arial" w:hAnsi="Arial"/>
          <w:sz w:val="17"/>
          <w:szCs w:val="17"/>
          <w:color w:val="auto"/>
        </w:rPr>
        <w:t xml:space="preserve"> We continually evaluate opportunities to increase our market share by adding dealerships to underserved markets within our current areas of operation. The introduction of additional one-stop centers enables us to enhance revenues from our existing customer base as well as increase the awareness of the “Rush” brand name for new customers. In identifying new areas for expansion, we analyze the market’s level of new truck registrations, customer buying and leasing trends and the existence of competing franchises. We also assess the potential performance of a parts and service center. After a market has been strategically reviewed, we survey the region for a well-situated location. Whether we acquire existing dealerships or open a new dealership, we introduce our branding program and implement our integrated management system.</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of Our Dealerships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manage our dealerships as described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Rush Truck Centers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14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u w:val="single" w:color="auto"/>
          <w:color w:val="auto"/>
        </w:rPr>
        <w:t>New Truck Sales</w:t>
      </w:r>
      <w:r>
        <w:rPr>
          <w:rFonts w:ascii="Arial" w:cs="Arial" w:eastAsia="Arial" w:hAnsi="Arial"/>
          <w:sz w:val="18"/>
          <w:szCs w:val="18"/>
          <w:color w:val="auto"/>
        </w:rPr>
        <w:t>. New heavy-duty truck sales represent the largest portion of our revenue, accounting for approximately $467.1 million, or 37.7%, of our total revenues in 2009. New Class 8 heavy-duty Peterbilt truck sales accounted for approximately 73.5% of our new truck revenues for 2009.</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Our Rush Truck Centers that sell new and used Class 8 heavy-duty trucks also sell Class 6 and Class 7 medium-duty commercial vehicles. Certain Rush Truck Centers also sell medium-duty trucks manufactured by GMC, Hino, Isuzu, Ford, International or UD and buses manufactured by Blue Bird, Diamond Coach and Elkhart (see Part I, Item 1, “General — </w:t>
      </w:r>
      <w:r>
        <w:rPr>
          <w:rFonts w:ascii="Arial" w:cs="Arial" w:eastAsia="Arial" w:hAnsi="Arial"/>
          <w:sz w:val="17"/>
          <w:szCs w:val="17"/>
          <w:i w:val="1"/>
          <w:iCs w:val="1"/>
          <w:color w:val="auto"/>
        </w:rPr>
        <w:t>Rush</w:t>
      </w:r>
      <w:r>
        <w:rPr>
          <w:rFonts w:ascii="Arial" w:cs="Arial" w:eastAsia="Arial" w:hAnsi="Arial"/>
          <w:sz w:val="17"/>
          <w:szCs w:val="17"/>
          <w:color w:val="auto"/>
        </w:rPr>
        <w:t xml:space="preserve"> </w:t>
      </w:r>
      <w:r>
        <w:rPr>
          <w:rFonts w:ascii="Arial" w:cs="Arial" w:eastAsia="Arial" w:hAnsi="Arial"/>
          <w:sz w:val="17"/>
          <w:szCs w:val="17"/>
          <w:i w:val="1"/>
          <w:iCs w:val="1"/>
          <w:color w:val="auto"/>
        </w:rPr>
        <w:t>Truck Centers</w:t>
      </w:r>
      <w:r>
        <w:rPr>
          <w:rFonts w:ascii="Arial" w:cs="Arial" w:eastAsia="Arial" w:hAnsi="Arial"/>
          <w:sz w:val="17"/>
          <w:szCs w:val="17"/>
          <w:color w:val="auto"/>
        </w:rPr>
        <w:t>” for information on which brands we sell at each Rush Truck Center). New medium-duty commercial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sales, excluding new bus sales, accounted for approximately $131.3 million, or 10.6% of our total revenues for 2009, and 20.8% of our new commercial vehicles revenues for 2009. Our customers use heavy- and medium-duty trucks to haul various materials, including general freight, petroleum, wood products, refuse and construction materials. In 2008, we acquired the Blue Bird bus franchise for the majority of Texas. New bus sales accounted for approximately $32.4 million, or 2.6% of our total revenues for 2009, and 5.1% of our new truck revenues for 2009.</w:t>
      </w:r>
    </w:p>
    <w:p>
      <w:pPr>
        <w:spacing w:after="0" w:line="14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commercial vehicle financing and insurance to our customers, has resulted in a high level of customer loyalty.</w:t>
      </w:r>
    </w:p>
    <w:p>
      <w:pPr>
        <w:spacing w:after="0" w:line="14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$106.5 million, or 8.6%, of our total revenues for 2009. We sell used commercial vehicles at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to satisfy customer demand. The majority of our used commercial vehicle inventory consists of commercial vehicles taken as trade-ins from new customers, but we supplement our used commercial vehicle inventory by purchasing used commercial vehicles from third parties for resale.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u w:val="single" w:color="auto"/>
          <w:color w:val="auto"/>
        </w:rPr>
        <w:t>Commercial Vehicle Parts and Service</w:t>
      </w:r>
      <w:r>
        <w:rPr>
          <w:rFonts w:ascii="Arial" w:cs="Arial" w:eastAsia="Arial" w:hAnsi="Arial"/>
          <w:sz w:val="16"/>
          <w:szCs w:val="16"/>
          <w:color w:val="auto"/>
        </w:rPr>
        <w:t>. Commercial vehicle-related parts and service revenues accounted for approximately $395.2 million, or 31.9%, of our total revenues for 2009. The parts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makes and classes of commercial vehicles. Each Rush Truck Center is a warranty service center for the commercial vehicle manufacturers represented at that location and most are also authorized service centers for other manufacturers, including the following: Caterpillar, Cummins, Eaton and Arvin Meritor. We have more than 900 service and body shop bays, including 23 paint booths, throughout our Rush Truck Center network. We also have field service trucks and technicians who make on-site repairs at our customers’ locations.</w:t>
      </w:r>
    </w:p>
    <w:p>
      <w:pPr>
        <w:spacing w:after="0" w:line="14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We perform both warranty and non-warranty service work on commercial vehicles. The cost of warranty work is generally reimbursed by the applicable manufacturer at retail consumer rates. A majority of the service technicians at our Rush Truck Centers have been certified by various vehicle component manufacturers.</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As part of our leasing and rental operations, we enter into contracts with customers to provide full-service maintenance on their trucks. We had 667 units under contract maintenance as of December 31, 2009, and 267 units under contract maintenance as of December 31, 2008.</w:t>
      </w:r>
    </w:p>
    <w:p>
      <w:pPr>
        <w:spacing w:after="0" w:line="141"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u w:val="single" w:color="auto"/>
          <w:color w:val="auto"/>
        </w:rPr>
        <w:t>Truck Leasing and Rental</w:t>
      </w:r>
      <w:r>
        <w:rPr>
          <w:rFonts w:ascii="Arial" w:cs="Arial" w:eastAsia="Arial" w:hAnsi="Arial"/>
          <w:sz w:val="16"/>
          <w:szCs w:val="16"/>
          <w:color w:val="auto"/>
        </w:rPr>
        <w:t>. Truck leasing and rental revenues accounted for approximately $53.7 million, or 4.3%, of our total revenues for 2009. At our Rush Truck Leasing locations, we engage in full-service truck leasing under the PacLease and Idealease trade names.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2,366 units in our lease and rental fleet as of December 31, 2009 compared to 2,303 units as of December 31, 2008. Generally, we sell trucks that have been retired from our lease and rental fleet through the used sales operations at our Rush Truck Centers. Historically, we have realized gains on the sale of used lease trucks in excess of the cost of the purchase option contained in our leases with PACCAR Leasing or the book value of trucks owned by the Company.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Rush Equipment Center</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Rush Equipment Centers are responsible for sales of new and used construction equipment and related parts and service.</w:t>
      </w:r>
    </w:p>
    <w:p>
      <w:pPr>
        <w:spacing w:after="0" w:line="13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u w:val="single" w:color="auto"/>
          <w:color w:val="auto"/>
        </w:rPr>
        <w:t>New Construction Equipment Sales</w:t>
      </w:r>
      <w:r>
        <w:rPr>
          <w:rFonts w:ascii="Arial" w:cs="Arial" w:eastAsia="Arial" w:hAnsi="Arial"/>
          <w:sz w:val="16"/>
          <w:szCs w:val="16"/>
          <w:color w:val="auto"/>
        </w:rPr>
        <w:t>. New construction equipment sales accounted for approximately $20.8 million, or 1.7%, of our total revenues for 2009. Our Rush Equipment Centers carry a complete line of John Deere construction equipment. A new piece of John Deere construction equipment typically ranges in price from $50,000 for a backhoe to $500,000 for an excavator. We carry a full line of complementary construction equipment manufactured by other suppliers to enhance our John Deere product line. We sell construction equipment to a diverse customer base including residential and commercial construction contractors, utility companies, government agencies, and various petrochemical, industrial and material supply businesses.</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believe that John Deere’s reputation for manufacturing high quality construction equipment attracts new and repeat customers who value lower maintenance and repair costs and a higher residual value at trade-in. We attempt to increase this brand loyalty with an operating strategy that is similar to the operating strategy used by our Rush Truck Centers and focuses on providing fast, reliable service. We believe that our operating strategy will enable us to both increase our customer base and generate repeat business for all product offerings.</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u w:val="single" w:color="auto"/>
          <w:color w:val="auto"/>
        </w:rPr>
        <w:t>Used Construction Equipment Sales</w:t>
      </w:r>
      <w:r>
        <w:rPr>
          <w:rFonts w:ascii="Arial" w:cs="Arial" w:eastAsia="Arial" w:hAnsi="Arial"/>
          <w:sz w:val="18"/>
          <w:szCs w:val="18"/>
          <w:color w:val="auto"/>
        </w:rPr>
        <w:t>. Used construction equipment sales accounted for approximately $2.0 million, or 0.2%, of our total revenues for 2009. We sell used construction equipment manufactured by several manufacturers, including John Deere, Case, Caterpillar, and Komatsu. Our used construction equipment inventory is derived from trade-ins from our construction equipment customers and purchases from third parties.</w:t>
      </w:r>
    </w:p>
    <w:p>
      <w:pPr>
        <w:spacing w:after="0" w:line="14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u w:val="single" w:color="auto"/>
          <w:color w:val="auto"/>
        </w:rPr>
        <w:t>Construction Equipment Parts and Service</w:t>
      </w:r>
      <w:r>
        <w:rPr>
          <w:rFonts w:ascii="Arial" w:cs="Arial" w:eastAsia="Arial" w:hAnsi="Arial"/>
          <w:sz w:val="17"/>
          <w:szCs w:val="17"/>
          <w:color w:val="auto"/>
        </w:rPr>
        <w:t>. Construction equipment related parts and service revenues accounted for approximately $15.7 million, or 1.3%, of our total revenues for 2009. Our Rush Equipment Centers carry a wide variety of John Deere and other parts in its inventory, which consists of over 7,000 items from more than 15 suppliers. We are an authorized John Deere construction equipment parts and accessories supplier in the Houston, Texas area. We maintain a fully equipped service operation capable of handling repairs on John Deere construction equipment and most other brands of construction equipment at our Rush Equipment Centers. We enhance our service presence with field service trucks and technicians who are capable of making on-site repairs at our customers’ locations.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Additional information related to these operating segments for 2009, 2008 and 2007 is included in Note 21 – Segments in the Notes to the Company’s Consolidated Financial Statements in Item 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and Insurance Products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sell, as agent, a complete line of property and casualty insurance to our commercial vehicle customers and other truck owners. Our agency is licensed to sell truck liability, collision and comprehensive, workers’ compensation, cargo, credit life and occupational accident insurance coverage. We serve as sales representatives for a number of leading insurance companies including the Great American Insurance Companies, Sentry Insurance and Hartford Insurance Group. Our renewal rate in 2009 was 75%.</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Rush Truck Centers and Rush Equipment Centers have personnel responsible for arranging third-party financing for our product offerings. We also have licensed insurance agents at a number of our dealerships who arrange insurance for our customers. The sale of financial and insurance products accounted for approximately $7.6 million, or 0.6%, of our total revenue for 2009. Finance and insurance revenues have minimal direct costs and, therefore, contribute a disproportionate share of our operating profits.</w:t>
      </w:r>
    </w:p>
    <w:p>
      <w:pPr>
        <w:spacing w:after="0" w:line="161"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u w:val="single" w:color="auto"/>
          <w:color w:val="auto"/>
        </w:rPr>
        <w:t>New and Used Commercial Vehicle Financing</w:t>
      </w:r>
      <w:r>
        <w:rPr>
          <w:rFonts w:ascii="Arial" w:cs="Arial" w:eastAsia="Arial" w:hAnsi="Arial"/>
          <w:sz w:val="16"/>
          <w:szCs w:val="16"/>
          <w:color w:val="auto"/>
        </w:rPr>
        <w:t>. We arranged customer financing through various commercial lending sources for approximately 22% of our new and used commercial vehicle sales in 2009 and approximately 30% in 2008. Generally, commercial vehicle finance contracts are memorialized through the use of installment contracts, which are secured by the commercial vehicles financed, and require a down payment of 10% to 30% of the selling price of the financed commercial vehicle, with the remaining balance financed over a two to five-year period. The majority of finance contracts are sold to third parties without recourse to the Company. The Company’s recourse liability related to finance contracts sold with recourse to the Company ranges from 5% to 100% of the outstanding amount of each note initiated on behalf of the finance company (see “Management’s Discussion and Analysis of Financial Condition and Results of Operations – Critical Accounting Policies”). The Company provides an allowance for repossession losses and early repayment penalties.</w:t>
      </w:r>
    </w:p>
    <w:p>
      <w:pPr>
        <w:spacing w:after="0" w:line="12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u w:val="single" w:color="auto"/>
          <w:color w:val="auto"/>
        </w:rPr>
        <w:t>New and Used Construction Equipment Financing</w:t>
      </w:r>
      <w:r>
        <w:rPr>
          <w:rFonts w:ascii="Arial" w:cs="Arial" w:eastAsia="Arial" w:hAnsi="Arial"/>
          <w:sz w:val="16"/>
          <w:szCs w:val="16"/>
          <w:color w:val="auto"/>
        </w:rPr>
        <w:t>. We arranged customer financing through various commercial lending sources for approximately $8.2 million of our new and used construction equipment sales in 2009, a decrease of 74.9% from approximately $32.7 million in 2008. Generally, construction equipment finance contracts are memorialized through the use of installment or lease contracts, which are secured by the construction equipment financed, and generally require a down payment of 0% to 10% of the selling price of the financed piece of construction equipment, with the remaining balance being financed over a three to five-year period. All finance contracts for construction equipment are assigned without recourse.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Our established expansion and acquisition strategy and long history of operations in the commercial vehicle business have resulted in a strong customer base that is diverse in terms of geography, industry and scale of operations. Rush Truck Centers’ customers include owner operators, regional and national truck fleets, corporations and local governments. During 2009, no single customer of our Rush Truck Centers accounted for more than 10% of our total commercial vehicle sales by dollar volume. Our Rush Equipment Centers’ customer base is similarly diverse and, during 2009, no single Rush Equipment Center customer accounted for more than 10% of our total construction equipment sales by dollar volume. We generally promote our products and related services through direct customer contact by our sales personnel, advertisements in trade magazines and attendance at industry shows.</w:t>
      </w:r>
    </w:p>
    <w:p>
      <w:pPr>
        <w:spacing w:after="0" w:line="15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and our Rush Equipment Centers, we implement our “Rush” brand name concept at each of our dealerships. Each of our dealerships is identified as either a Rush Truck Center or Rush Equipment Center.</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Facility Management</w:t>
      </w:r>
    </w:p>
    <w:p>
      <w:pPr>
        <w:spacing w:after="0" w:line="20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Rush Truck Center and Rush Equipment Center is typically managed by a general manager who oversees</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personnel and the financial performance of the location, subject to the direction of a regional manager and personnel at our corporate office. Additionally, each Rush Truck Center is typically staffed by a sales manager, parts manager, service manager, sales representatives, parts employees, and other service and make-ready employees, as appropriate, given the services offered. The sales staff of each Rush Truck Center and Rush Equipment Center is compensated on a salary plus commission basis, with a high percentage of their compensation consisting of commission, while regional managers, general managers, parts managers and service managers receive a combination of salary and performance bonus, with a high percentage of their compensation consisting of the performance bonus. We believe that our employees are among the highest paid in their respective industry which enables us to attract and retain qualified personnel.</w:t>
      </w:r>
    </w:p>
    <w:p>
      <w:pPr>
        <w:spacing w:after="0" w:line="12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On an annual basis, regional managers work with general managers to prepare detailed monthly profit and loss forecasts based upon historical information and projected trends. A portion of each regional manager’s and general manager’s performance bonus is based upon whether they meet or exceed their operating plans. During the year, general managers regularly review their facility’s progress with their regional manager and senior management and make appropriate adjustments as needed.</w:t>
      </w:r>
    </w:p>
    <w:p>
      <w:pPr>
        <w:spacing w:after="0" w:line="11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6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Members of senior management and regional managers regularly travel to each location to provide on-site management and support. Each location is audited regularly for compliance with corporate policies and procedures. These routine unannounced internal audits, objectively measure dealership performance with respect to corporate expectations in the management and administration of sales, commercial vehicle and equipment inventory, parts inventory, parts sales, service sales, body shop sales, corporate policy compliance, human resources compliance, and environmental and safety compliance matters. The Company has instituted succession planning pursuant to which employees in each Rush Truck Center and Rush Equipment Center are groomed as assistant managers to assume management responsibilities in existing and future dealerships.</w:t>
      </w:r>
    </w:p>
    <w:p>
      <w:pPr>
        <w:spacing w:after="0" w:line="12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Purchasing and Suppliers. </w:t>
      </w:r>
      <w:r>
        <w:rPr>
          <w:rFonts w:ascii="Arial" w:cs="Arial" w:eastAsia="Arial" w:hAnsi="Arial"/>
          <w:sz w:val="16"/>
          <w:szCs w:val="16"/>
          <w:color w:val="auto"/>
        </w:rPr>
        <w:t>We believe that pricing is an important element of our marketing strategy. Because of our size,</w:t>
      </w:r>
      <w:r>
        <w:rPr>
          <w:rFonts w:ascii="Arial" w:cs="Arial" w:eastAsia="Arial" w:hAnsi="Arial"/>
          <w:sz w:val="16"/>
          <w:szCs w:val="16"/>
          <w:i w:val="1"/>
          <w:iCs w:val="1"/>
          <w:color w:val="auto"/>
        </w:rPr>
        <w:t xml:space="preserve"> </w:t>
      </w:r>
      <w:r>
        <w:rPr>
          <w:rFonts w:ascii="Arial" w:cs="Arial" w:eastAsia="Arial" w:hAnsi="Arial"/>
          <w:sz w:val="16"/>
          <w:szCs w:val="16"/>
          <w:color w:val="auto"/>
        </w:rPr>
        <w:t>our Rush Truck Centers benefit from volume purchases at favorable prices that permit them to achieve a competitive pricing position in the industry. We purchase our commercial vehicle inventory and parts and accessories directly from the manufacturer. All other manufacturers’ parts and accessories, including those of Caterpillar, Cummins and other component manufacturers, are purchased through wholesale vendors or from PACCAR, which buys such products in bulk for resale to the Company and other Peterbilt dealers. Most purchasing commitments are negotiated by personnel at our corporate headquarters. Historically, we have been able to negotiate favorable pricing levels and terms, which enables us to offer competitive prices for our products. We purchase all of our John Deere construction equipment inventory and John Deere parts directly from John Deere.</w:t>
      </w:r>
    </w:p>
    <w:p>
      <w:pPr>
        <w:spacing w:after="0" w:line="12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Management Information Systems. </w:t>
      </w:r>
      <w:r>
        <w:rPr>
          <w:rFonts w:ascii="Arial" w:cs="Arial" w:eastAsia="Arial" w:hAnsi="Arial"/>
          <w:sz w:val="17"/>
          <w:szCs w:val="17"/>
          <w:color w:val="auto"/>
        </w:rPr>
        <w:t>Each Rush Truck Center and Rush Equipment Center maintains a centralized real-time</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tracking system which is accessible simultaneously by all locations and by our corporate office. We utilize our management information systems to monitor the inventory level of commercial vehicles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Information received from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4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Distribution and Inventory Management. </w:t>
      </w:r>
      <w:r>
        <w:rPr>
          <w:rFonts w:ascii="Arial" w:cs="Arial" w:eastAsia="Arial" w:hAnsi="Arial"/>
          <w:sz w:val="17"/>
          <w:szCs w:val="17"/>
          <w:color w:val="auto"/>
        </w:rPr>
        <w:t>We utilize a real-time inventory tracking system to maintain a close link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each Rush Truck Center. This link 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We are linked directly to our major suppliers,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Acquisitions and Dispositions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June 2008, the Company acquired certain assets of Capital Bus Sales and Service of Texas, Inc., which included a Blue Bird bus franchise for the majority of Texas. The Company is selling buses at most Rush Truck Centers throughout Texas. The transaction was valued at approximately $5.6 million, with the purchase price paid in cash.</w:t>
      </w:r>
    </w:p>
    <w:p>
      <w:pPr>
        <w:spacing w:after="0" w:line="12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May 2008, the Company acquired certain assets of Peterbilt Carolina, Inc., which included a Peterbilt, Hino and Isuzu truck dealership in Charlotte, North Carolina. The Company is operating the facility as a full-service Rush Truck Center offering Peterbilt heavy-duty and medium-duty trucks as well as medium-duty trucks manufactured by Hino and Isuzu, and parts and service. The transaction was valued at approximately $13.4 million, with the purchase price paid in cash.</w:t>
      </w:r>
    </w:p>
    <w:p>
      <w:pPr>
        <w:spacing w:after="0" w:line="11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May 2008, the Company also acquired the common stock of Adams International Trucks, Inc., an International truck and Workhorse Custom Chassis dealership and an Idealease franchise in Charlotte, North Carolina. The Company is operating the facility as a full-service Rush Truck Center offering International heavy-duty and medium-duty trucks, parts and service and leasing. The transaction was valued at approximately $20.1 million, with the purchase price paid in cash. Included in the acquisition was the purchase of Adams Collision Center. The Company also purchased the real estate used in the operations of Adams International Trucks, Inc. for $6.2 million.</w:t>
      </w:r>
    </w:p>
    <w:p>
      <w:pPr>
        <w:spacing w:after="0" w:line="16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See Note 17 of the Notes to Consolidated Financial Statements for a detailed discussion of the allocation of the purchase price of these acquisitions.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54"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accessibility of dealership locations;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number of dealership locations;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price, value, quality and design of the products sold; and</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attention to customer service (including technical service).</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Our dealerships compete with dealerships representing other manufacturers including commercial vehicles manufactured by Mack, Freightliner, Kenworth, Volvo, and Western Star Truck Holdings, Ltd. Our construction equipment dealerships compete with construction equipment dealerhips representing Case, Caterpillar, Komatsu and other manufacturers.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Dealership Agreements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i w:val="1"/>
          <w:iCs w:val="1"/>
          <w:color w:val="auto"/>
        </w:rPr>
        <w:t xml:space="preserve">Peterbilt. </w:t>
      </w:r>
      <w:r>
        <w:rPr>
          <w:rFonts w:ascii="Arial" w:cs="Arial" w:eastAsia="Arial" w:hAnsi="Arial"/>
          <w:sz w:val="16"/>
          <w:szCs w:val="16"/>
          <w:color w:val="auto"/>
        </w:rPr>
        <w:t>We have entered into nonexclusive dealership agreements with Peterbilt which authorize us to act as a dealer of</w:t>
      </w:r>
      <w:r>
        <w:rPr>
          <w:rFonts w:ascii="Arial" w:cs="Arial" w:eastAsia="Arial" w:hAnsi="Arial"/>
          <w:sz w:val="16"/>
          <w:szCs w:val="16"/>
          <w:i w:val="1"/>
          <w:iCs w:val="1"/>
          <w:color w:val="auto"/>
        </w:rPr>
        <w:t xml:space="preserve"> </w:t>
      </w:r>
      <w:r>
        <w:rPr>
          <w:rFonts w:ascii="Arial" w:cs="Arial" w:eastAsia="Arial" w:hAnsi="Arial"/>
          <w:sz w:val="16"/>
          <w:szCs w:val="16"/>
          <w:color w:val="auto"/>
        </w:rPr>
        <w:t>Peterbilt heavy- and medium-duty trucks. Our Peterbilt areas of responsibility currently encompass areas in the states of Alabama, Arizona, California, Colorado, Florida, New Mexico, North Carolina, Oklahoma, Tennessee and Texas. These dealership agreements currently have terms expiring between March 2010 and October 2012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 Sales of new Peterbilt trucks accounted for approximately 41% of our total revenues for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Other Commercial Vehicle Suppliers. </w:t>
      </w:r>
      <w:r>
        <w:rPr>
          <w:rFonts w:ascii="Arial" w:cs="Arial" w:eastAsia="Arial" w:hAnsi="Arial"/>
          <w:sz w:val="18"/>
          <w:szCs w:val="18"/>
          <w:color w:val="auto"/>
        </w:rPr>
        <w:t>In addition to our dealership agreements with Peterbilt, various Rush Truck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entered into dealership agreements with other commercial vehicle manufacturers including Blue Bird, Ford, GMC, Hino, International, Isuzu, UD and Volvo, which currently have terms expiring between August 2010 and August 2013. These dealership agreements impose operating requirements upon us and require consent from the affected supplier for sale or transfer of such dealership agreement. Sales of non-Peterbilt commercial vehicles accounted for approximately 10.0% of our total revenues for 2009.</w:t>
      </w:r>
    </w:p>
    <w:p>
      <w:pPr>
        <w:spacing w:after="0" w:line="16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John Deere. </w:t>
      </w:r>
      <w:r>
        <w:rPr>
          <w:rFonts w:ascii="Arial" w:cs="Arial" w:eastAsia="Arial" w:hAnsi="Arial"/>
          <w:sz w:val="17"/>
          <w:szCs w:val="17"/>
          <w:color w:val="auto"/>
        </w:rPr>
        <w:t>We have entered into a nonexclusive dealership agreement with John Deere which authorizes us to act as a</w:t>
      </w:r>
      <w:r>
        <w:rPr>
          <w:rFonts w:ascii="Arial" w:cs="Arial" w:eastAsia="Arial" w:hAnsi="Arial"/>
          <w:sz w:val="17"/>
          <w:szCs w:val="17"/>
          <w:i w:val="1"/>
          <w:iCs w:val="1"/>
          <w:color w:val="auto"/>
        </w:rPr>
        <w:t xml:space="preserve"> </w:t>
      </w:r>
      <w:r>
        <w:rPr>
          <w:rFonts w:ascii="Arial" w:cs="Arial" w:eastAsia="Arial" w:hAnsi="Arial"/>
          <w:sz w:val="17"/>
          <w:szCs w:val="17"/>
          <w:color w:val="auto"/>
        </w:rPr>
        <w:t>dealer of John Deere construction, utility and forestry equipment. This John Deere dealership agreement has no specified term or duration. Our current area of responsibility for the sale of John Deere construction equipment is the greater Houston, Texas metropolitan area. The John Deere dealership agreement imposes operational obligations and financial requirements of the Company. Similar to the dealership agreements with Peterbilt, the dealership agreement with John Deere is terminable if the outstanding aggregate voting power of W. Marvin Rush and other executives of the Company falls below 25%, grants limited rights of first refusal and imposes certain financial requirements upon us and our dealership. Although some protections exist, construction equipment dealers are not protected from arbitrary termination or non-renewal of dealership agreements by the legislation enacted to protect motor vehicle dealers discussed above.</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i w:val="1"/>
          <w:iCs w:val="1"/>
          <w:color w:val="auto"/>
        </w:rPr>
        <w:t xml:space="preserve">Other Construction Equipment Suppliers. </w:t>
      </w:r>
      <w:r>
        <w:rPr>
          <w:rFonts w:ascii="Arial" w:cs="Arial" w:eastAsia="Arial" w:hAnsi="Arial"/>
          <w:sz w:val="17"/>
          <w:szCs w:val="17"/>
          <w:color w:val="auto"/>
        </w:rPr>
        <w:t>In addition to John Deere, we are an authorized dealer for suppliers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equipment. The terms of such arrangements vary, but most of these dealership agreements contain termination provisions allowing the supplier to terminate the agreement after a specified notice period (usually 180 days).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Floor Plan Financing</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Trucks. </w:t>
      </w:r>
      <w:r>
        <w:rPr>
          <w:rFonts w:ascii="Arial" w:cs="Arial" w:eastAsia="Arial" w:hAnsi="Arial"/>
          <w:sz w:val="18"/>
          <w:szCs w:val="18"/>
          <w:color w:val="auto"/>
        </w:rPr>
        <w:t>We finance substantially our entire new truck inventory and the loan value of our used truck inventory under a floor</w:t>
      </w:r>
      <w:r>
        <w:rPr>
          <w:rFonts w:ascii="Arial" w:cs="Arial" w:eastAsia="Arial" w:hAnsi="Arial"/>
          <w:sz w:val="18"/>
          <w:szCs w:val="18"/>
          <w:i w:val="1"/>
          <w:iCs w:val="1"/>
          <w:color w:val="auto"/>
        </w:rPr>
        <w:t xml:space="preserve"> </w:t>
      </w:r>
      <w:r>
        <w:rPr>
          <w:rFonts w:ascii="Arial" w:cs="Arial" w:eastAsia="Arial" w:hAnsi="Arial"/>
          <w:sz w:val="18"/>
          <w:szCs w:val="18"/>
          <w:color w:val="auto"/>
        </w:rPr>
        <w:t>plan arrangement with General Electric Capital Corporation (“GE Capital”). Interest under the floor plan financing agreement is payable monthly and the rate varies from LIBOR plus 1.15% to LIBOR plus 1.50% depending on the month-end average aggregate amount outstanding under our GE Capital floor plan arrangement. As of December 31, 2009, we had approximately $173.0 million outstanding under our GE Capital floor plan arrangement. GE Capital may terminate this agreement without cause upon 120 days notice.</w:t>
      </w:r>
    </w:p>
    <w:p>
      <w:pPr>
        <w:spacing w:after="0" w:line="15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Construction Equipment. </w:t>
      </w:r>
      <w:r>
        <w:rPr>
          <w:rFonts w:ascii="Arial" w:cs="Arial" w:eastAsia="Arial" w:hAnsi="Arial"/>
          <w:sz w:val="16"/>
          <w:szCs w:val="16"/>
          <w:color w:val="auto"/>
        </w:rPr>
        <w:t>We finance substantially our entire new construction equipment inventory under floor plan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with John Deere and JPMorgan Chase (“Chase”). Our John Deere facility has no set expiration date and its interest rate is a maximum of the prime rate plus 1.5%, however, there is an interest free financing period, after which time the Company typically transfers the financed equipment to the Chase floor plan arrangement. The facility with Chase expires in June 2010 and the interest rate is the prime rate less 0.65%. As of December 31, 2009, we had $1.1 million outstanding under the floor plan arrangement with John Deere and $15.2 million outstanding under the floor plan arrangement with Chase.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Warranties</w:t>
      </w:r>
    </w:p>
    <w:p>
      <w:pPr>
        <w:spacing w:after="0" w:line="20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manufacturers we represent provide retail purchasers of their products with a limited warranty against defects in materials and workmanship, excluding certain specified components that are separately warranted by the suppliers of such components. The Company provides a one year warranty on Rig Tough parts. The Company also provides a one year extended warranty beyond the manufacturer’s warranty on new school buses sold in the State of Texas, as required by state law.</w:t>
      </w:r>
    </w:p>
    <w:p>
      <w:pPr>
        <w:spacing w:after="0" w:line="114"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We generally sell used commercial vehicles and construction equipment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 or used construction equipment.</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Trademarks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Peterbilt, John Deere, Volvo, GMC, Hino, Isuzu, Ford, International, Blue Bird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names “Rush Enterprises,” “Rush Truck Center,” “Rush Equipment Center,” “Associated Truck Insurance Services,” “Chrome Country” and “Rig Tough.”</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December 31, 2009, the Company had 2,465 employees. The Company has no contracts or collective bargaining agreements with labor unions and has never experienced work stoppages. The Company considers its relations with its employees to be good.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Seasonal effects in the Company’s Construction Equipment Segment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December 31, 2009, the Company’s backlog of commercial vehicle orders was approximately $110.6 million as compared to a backlog of commercial vehicle orders of approximately $106.2 million on December 31, 2008. The Company includes only confirmed orders in its backlog. The delivery time for a custom-ordered truck varies depending on the truck specifications and demand for the particular model ordered, however, the Company expects to fill all of its backlog orders during 2010. The Company sells the majority of its new commercial vehicles by customer special order, with the remainder sold out of inventory. Orders from a number of the Company’s major fleet customers are included in the Company’s backlog as of December 31, 2009.</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0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27"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3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 For example, EPA emissions guidelines regarding nitrous oxides recently came into effect for all diesel engines built subsequent to January 1, 2010, which could adversely affect demand for our products and services, which may in turn adversely affect our future results of operations.</w:t>
      </w:r>
    </w:p>
    <w:p>
      <w:pPr>
        <w:spacing w:after="0" w:line="141"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It is not possible at this time to predict how legislation or new regulations that may be adopted to address greenhouse gas emissions would impact our business. Any such future laws and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This report is qualified in its entirety by these risk factors.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We are substantially dependent upon PACCAR for the supply of Peterbilt trucks and parts, the sale of which generates the majority of our revenues.</w:t>
      </w:r>
    </w:p>
    <w:p>
      <w:pPr>
        <w:spacing w:after="0" w:line="13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currently operate as a dealer of Peterbilt trucks and parts pursuant to dealership agreements with Peterbilt, a division of PACCAR. During 2009, a significant portion of our revenues resulted from sales of trucks purchased from Peterbilt and parts purchased from PACCAR. Due to our dependence on PACCAR and Peterbilt, we believe that the long-term success of our Rush Truck Centers depends, in large part, on the following:</w:t>
      </w:r>
    </w:p>
    <w:p>
      <w:pPr>
        <w:spacing w:after="0" w:line="146"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maintaining our relationship with PACCAR;</w:t>
      </w:r>
    </w:p>
    <w:p>
      <w:pPr>
        <w:spacing w:after="0" w:line="198"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manufacture and delivery of competitively-priced, high quality Peterbilt trucks and parts by PACCAR in quantities sufficient to meet our requirements;</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overall success of PACCAR and Peterbilt;</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PACCAR’s continuation of its Peterbilt division;</w:t>
      </w:r>
    </w:p>
    <w:p>
      <w:pPr>
        <w:spacing w:after="0" w:line="198"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goodwill associated with the Peterbilt trademark, which can be adversely affected by decisions made by PACCAR and the owners of other Peterbilt dealerships; and</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PACCAR and Peterbilt’s ability to offer vehicles that meet federal and state emissions requirements.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control over the management or operation of PACCAR or Peterbilt dealerships that we do not own.</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Our results of operations and financial condition have been and will continue to be adversely affected by the conditions in the credit markets and unfavorable economic conditions in the United States.</w:t>
      </w:r>
    </w:p>
    <w:p>
      <w:pPr>
        <w:spacing w:after="0" w:line="13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Our business and operating results have been and will continue to be adversely affected by the unfavorable economic conditions in the United States, including the turbulence in the credit markets. In the commercial vehicle and construction equipment finance markets, tight credit conditions have resulted in a decrease in the availability of commercial vehicle and construction equipment loans and have led to more stringent lending restrictions. The decrease in availability of credit has adversely impacted demand for new and used construction equipment. Additionally, the economic conditions in the United States have adversely impacted general demand for new and used commercial vehicles and construction equipment. As a result, our new and used commercial vehicle and construction equipment sales and margins have been adversely impacted. If the unfavorable economic conditions continue for significant future periods or further deteriorate significantly and the availability of financing options remains limited, our commercial vehicle and construction equipment sales and margins will continue to be adversely impacted.</w:t>
      </w:r>
    </w:p>
    <w:p>
      <w:pPr>
        <w:spacing w:after="0" w:line="137"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Market conditions could also make it more difficult for us to raise additional capital or obtain additional financing to fund capital expenditure projects, refinance existing debt or acquisitions. Additional funds may not be available if needed and to the extent required or, if available, on acceptable terms. If we cannot raise necessary additional funds on acceptable terms, there could be an adverse impact on our business and operations. We also may not be able to fund expansion, take advantage of future opportunities or respond to competitive pressures or unanticipated requirements.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growth is subject to a number of economic risks.</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During economic downturns, new and used commercial vehicle and construction equipment retail sales tend to experience periods of decline characterized by oversupply and weak demand. The commercial vehicle and construction equipment retail industries may experience sustained periods of decline in commercial vehicle and construction equipment sales in the future. Any decline or change of this type could materially affect our business,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previously discussed, our business is subject to the adverse economic conditions currently present in the United States, including, without limitation, decreased levels of business activity, decreased freight demand, decreased construction activity, interest rate volatility, and limited credit availability. These adverse economic conditions could continue to materially affect our business, financial condition and results of operations.</w:t>
      </w:r>
    </w:p>
    <w:p>
      <w:pPr>
        <w:spacing w:after="0" w:line="16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Our new commercial vehicle and construction equipment sales may differ from industry sales, due to particular economic conditions and other factors in the geographic markets in which we operate. Adverse regional economic and competitive conditions in these areas could materially affect our business, financial condition and results of operations.</w:t>
      </w:r>
    </w:p>
    <w:p>
      <w:pPr>
        <w:spacing w:after="0" w:line="12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finance and insurance products, and parts and repair services.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198"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Our business requires inventories held for sale to be maintained at dealer locations in order to facilitate immediate sales to customers on demand. We generally purchase inventories with the assistance of floor plan financing agreements. Our floor plan financing agreements are with companies that have exposure to many different industries and counterparties, and routinely execute transactions with counterparties in the financial services industry, including brokers and dealers, commercial banks, investment banks and other institutional clients. Additionally, our floor plan providers may have exposure to financial institutions in the form of equity investments and unsecured debt instruments. Write-downs of mortgage-backed securities, credit default swaps and other derivative securities, have caused many financial institutions to seek additional capital, to merge with larger and stronger institutions and, in some cases, to fail. Many lenders and institutional investors have reduced, and in some cases, ceased to provide funding to borrowers including other financial institutions such as our floor plan providers.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floor plan financing agreements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and construction equipment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6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positions.</w:t>
      </w:r>
    </w:p>
    <w:p>
      <w:pPr>
        <w:spacing w:after="0" w:line="13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w:t>
      </w:r>
    </w:p>
    <w:p>
      <w:pPr>
        <w:jc w:val="both"/>
        <w:ind w:left="340" w:right="559" w:hanging="8"/>
        <w:spacing w:after="0" w:line="284" w:lineRule="auto"/>
        <w:tabs>
          <w:tab w:leader="none" w:pos="5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the election of directors, the aggregate voting power held by W. Marvin Rush, W. M. “Rusty” Rush, W. Marvin Rush’s family members and other executives of the Company decreases below 30% (such persons currently control 34.2% of the aggregate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Our John Deere dealership agreement and some of our medium-duty truck dealership agreements are also terminable if the aggregate voting power of W. Marvin Rush and his family members falls below certain percentages, typically 25%. If our dealership agreements with Peterbilt are terminated, we will lose the right to purchase such manufacturer’s products and the right to use certain trademarks, which would have a material adverse effect on our operations, revenues and profitability.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43"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Our truck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in the states in which we operate dealerships, our manufacturers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could have a material adverse effect on our operations, revenues and profitability.</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Our dealership agreements have relatively short terms which could result in non-renewal or imposition of less favorable terms upon renewal.</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Our Peterbilt dealership agreements have current terms expiring between March 2010 and October 2012. Our Volvo dealership agreement has a current term expiring August 2010. Our International dealership agreement has a current term expiring May 2013. Our dealership agreements with GMC, Hino, UD, Ford, Isuzu, Diamond, Elkhart and Blue Bird for the sale of medium-duty commercial vehicles have current terms expiring between August 2010 and August 2013. Upon expiration of each agreement, we must request and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3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We depend on relationships with suppliers for sales incentives, discounts and similar programs which are material to our operations.</w:t>
      </w:r>
    </w:p>
    <w:p>
      <w:pPr>
        <w:spacing w:after="0" w:line="13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or our component suppliers making the same incentives and discounts available to our competitors, could materially adversely affect our profitability.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Substantial competition may affect our profitability.</w:t>
      </w:r>
    </w:p>
    <w:p>
      <w:pPr>
        <w:spacing w:after="0" w:line="19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We face vigorous competition for customers and for suitable dealership locations. We compete with a large number of independent dealers, factory-owned dealers, and independent service centers, some of which operate in more than one location, but most of which operate in a single location. There is significant competition both within the markets we currently serve and in markets that we may enter. Moreover, our dealership agreements generally do not contractually provide us with exclusive dealerships in any territory.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could incur substantial business interruptions during our dealer management system conversion</w:t>
      </w:r>
      <w:r>
        <w:rPr>
          <w:rFonts w:ascii="Arial" w:cs="Arial" w:eastAsia="Arial" w:hAnsi="Arial"/>
          <w:sz w:val="18"/>
          <w:szCs w:val="18"/>
          <w:color w:val="auto"/>
        </w:rPr>
        <w:t>.</w:t>
      </w:r>
    </w:p>
    <w:p>
      <w:pPr>
        <w:spacing w:after="0" w:line="19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We will continue to implement SAP enterprise software and a new SAP dealership management system throughout the organization during 2010. The estimated cost of the implementation is approximately $34.0 million. SAP’s dealership management system will become our sole dealership management system for our Rush Truck Centers. We currently operate on a KARMAK Legend Enterprise Solution and our Rush Truck Centers operate on KARMAK Legend dealer management system. By implementing SAP, we believe that we will be able to standardize operational processes throughout our network of Rush Truck Centers. However, if our implementation of SAP is unsuccessful, we could incur substantial business interruptions, including the inability to perform routine business transactions, which could have a significant impact on our financial performance.</w:t>
      </w:r>
    </w:p>
    <w:p>
      <w:pPr>
        <w:spacing w:after="0" w:line="15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3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We believe that our success depends significantly upon the efforts and abilities of our executive management and key employees, including, in particular, W. Marvin Rush and W. M. ”Rusty” Rush. Additionally, our business is dependent upon our ability to continue to attract and retain qualified personnel, such as executive officers, managers and sales personnel. The loss of the services of one or more members of our senior management team, including, in particular, W. Marvin Rush or W. M. ”Rusty” Rush, could have a material adverse effect on us and materially impair the efficiency and productivity of our operations. In addition, the loss of any of our key employees or the failure to attract additional qualified executive officers, managers and sales personnel could have a material adverse effect on our business and may materially impact the ability of our dealerships to conduct their operations in accordance with our business strategy.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dealerships are concentrated in states and regions in the United States in which actual or threatened natural disasters and severe weather events (such as hurricanes, earthquakes, fires, floods and hail storms) may disrupt our store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may be exposed to uninsured or underinsured losses that could have a material adverse effect on our business, financial condition, results of operations or cash flows.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198"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As of December 31, 2009, our backlog of new commercial vehicle orders was approximately $110.6 million. Our backlog is determined quarterly by multiplying the number of new commercial vehicles for each particular type of commercial vehicle ordered by a customer at our Rush Truck Centers by the recent average selling price for that type of commercial vehicle.</w:t>
      </w:r>
    </w:p>
    <w:p>
      <w:pPr>
        <w:spacing w:after="0" w:line="10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We only include confirmed orders in our backlog. However, such orders are subject to cancellation. In the event of order cancellation, we have no contractual right to the total revenues reflected in our backlog. The delivery time for a custom-ordered truck varies depending on the truck specifications and demand for the particular model ordered. We sell the majority of our new heavy-duty trucks by customer special order, with the remainder sold out of inventory. Orders from a number of our major fleet customers are included in our backlog as of December 31, 2009. However, our major fleet customers could cancel these orders.</w:t>
      </w:r>
    </w:p>
    <w:p>
      <w:pPr>
        <w:spacing w:after="0" w:line="11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5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Our dealerships are subject to federal, state and local environmental regulations that may result in claims and liabilities, which could be material.</w:t>
      </w:r>
    </w:p>
    <w:p>
      <w:pPr>
        <w:spacing w:after="0" w:line="13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 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5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could result in increased operating costs and reduced demand for our products and services.</w:t>
      </w:r>
    </w:p>
    <w:p>
      <w:pPr>
        <w:spacing w:after="0" w:line="13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It is not possible at this time to predict how legislation or new regulations that may be adopted to address climate change or greenhouse gas emissions would impact our business. Any such future laws and regulations could result in increased compliance costs, additional operating restrictions, or reduced demand for our products and services which could have a material adverse effect on our business, financial condition and results of operation.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Negative conditions in global credit markets may impair our investments in auction rate securities.</w:t>
      </w:r>
    </w:p>
    <w:p>
      <w:pPr>
        <w:spacing w:after="0" w:line="19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Auction rate securities (“ARS”) are long-term debt instruments with interest rates that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127"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As a result of the conditions in the global credit markets, we have been unable to liquidate our holdings of certain ARS because the amount of securities submitted for sale has exceeded the amount of purchase orders for such securities and the auctions failed. As of December 31, 2009, the Company held approximately $7.6 million in ARS. For failed auctions,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adjust the carrying value of the securities and record an impairment charge. If we determine that the fair value of these ARS is temporarily impaired, we would record a temporary impairment within other comprehensive income, a component of stockholders’ equity. If it is determined that the fair value of these securities is other than temporarily impaired, we would recognize the credit loss portion of the other than temporary impairment in earnings, which could materially adversely impact our results of operations and financial condition. Any noncredit loss would be recognized in other comprehensive income. For further discussion of the risks related to our auction rate securities, see Note 18 – Investments of the Notes to Consolidated Financial Statements and Item 6A – Quantitative and Qualitative Disclosures about Market Risk.</w:t>
      </w:r>
    </w:p>
    <w:p>
      <w:pPr>
        <w:spacing w:after="0" w:line="13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An impairment in the carrying value of goodwill and other indefinite-lived intangible assets could negatively affect our operating results.</w:t>
      </w:r>
    </w:p>
    <w:p>
      <w:pPr>
        <w:spacing w:after="0" w:line="143"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We have a substantial amount of goodwill on our balance sheet as a result of acquisitions we have completed. Approximately 95% of these intangibles are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a prolonged period for the current global recession and tight credit markets, further decline in economic conditions or a slow, weak economic recovery, adverse changes in the regulatory environment, any matters that impact Peterbilt’s ability to provide trucks to us, issues with our Peterbilt franchise rights, or other factors leading to reductions in expected long-term sales or profitability.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are controlled by a single shareholder and his affiliates.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 Marvin Rush owns approximately 0.1% of our issued and outstanding shares of Class A common stock and 38.4% of our issued and outstanding Class B common stock. W. Marvin Rush and W. M. “Rusty” Rush collectively control more than 34.2% of the aggregate voting power of our outstanding shares and voting power which is superior to that of any other person or group. The interests of W. Marvin Rush and W.M. “Rusty” Rush may not be consistent with your interests as a shareholder. As a result of such ownership, W. Marvin Rush and W. M. “Rusty” Rush have the power to effectively control the Company, including the election of directors, the determination of matters requiring shareholder approval and other matters pertaining to corporate governance.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Class A common stock has limited voting power.</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Our dealership agreements could discourage another company from acquiring us and impede our ability to issue additional stock to raise capital or as consideration for future acquisitions.</w:t>
      </w:r>
    </w:p>
    <w:p>
      <w:pPr>
        <w:spacing w:after="0" w:line="13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A number of our dealership agreements impose restrictions on the sale and transfer of our common stock. These restrictions also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control of at least 30% of the aggregate voting power of our outstanding shares and voting power equal or superior to that of any other person or group.</w:t>
      </w:r>
    </w:p>
    <w:p>
      <w:pPr>
        <w:spacing w:after="0" w:line="15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W.M. “Rusty” Rush and the requirement in our dealership agreements that certain dealer principals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w:t>
      </w:r>
    </w:p>
    <w:p>
      <w:pPr>
        <w:spacing w:after="0" w:line="13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acquire additional dealerships. These restrictions also may impede our ability to raise required capital or to issue our stock as consideration for future acquisitions.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39"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market price of our Class B common stock has historically been lower than the market price of our Class A common stock. The volume of trading in our Class B common stock varies greatly and may often be light. As of March 1, 2010, the three-month average daily trading volume of our Class B common stock was approximately 6,210 shares, with several days having a trading volume below 500 shares. W. Marvin Rush, our Chairman, owns approximately 38.4% of our Class B common stock. If any large shareholder, including W. Marvin Rush, were to begin selling shares in the market rather than holding such shares over a longer term,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Company’s corporate headquarters are located in New Braunfels, Texas. As of December 2009, the Company also owns or leases numerous facilities relating to our operations in the following states: Alabama, Arizona, California, Colorado, Florida, Georgia, New Mexico, North Carolina, Oklahoma, Tennessee and Texas. A Rush Truck Center or Rush Equipment Center may be comprised of one or more locations, generally in close proximity, in the same metropolitan area. These facilities consist primarily of office space, display lots, service facilities and parking lots.</w:t>
      </w:r>
    </w:p>
    <w:p>
      <w:pPr>
        <w:spacing w:after="0" w:line="13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Company’s truck leasing operations lease additional space in Phoenix, Arizona, Pico Rivera, California, Gallup, New Mexico and Orlando, Florida.</w:t>
      </w:r>
    </w:p>
    <w:p>
      <w:pPr>
        <w:spacing w:after="0" w:line="143"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Company’s insurance agency occupies approximately 7,000 square feet of leased space in San Antonio, Texas; 2,000 square feet of leased space in Winter Garden, Florida; 525 square feet of leased space in Austin, Texas; and 2,440 square feet of leased space in Laguna Niguel, California. The Company leases a hangar in New Braunfels, Texas for the corporate aircraft. The Company also owns and operates a guest ranch of approximately 9,500 acres near Cotulla, Texas. The Company uses the ranch for client development purposes and sells hunting trips on the ranch.</w:t>
      </w:r>
    </w:p>
    <w:p>
      <w:pPr>
        <w:spacing w:after="0" w:line="12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ind w:left="1060" w:right="559" w:hanging="728"/>
        <w:spacing w:after="0" w:line="282" w:lineRule="auto"/>
        <w:tabs>
          <w:tab w:leader="none" w:pos="1040" w:val="left"/>
        </w:tabs>
        <w:rPr>
          <w:sz w:val="20"/>
          <w:szCs w:val="20"/>
          <w:color w:val="auto"/>
        </w:rPr>
      </w:pPr>
      <w:r>
        <w:rPr>
          <w:rFonts w:ascii="Arial" w:cs="Arial" w:eastAsia="Arial" w:hAnsi="Arial"/>
          <w:sz w:val="18"/>
          <w:szCs w:val="18"/>
          <w:b w:val="1"/>
          <w:bCs w:val="1"/>
          <w:color w:val="auto"/>
        </w:rPr>
        <w:t>Item 4.</w:t>
        <w:tab/>
        <w:t>Market for Registrant’s Common Equity, Related Shareholder Matters, and Issuer Purchases of Equity Securities</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trades on The NASDAQ Global Select Market</w:t>
      </w:r>
      <w:r>
        <w:rPr>
          <w:rFonts w:ascii="Arial" w:cs="Arial" w:eastAsia="Arial" w:hAnsi="Arial"/>
          <w:sz w:val="15"/>
          <w:szCs w:val="15"/>
          <w:color w:val="auto"/>
        </w:rPr>
        <w:t>SM</w:t>
      </w:r>
      <w:r>
        <w:rPr>
          <w:rFonts w:ascii="Arial" w:cs="Arial" w:eastAsia="Arial" w:hAnsi="Arial"/>
          <w:sz w:val="18"/>
          <w:szCs w:val="18"/>
          <w:color w:val="auto"/>
        </w:rPr>
        <w:t xml:space="preserve"> under the symbols RUSHA and RUSHB.</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15"/>
          <w:szCs w:val="15"/>
          <w:color w:val="auto"/>
        </w:rPr>
        <w:t>SM</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2009</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2008</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18.78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r>
    </w:tbl>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March 4, 2010, there were approximately 44 record holders of the Class A common stock and approximately 50 record holders of the Class B common stock.</w:t>
      </w:r>
    </w:p>
    <w:p>
      <w:pPr>
        <w:spacing w:after="0" w:line="13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did not pay dividends during the fiscal year ended December 31, 2009, or the fiscal year ended December 31, 2008. 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sold any securities in the last three years that were not registered under the Securities Act.</w:t>
      </w:r>
    </w:p>
    <w:p>
      <w:pPr>
        <w:spacing w:after="0" w:line="2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fourth quarter of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 Purchased</w:t>
            </w: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Total Number</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Average Price</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Part of Publicly</w:t>
            </w:r>
          </w:p>
        </w:tc>
        <w:tc>
          <w:tcPr>
            <w:tcW w:w="18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of Shares</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Paid Per</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Purchased</w:t>
            </w:r>
          </w:p>
        </w:tc>
        <w:tc>
          <w:tcPr>
            <w:tcW w:w="16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Programs (1)(2)</w:t>
            </w:r>
          </w:p>
        </w:tc>
      </w:tr>
      <w:tr>
        <w:trPr>
          <w:trHeight w:val="210"/>
        </w:trPr>
        <w:tc>
          <w:tcPr>
            <w:tcW w:w="2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2009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6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November 1 – 30, 2009</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2009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6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92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Quarter Total</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2,093,321</w:t>
            </w:r>
          </w:p>
        </w:tc>
      </w:tr>
    </w:tbl>
    <w:p>
      <w:pPr>
        <w:spacing w:after="0" w:line="107" w:lineRule="exact"/>
        <w:rPr>
          <w:sz w:val="20"/>
          <w:szCs w:val="20"/>
          <w:color w:val="auto"/>
        </w:rPr>
      </w:pPr>
    </w:p>
    <w:p>
      <w:pPr>
        <w:jc w:val="both"/>
        <w:ind w:left="680" w:right="559" w:hanging="348"/>
        <w:spacing w:after="0" w:line="311"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The stock repurchase program has no expiration date and may be suspended or discontinued at any time.</w:t>
      </w: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2009, the Company has repurchased 1,639,843 shares of its Class B common stock at a cost of $17.9 million, none of which occurred during the 2009 fiscal year.</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11, “Security Ownership of Certain Beneficial Owners and Management and Related Shareholder Matters,” of this annual report on Form 10-K, and should be considered an integral part of this Item 4.</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Selected Financial Data</w:t>
      </w:r>
    </w:p>
    <w:p>
      <w:pPr>
        <w:spacing w:after="0" w:line="202" w:lineRule="exact"/>
        <w:rPr>
          <w:sz w:val="20"/>
          <w:szCs w:val="20"/>
          <w:color w:val="auto"/>
        </w:rPr>
      </w:pPr>
    </w:p>
    <w:p>
      <w:pPr>
        <w:jc w:val="both"/>
        <w:ind w:left="340" w:right="1760" w:firstLine="373"/>
        <w:spacing w:after="0" w:line="271" w:lineRule="auto"/>
        <w:rPr>
          <w:sz w:val="20"/>
          <w:szCs w:val="20"/>
          <w:color w:val="auto"/>
        </w:rPr>
      </w:pPr>
      <w:r>
        <w:rPr>
          <w:rFonts w:ascii="Arial" w:cs="Arial" w:eastAsia="Arial" w:hAnsi="Arial"/>
          <w:sz w:val="17"/>
          <w:szCs w:val="17"/>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17 to the Company’s Consolidated Financial Statements for a discussion of such acquisitions. The selected financial data presented below should be read in conjunction with the Company’s other financial information included elsewhere herein.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SUMMARY OF INCOME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STATEMENT DATA</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New and used commercial vehicle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738,705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w:t>
            </w:r>
          </w:p>
        </w:tc>
        <w:tc>
          <w:tcPr>
            <w:tcW w:w="18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1,041,189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1,393,253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1,780,418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1,400,736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Parts and service</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410,839</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478,439</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480,611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441,424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365,908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equipment sales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22,799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74,986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Lease and rental</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53,710</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54,813</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52,103</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41,776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33,975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and insurance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7,630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12,291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5,606</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6,056</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8,163</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8,163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1,239,289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1,654,956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2,030,779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2,350,523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1,864,770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1,014,198</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1,358,244</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1,678,711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1,997,856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1,582,078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225,091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296,712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352,068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352,667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199,496</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228,057</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240,661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230,056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188,667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16,440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14,935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9,315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109,776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6,099</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7,830</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14,909</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15,718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12,895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81,802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(2,668)</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16,222</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30,310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35,272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26,513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51,492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37,066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38,089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Diluted weighted average shares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37,597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assumed conversions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38,587</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38,746</w:t>
            </w: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37,890</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37,436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w w:val="89"/>
              </w:rPr>
              <w:t>22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Unit vehicle sales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vehicles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6,615</w:t>
            </w: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9,289</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16,492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12,918</w:t>
            </w:r>
          </w:p>
        </w:tc>
        <w:tc>
          <w:tcPr>
            <w:tcW w:w="0" w:type="dxa"/>
            <w:vAlign w:val="bottom"/>
          </w:tcPr>
          <w:p>
            <w:pPr>
              <w:spacing w:after="0"/>
              <w:rPr>
                <w:sz w:val="1"/>
                <w:szCs w:val="1"/>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Used vehicles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2,875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4,005</w:t>
            </w: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unit vehicles 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9,490</w:t>
            </w: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Truck lease and rental units (including</w:t>
            </w: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3,033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units under contract maintenance)</w:t>
            </w: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0"/>
                <w:szCs w:val="20"/>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2,404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2,345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5"/>
              </w:rPr>
              <w:t>(in thousands)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159,182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177,117</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   197,805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156,297</w:t>
            </w: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   126,137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269,955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362,234</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365,947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484,696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338,212</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977,297</w:t>
            </w:r>
          </w:p>
        </w:tc>
        <w:tc>
          <w:tcPr>
            <w:tcW w:w="16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1,056,790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1,031,591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1,128,410</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840,234</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Floor plan notes payable</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189,256</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282,702</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273,653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446,354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315,985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Line-of-credit borrowings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including current</w:t>
            </w: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209,502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portion</w:t>
            </w: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209,677</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198,945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192,124</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133,152</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Capital lease obligations, including</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34,444</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14,820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17,543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17,732</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16,905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426,225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416,041</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399,577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339,608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273,620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319"/>
        <w:spacing w:after="0" w:line="456" w:lineRule="auto"/>
        <w:rPr>
          <w:sz w:val="20"/>
          <w:szCs w:val="20"/>
          <w:color w:val="auto"/>
        </w:rPr>
      </w:pPr>
      <w:r>
        <w:rPr>
          <w:rFonts w:ascii="Arial" w:cs="Arial" w:eastAsia="Arial" w:hAnsi="Arial"/>
          <w:sz w:val="18"/>
          <w:szCs w:val="18"/>
          <w:b w:val="1"/>
          <w:bCs w:val="1"/>
          <w:color w:val="auto"/>
        </w:rPr>
        <w:t>Item 6. Management’s Discussion and Analysis of Financial Condition and Results of Operations General</w:t>
      </w:r>
    </w:p>
    <w:p>
      <w:pPr>
        <w:spacing w:after="0" w:line="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While 2009 was one of the most difficult operating environments since the 1980s, and even worse than originally anticipated, the Company was able to remain profitable. The Company was able to generate positive cash flow despite the worst market conditions in over 25 years, while making significant investments in technology and facilities. The Company is continuing its strategic focus to improve the quality of earnings by building a network that is diverse in product offerings, customer base and geography.</w:t>
      </w:r>
    </w:p>
    <w:p>
      <w:pPr>
        <w:spacing w:after="0" w:line="16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During the second quarter of 2009, the Company recorded a $4.9 million pre-tax impairment charge related to General Motors’ decision to discontinue manufacturing medium-duty trucks and to wind-down the Company’s GMC Medium-Duty Truck Dealership Agreements. A significant portion of the impairment charge was an estimate of the inventory valuation allowance associated with the disposal of the Company</w:t>
      </w:r>
      <w:r>
        <w:rPr>
          <w:rFonts w:ascii="Arial" w:cs="Arial" w:eastAsia="Arial" w:hAnsi="Arial"/>
          <w:sz w:val="17"/>
          <w:szCs w:val="17"/>
          <w:b w:val="1"/>
          <w:bCs w:val="1"/>
          <w:color w:val="auto"/>
        </w:rPr>
        <w:t>’</w:t>
      </w:r>
      <w:r>
        <w:rPr>
          <w:rFonts w:ascii="Arial" w:cs="Arial" w:eastAsia="Arial" w:hAnsi="Arial"/>
          <w:sz w:val="17"/>
          <w:szCs w:val="17"/>
          <w:color w:val="auto"/>
        </w:rPr>
        <w:t>s remaining GMC truck and parts inventories. During the third and fourth quarters of 2009, the Company made a $1.9 million reduction of the estimated impairment charge related to its GMC truck and parts inventory because it was able to sell some of the GMC inventory at higher prices than originally estimated.</w:t>
      </w:r>
    </w:p>
    <w:p>
      <w:pPr>
        <w:spacing w:after="0" w:line="13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opened new facilities and expanded existing facilities in 2009, and is on schedule to open its new Rush Truck Center facility in Oklahoma City in 2010. The Company also added Hino and Isuzu franchises to some of its truck centers to compensate for the effects of GMC’s departure from the truck market and its loss of GMC franchises. The Company continued to establish itself as a leading provider of alternative fuel commercial vehicles and aftermarket services, and rebated several million dollars to municipalities and fleets who have been early adopters of these technologies. In 2009, the Company continued to expand its breadth of product across vocational markets with the launch of Rush Towing Systems, which represents Jerr-Dan carriers and wreckers at locations in Texas, Oklahoma and New Mexico.</w:t>
      </w:r>
    </w:p>
    <w:p>
      <w:pPr>
        <w:spacing w:after="0" w:line="137"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believes that weak general economic conditions in the United States will make 2010 another difficult year. A.C.T. Research Co., LLC (“A.C.T. Research”), a truck industry data and forecasting service provider, currently predicts U.S. retail sales of Class 8 trucks of approximately 114,000 units in 2010, a 17.5% increase from 2009. However, Company management believes that U. S. Class 8 retail sales will only increase to about 105,000 units, an 8% increase from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U.S. medium-duty commercial vehicle sales declined 36% in 2009, compared to 2008, as reported by A.C.T. Research. A.C.T. Research currently predicts U.S. retail sales of Class 4, 5, 6, and 7 medium-duty commercial vehicles of approximately 123,500 units in 2010, an 11% increase from the number of deliveries in 2009.</w:t>
      </w:r>
    </w:p>
    <w:p>
      <w:pPr>
        <w:spacing w:after="0" w:line="154"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expects to see a slight increase in new commercial vehicle sales during the first quarter of 2010, as compared to the fourth quarter of 2009, as commercial vehicles with engines manufactured before new diesel emissions regulations took effect on January 1, 2010, are delivered from its inventory. The Company expects commercial vehicle sales to be extremely sluggish in the second and third quarters of 2010 as new technology begins to gradually gain acceptance in the marketplace. The Company does not believe any sustainable increase in retail commercial vehicle sales will occur until late in 2010.</w:t>
      </w:r>
    </w:p>
    <w:p>
      <w:pPr>
        <w:spacing w:after="0" w:line="11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Company’s parts, service and body shop sales decreased approximately 14% in 2009 compared to 2008. The Company’s truck dealerships’ overall absorption rate, as described below, was 95.7%, in 2009 compared to 105.5% in 2008. If general economic conditions in the United States continue to improve in 2010, the Company is hopeful that it can increase its absorption rate (as described below) and increase parts, service and body shop sales over 2009 levels as excess capacity begins to be utilized. Aftermarket parts, service and body shop sales were negatively impacted by excess truck capacity during 2009, as many customers have been able to put their excess truck capacity into service, allowing them to delay repair and maintenance and use trucks not being utilized for replacement parts needs.</w:t>
      </w:r>
    </w:p>
    <w:p>
      <w:pPr>
        <w:spacing w:after="0" w:line="13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2009, the Company’s construction equipment segment revenue decreased by 53.6%. This decrease was largely attributable to the weakening construction market in the Houston area. Current industry forecasts suggest that construction equipment sales will decline approximately 10% in the Houston area during 2010, compared to 2009.</w:t>
      </w:r>
    </w:p>
    <w:p>
      <w:pPr>
        <w:spacing w:after="0" w:line="154"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 earns federal income tax credits on the sale of alternative fuel vehicles to tax-exempt entities. These tax credits are reflected as tax benefits in the Company’s Consolidated Statements of Income. A portion of these tax credits are passed back to the tax-exempt customer and are reflected as SG&amp;A expense to the Company in the quarter in which the commercial vehicles are sold. These alternative fuel tax credits and the amount passed back to the customers are directly attributable to the sale of a commercial vehicle. Accordingly, the Company believes the tax credits and the amounts passed back to customers should be considered operating items when analyzing the financial performance of the Company. The Company believes its history of serving municipalities and other tax-exempt customers that cannot claim these federal tax credits, its ability to utilize tax credits and pass back savings to these tax-exempt customers, and its position as a leading dealer of alternative fuel vehicles provide the Company with a distinct advantage over its competition when offering alternative fuel vehicles to tax-exempt entities.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189"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i w:val="1"/>
          <w:iCs w:val="1"/>
          <w:color w:val="auto"/>
        </w:rPr>
        <w:t xml:space="preserve">Absorption Rate. </w:t>
      </w:r>
      <w:r>
        <w:rPr>
          <w:rFonts w:ascii="Arial" w:cs="Arial" w:eastAsia="Arial" w:hAnsi="Arial"/>
          <w:sz w:val="18"/>
          <w:szCs w:val="18"/>
          <w:color w:val="auto"/>
        </w:rPr>
        <w:t>The management of the Company uses several performance metrics to evaluate the performance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dealerships. The Company 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then. The Company’s truck dealerships achieved a 105.5% absorption rate for the year in 2008 and 95.7% absorption rate for the year in 2009.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Dividend</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4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each of its segments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4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determines the fair value of its reporting units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2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has historically performed an annual impairment review of goodwill during the fourth quarter of each year, however, an interim evaluation of goodwill was required during the second quarter of 2009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19 for further discussion of the wind-down of the Company’s medium-duty GMC truck franchise agreements.</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Goodwill was tested for impairment during the fourth quarter of 2009 and no impairment write down was required. The fair value of each of our reporting units exceeded the carrying value of its net assets. As a result, we were not required to conduct the second step of the impairment test. The Company does not believe any of its reporting units are at risk of failing step one of the impairment test.</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Finance and Insurance Revenue Recognition</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During 2009, 2008 and 2007, finance contracts were not retained by the Company for any significant length of time because finance contracts are generally sold to finance companies concurrent with the sale of the related unit.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24"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significantly different than the Company’s estimates.</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adjust our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 A 10% change in the Company’s estimate would have changed its reserve for these losses at December 31, 2009 by $0.5 million.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6"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46" w:lineRule="exact"/>
        <w:rPr>
          <w:sz w:val="20"/>
          <w:szCs w:val="20"/>
          <w:color w:val="auto"/>
        </w:rPr>
      </w:pPr>
    </w:p>
    <w:p>
      <w:pPr>
        <w:jc w:val="both"/>
        <w:ind w:left="340" w:right="1760" w:firstLine="373"/>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Standards</w:t>
      </w:r>
    </w:p>
    <w:p>
      <w:pPr>
        <w:spacing w:after="0" w:line="189" w:lineRule="exact"/>
        <w:rPr>
          <w:sz w:val="20"/>
          <w:szCs w:val="20"/>
          <w:color w:val="auto"/>
        </w:rPr>
      </w:pPr>
    </w:p>
    <w:p>
      <w:pPr>
        <w:jc w:val="both"/>
        <w:ind w:left="340" w:right="1760" w:firstLine="373"/>
        <w:spacing w:after="0" w:line="272" w:lineRule="auto"/>
        <w:rPr>
          <w:sz w:val="20"/>
          <w:szCs w:val="20"/>
          <w:color w:val="auto"/>
        </w:rPr>
      </w:pPr>
      <w:r>
        <w:rPr>
          <w:rFonts w:ascii="Arial" w:cs="Arial" w:eastAsia="Arial" w:hAnsi="Arial"/>
          <w:sz w:val="17"/>
          <w:szCs w:val="17"/>
          <w:color w:val="auto"/>
        </w:rPr>
        <w:t>On January 21, 2010, the FASB issued Accounting Standards Update (“ASU”) 2010-06. ASU 2010-06 amends ASC 820, “Fair Value Measurements,” and adds new requirements for disclosures about transfers into and out of Levels 1 and 2 in the fair value hierarchy and additional disclosures about purchases, sales, issuances and settlements relating to Level 3 fair value measurements. Additionally, it clarifies existing fair value disclosures about the level of disaggregation about inputs and valuation techniques used to measure fair value. ASU 2010-06 is generally effective for the first reporting period beginning after December 15, 2009. The Company does not expect the adoption of ASU 2010-06 to have a significant impact on its consolidated results of operations and financial position.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1760" w:firstLine="373"/>
        <w:spacing w:after="0" w:line="308" w:lineRule="auto"/>
        <w:rPr>
          <w:sz w:val="20"/>
          <w:szCs w:val="20"/>
          <w:color w:val="auto"/>
        </w:rPr>
      </w:pPr>
      <w:r>
        <w:rPr>
          <w:rFonts w:ascii="Arial" w:cs="Arial" w:eastAsia="Arial" w:hAnsi="Arial"/>
          <w:sz w:val="17"/>
          <w:szCs w:val="17"/>
          <w:color w:val="auto"/>
        </w:rPr>
        <w:t>The following discussion and analysis includes the Company’s historical results of operations for 2009, 2008 and 2007. The following table sets forth for the years indicated certain financial data as a percentage of total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2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4"/>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3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Parts and service</w:t>
            </w:r>
          </w:p>
        </w:tc>
        <w:tc>
          <w:tcPr>
            <w:tcW w:w="3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33.2</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 and rental</w:t>
            </w:r>
          </w:p>
        </w:tc>
        <w:tc>
          <w:tcPr>
            <w:tcW w:w="3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4.3</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4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4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8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7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vMerge w:val="restart"/>
          </w:tcPr>
          <w:p>
            <w:pPr>
              <w:jc w:val="right"/>
              <w:ind w:right="690"/>
              <w:spacing w:after="0"/>
              <w:rPr>
                <w:sz w:val="20"/>
                <w:szCs w:val="20"/>
                <w:color w:val="auto"/>
              </w:rPr>
            </w:pPr>
            <w:r>
              <w:rPr>
                <w:rFonts w:ascii="Arial" w:cs="Arial" w:eastAsia="Arial" w:hAnsi="Arial"/>
                <w:sz w:val="18"/>
                <w:szCs w:val="18"/>
                <w:color w:val="auto"/>
              </w:rPr>
              <w:t>27</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commercial vehicles and the absorption rate for the years indicated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6"/>
              </w:rPr>
              <w:t>% Change</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2009</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79"/>
              </w:rPr>
              <w:t>vs</w:t>
            </w:r>
          </w:p>
        </w:tc>
        <w:tc>
          <w:tcPr>
            <w:tcW w:w="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79"/>
              </w:rPr>
              <w:t>vs</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3,972</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5,516</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7,230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0"/>
              <w:spacing w:after="0"/>
              <w:rPr>
                <w:sz w:val="20"/>
                <w:szCs w:val="20"/>
                <w:color w:val="auto"/>
              </w:rPr>
            </w:pPr>
            <w:r>
              <w:rPr>
                <w:rFonts w:ascii="Arial" w:cs="Arial" w:eastAsia="Arial" w:hAnsi="Arial"/>
                <w:sz w:val="18"/>
                <w:szCs w:val="18"/>
                <w:color w:val="auto"/>
              </w:rPr>
              <w:t>Total new vehicle unit sales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6,615</w:t>
            </w:r>
          </w:p>
        </w:tc>
        <w:tc>
          <w:tcPr>
            <w:tcW w:w="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9,289</w:t>
            </w:r>
          </w:p>
        </w:tc>
        <w:tc>
          <w:tcPr>
            <w:tcW w:w="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12,712</w:t>
            </w:r>
          </w:p>
        </w:tc>
        <w:tc>
          <w:tcPr>
            <w:tcW w:w="440" w:type="dxa"/>
            <w:vAlign w:val="bottom"/>
            <w:vMerge w:val="continue"/>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4,101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b w:val="1"/>
                <w:bCs w:val="1"/>
                <w:color w:val="auto"/>
              </w:rPr>
              <w:t>Vehicle revenue: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871.8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163.7</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289.4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1,161.2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Used vehicle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211.7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b w:val="1"/>
                <w:bCs w:val="1"/>
                <w:color w:val="auto"/>
              </w:rPr>
              <w:t>Truck dealership absorption rate:</w:t>
            </w:r>
          </w:p>
        </w:tc>
        <w:tc>
          <w:tcPr>
            <w:tcW w:w="1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104.5%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sales of glider kits, truck bodies, trailers and other new equipment.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We currently operate in the commercial vehicle and construction equipment markets. There has historically been a high correlation in both of these markets between new product sales, the rate of change in U.S. industrial production and the U.S. gross domestic product.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Heavy-Duty Truck Market</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serves the southern U.S. retail heavy-duty truck market, which is affected by a number of factors relating to general economic conditions, including fuel prices, government regulation, interest rate fluctuations, economic recessions and customer business cycles. In addition,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 The Company’s share of the U.S. Class 8 truck sales market increased approximately 5% to 4.1% in 2009, up from 3.9% in 2008.</w:t>
      </w:r>
    </w:p>
    <w:p>
      <w:pPr>
        <w:spacing w:after="0" w:line="138"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Typically, Class 8 trucks are assembled by manufacturers utilizing certain components manufactured by other companies, including engines, transmissions, axles, wheels and other components. As commercial vehicles and commercial vehicle components have become increasingly complex, the ability to provide state-of-the-art service for a wide variety of truck equipment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particularly private fleets, and seek to establish full-service leases or rental contracts, which provide for turnkey service including parts, maintenance and, potentially, fuel, fuel tax reporting and other services. Differentiation between commercial vehicle dealers has become less dependent on pure price competition and is increasingly based on a dealer’s ability to offer a wide variety of services to their clients.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A.C.T. Research currently estimates approximately 114,000 new Class 8 trucks will be sold in the United States in 2010, compared to approximately 97,000 new Class 8 trucks sold in 2009. However, Company management believes that U. S. Class 8 retail sales will only increase to about 105,000 units in 2010, an 8% increase from 2009. The Company believes that demand for new Class 8 trucks will gradually increase throughout 2010 due to the age of vehicles in operation if general economic conditions continue to improve. A.C.T. Research currently forecasts sales of Class 8 trucks in the U.S. to be approximately 193,000 in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Medium-Duty Truck Market</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Many of our Rush Truck Centers sell medium-duty trucks manufactured by Peterbilt, International, GMC, Hino, UD, Ford or Isuzu, and all of our Rush Truck Centers provide parts and service for medium-duty trucks. Medium-duty trucks are principally used in short-haul, local markets as delivery vehicles. Medium-duty trucks typically operate locally and generally do not venture out of their service areas overnight. During the second quarter of 2009, General Motors Corporation made the decision to discontinue the production of its medium-duty truck line and to wind-down the Company’s GMC Medium-Duty Truck Dealership Agreements.</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A.C.T. Research currently forecasts sales of Class 4 through 7 commercial vehicles in the U.S. to be approximately 123,500 in 2010 compared to 111,415 in 2009. A.C.T. Research currently forecasts sales of Class 4 through 7 commercial vehicles in the U.S. to be approximately 151,000 in 2011.</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Construction Equipment Market</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Our Rush Equipment Centers are authorized John Deere construction equipment dealers serving Southeast Texas. According to data compiled by John Deere, approximately 966 units of construction equipment were put into use in our area of responsibility in 2009 compared to 2,405 in 2008. In 2010, we expect new construction equipment unit sales to decrease approximately 10% compared to 2009 in our area of responsibility to approximately 870 units. John Deere’s market share in the Houston area construction equipment market, which includes shipments of John Deere equipment to customers that did not purchase such equipment from a Rush Equipment Center, increased to 22.4% in 2009 from 18.2% in 2008. The Company’s market share in the Houston area construction equipment market increased to 22.3% in 2009 from 16.9% in 2008. Our Rush Equipment Centers have the right to sell new John Deere construction equipment and parts within its assigned area of responsibility, which means competition within its market comes primarily from dealers of competing manufacturers and rental companies.</w:t>
      </w:r>
    </w:p>
    <w:p>
      <w:pPr>
        <w:spacing w:after="0" w:line="15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John Deere equipment users are a diverse group that includes residential and commercial construction businesses, independent rental companies, utility companies, government agencies, and various petrochemical, industrial and material supply businesses. Industry statistics suggest that a majority of all construction equipment is owned by a relatively small percentage of the customer base. Accordingly, John Deere and its dealer group, including our Rush Equipment Center, are aggressively developing more sophisticated ways to serve large equipment fleet owners.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 factors affecting the construction equipment industry include the following:</w:t>
      </w:r>
    </w:p>
    <w:p>
      <w:pPr>
        <w:spacing w:after="0" w:line="185" w:lineRule="exact"/>
        <w:rPr>
          <w:sz w:val="20"/>
          <w:szCs w:val="20"/>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levels of commercial, residential, and public construction activities; and</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state and federal highway and road construction appropriations.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Revenues decreased $415.7 million, or 25.1%, in 2009, compared to 2008. Sales of new and used commercial vehicles decreased $302.5 million, or 29.1%, in 2009, compared to 2008. Uncertain economic conditions, the weak freight environment, slowing construction markets and tight credit markets contributed to decreased demand for commercial vehicles and construction equipment as well as aftermarket service in 2009. The Company believes that demand for its products and services will increase if general economic conditions in the United States continue to improve and credit is made available on reasonable terms to a wider range of buyers.</w:t>
      </w:r>
    </w:p>
    <w:p>
      <w:pPr>
        <w:spacing w:after="0" w:line="153"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sold 3,972 heavy-duty trucks in 2009, a 28.0% decrease compared to 5,516 heavy-duty trucks in 2008. According to A.C.T. Research, the U.S. Class 8 truck market decreased 30.6% in 2009, compared to 2008. The Company’s share of the U.S. Class 8 truck sales market was approximately 4.1% in 2009. The Company expects its market share to range between 4.1% and 4.4% of U.S. Class 8 truck sales in 2010. This market share percentage would result in the sale of approximately 4,300 to 4,700 of Class 8 trucks in 2010 based on the Company’s belief that U.S. retail sales will increase to 105,000 units.</w:t>
      </w:r>
    </w:p>
    <w:p>
      <w:pPr>
        <w:spacing w:after="0" w:line="13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sold 2,643 medium-duty commercial vehicles, including 368 buses, in 2009, a 29.9% decrease compared to 3,773 medium-duty commercial vehicles, including 239 buses, in 2008. A.C.T. Research estimates that unit sales of Class 4 through 7 commercial vehicles in the U.S. decreased approximately 33.2% in 2009, compared to 2008. In 2009, the Company achieved a 2.4% share of the Class 4 through 7 commercial vehicle sales market in the U.S. The Company expects its market share to range between 2.4% and 2.5% of U.S. Class 4 through 7 commercial vehicle sales in 2010. This market share percentage would result in the sale of approximately 2,900 to 3,100 of Class 4 through 7 commercial vehicles in 2010 based on A.C.T. Research’s current U.S. retail sales estimates of 123,500 units.</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sold 2,875 used commercial vehicles in 2009, an 11.1% decrease compared to 3,234 used commercial vehicles in 2009. For 2010, used commercial vehicle sales volumes and prices will be primarily driven by general economic conditions and the availability of credit, which collectively have had a severe impact on this market since 2008. The Company expects to sell approximately 2,900 to 3,200 used commercial vehicles in 2009.</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Parts and service sales decreased $67.6 million, or 14.1%, in 2009, compared to 2008. Aftermarket parts, service and body shop sales were negatively impacted by excess capacity during 2009, as many customers have been able to put their excess truck capacity into service, allowing them to delay repair and maintenance and use trucks not being utilized for replacement parts needs. The Company expects parts and service sales to begin to increase in the second half of 2010 if general economic conditions in the United States continue to improve.</w:t>
      </w:r>
    </w:p>
    <w:p>
      <w:pPr>
        <w:spacing w:after="0" w:line="161"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Sales of new and used construction equipment decreased $39.4 million, or 63.3%, in 2009, compared to 2008. This decrease was largely attributable to the weakening construction market in the Houston area. John Deere’s rolling twelve month average market share in the Houston area construction equipment market increased to 22.4% as of December 31, 2009, from a rolling twelve month average of 18.2% as of December 31, 2008. In 2010, the Company expects new construction equipment unit sales in our area of responsibility to decrease approximately 10%, compared to 2009.</w:t>
      </w:r>
    </w:p>
    <w:p>
      <w:pPr>
        <w:spacing w:after="0" w:line="13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Truck lease and rental revenues decreased $1.1 million, or 2.0%, in 2009, compared to 2008. The decrease in lease and rental revenue is primarily attributable to decreased utilization of vehicles in the Company’s rental fleet and decreased variable lease revenue that is based on the miles that vehicles being leased are driven. The Company expects lease and rental revenue to increase 10% to 15% during 2010, compared to 2009 based on the increase of units in the lease and rental fleet.</w:t>
      </w:r>
    </w:p>
    <w:p>
      <w:pPr>
        <w:spacing w:after="0" w:line="114"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Finance and insurance revenues decreased $4.7 million, or 37.9%, in 2009, compared to 2008. The decrease in finance and insurance revenue is a direct result of the decline in commercial vehicle sales and the tight credit market. The Company expects finance and insurance revenue to fluctuate proportionately with the new Class 8 truck market in 2010. Finance and insurance revenues have limited direct costs and, therefore, contribute a disproportionate share of the Company’s operating profits.</w:t>
      </w:r>
    </w:p>
    <w:p>
      <w:pPr>
        <w:spacing w:after="0" w:line="127"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Other income decreased $0.5 million, or 7.4% in 2009, compared to 2008. Other income consists primarily of the gain on sale realized on trucks from the lease and rental fleet, commissions earned from John Deere for direct manufacturer sales into our area of responsibility, document fees related to commercial vehicle sales, mineral royalties and purchase discounts.</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Gross profit decreased $71.6 million, or 24.1%, in 2009, compared to 2008. Gross profit as a percentage of sales increased to 18.2% in 2009, from 17.9% in 2008. This slight increase is primarily a result of a change in our product sales mix. Commercial vehicle sales, a lower margin revenue item, decreased as a percentage of total revenue to 59.6% in 2009, from 62.9% in 2008. Parts and service revenue, a higher margin revenue item, increased as a percentage of total revenue to 33.2% in 2009, from 28.9% in 2008.</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margins on Class 8 truck sales decreased to 5.8% in 2009, from 7.7% in 2008. Gross margins on Class 8 truck sales were negatively impacted by decreased demand for new trucks and a change in our product sales mix that included increased fleet sales, which are typically lower margin sales. In 2010, the Company expects overall gross margins from Class 8 truck sales of approximately 5.0% to 7.0%, but this will largely depend upon general economic conditions and the availability of credit to retail customers. The Company recorded expense of $5.8 million to increase its new heavy-duty truck valuation allowance in 2009 and $5.2 million in 2008.</w:t>
      </w:r>
    </w:p>
    <w:p>
      <w:pPr>
        <w:spacing w:after="0" w:line="15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Gross margins on medium-duty commercial vehicle sales increased to 5.5% in 2009, from 5.1% in 2008. For 2010, the Company expects overall gross margins from medium-duty commercial vehicle sales of approximately 5.0% to 7.0%, but this will largely depend upon general economic conditions and the availability of credit to retail customers. The Company recorded expense of $2.5 million to increase its new medium-duty commercial vehicle valuation allowance in 2009 and $1.7 million in 2008.</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margins on used commercial vehicle sales increased to 6.9% in 2009, from 3.6% in 2008. This increase is primarily a result of write-downs of used commercial vehicle inventory values throughout 2008 that caused gross margins on used commercial vehicle sales to decrease below normal levels in 2008. The Company expects margins on used commercial vehicles will be in the range of approximately 6.5% to 8.5% during 2010, but this will largely depend upon general economic conditions and the availability of credit to retail customers. The Company recorded expense of $5.0 million to increase its used commercial vehicle valuation allowance in 2009 and $8.5 million in 2008.</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Gross margins from the Company’s parts, service and body shop operations decreased to 39.0% in 2009, from 41.4%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2008. Gross profit for the parts, service and body shop departments decreased to $160.2 million in 2009, from $196.5 million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2008. The Company expects gross margins on parts, service and body shop operations to range 39.0% to 41.0% in 2010.</w:t>
      </w:r>
    </w:p>
    <w:p>
      <w:pPr>
        <w:spacing w:after="0" w:line="18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Gross margins on new and used construction equipment sales decreased to 9.1% in 2009, from 9.8% in 2008. This decrease in gross margin is primarily attributable to a decrease in demand for construction equipment and a change in our product sales mix. The Company expects gross margins for 2010 to range from approximately 6.0% to 8.0% due to the dramatic decrease in demand for construction equipment in the Houston market, but this will largely depend upon general economic conditions and the availability of credit to retail customers.</w:t>
      </w:r>
    </w:p>
    <w:p>
      <w:pPr>
        <w:spacing w:after="0" w:line="16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Gross margins from truck lease and rental sales decreased to 11.5% in 2009, from approximately 14.5% in 2008. The decrease in lease and rental revenue is primarily attributable to decreased utilization of vehicles in the Company’s rental fleet and decreased variable rental revenue that is based on the miles that vehicles being leased are driven. The Company expects gross margins from lease and rental sales of approximately 11.0% to 15.0% during 2010 depending upon whether general economic conditions in the United States continue to improve.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2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Selling, General and Administrative (“SG&amp;A”) expenses decreased $28.6 million, or 12.5%, in 2009, compared to 2008. SG&amp;A expenses as a percentage of sales increased to 16.1% in 2009, from 13.8% in 2008. Prior to 2009, SG&amp;A expenses as a percentage of sales historically ranged from 10.0% to 15.0%. In general, when new and used commercial vehicle revenue decreases as a percentage of revenue, SG&amp;A expenses as a percentage of revenue will be at, or exceed, the higher end of this range. The Company earns federal income tax credits on the sale of alternative fuel vehicles to tax-exempt entities. A portion of these tax credits are passed back to the tax-exempt customer and are reflected as SG&amp;A expense to the Company. In 2009, the selling portion of SG&amp;A expenses, which consists primarily of commissions on commercial vehicle and construction equipment sales, decreased 27.4% and the general and administrative portion of SG&amp;A expenses decreased 11.1% compared to 2008. For 2010, the Company expects the selling portion of SG&amp;A expenses to be approximately 25% to 28% of new and used commercial vehicle gross profit. The selling portion of SG&amp;A expenses varies based on the gross profit derived from commercial vehicle sales.</w:t>
      </w:r>
    </w:p>
    <w:p>
      <w:pPr>
        <w:spacing w:after="0" w:line="14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has taken continuous action throughout the past two years to reduce overhead expenses to a level more appropriate to serve the declining market. The Company analyzes all areas of the business when making expense reductions. A majority of the overhead expense reduction was in personnel and employee benefits, training, travel and entertainment, and advertising expense. The Company believes it has reduced expenses in relation to the reduction in sales volumes without reducing services to customers or impairing the value of its operations. The Company will continue to adjust the general and administrative portion of SG&amp;A expenses in accordance with market conditions.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Net interest expense decreased $1.7 million, or 22.1%, in 2009, compared to 2008. The Company expects net interest expense in 2010 to increase compared to 2009 based on increased inventory levels and impending modification to the Company’s floor plan agreement in the second half of 2010, which will result in increased interest rates.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Income before income taxes decreased $41.9 million, or 92.9%, in 2009, compared to 2008, as a result of the factors described above.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Income taxes decreased $18.9 million, or 116.4%, in 2009, compared to 2008. Prior to the application of alternative fuel tax credits, the Company’s tax rate during 2009 increased primarily due to state regulations that assess taxes based on gross profit, a federal income tax settlement, and non-deductible expenses. Historically, the Company’s effective tax rate has been approximately 36% to 38% of pretax income. When pretax income is low, state taxes that are calculated based on gross profit and non-deductible expenses become a larger percentage of pretax income, thereby increasing the Company’s effective tax rate in relation to its historical rates. If pretax income for 2010 is similar to pretax income in 2009, the Company expects its effective tax rate to be approximately 45.0% before the application of alternative fuel tax credits. In 2009, the Company received $5.3 million in tax credits for sales of alternative fuel vehicles to tax-exempt entities, compared to $0.7 million in 2008. The Company’s effective tax rate may vary significantly depending on the number of alternative fuel vehicles sold to tax-exempt entities.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Revenues decreased $375.8 million, or 18.5%, in 2008 compared to 2007. Sales of new and used commercial vehicles decreased $352.1 million, or 25.3%, in 2008 compared to 2007. Uncertain economic conditions, the weak freight environment, slowing construction markets, historically high fuel prices and tight credit markets contributed to decreased demand for Class 8, medium-duty and used commercial vehicles in 2008.</w:t>
      </w:r>
    </w:p>
    <w:p>
      <w:pPr>
        <w:spacing w:after="0" w:line="14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Company sold 5,516 heavy-duty trucks in 2008, a 23.7% decrease compared to 7,230 heavy-duty trucks in 2007. According to A.C.T. Research, the U.S. Class 8 truck market decreased 11.2% in 2008 compared to 2007. The Company’s share of the U.S. Class 8 truck sales market decreased approximately 15% to 3.9% in 2008, down from 4.6% in 2007.</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sold 3,773 medium-duty commercial vehicles in 2008, a 31.2% decrease compared to 5,482 medium-duty commercial vehicles in 2007. Overall, new medium-duty commercial vehicle sales revenue decreased approximately $67.3 million, or 23.3%, in 2008 compared to 2007. A.C.T. Research estimates that unit sales of Class 4 through 7 commercial vehicles in the U.S. decreased approximately 27% in 2008 compared to the 2007. In 2008, the Company achieved a 2.1% share of the Class 4 through 7 commercial vehicle sales market in the U.S down from 2.2% in 2007.</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 sold 3,234 used commercial vehicles in 2008, a 21.1% decrease compared to 4,101 used commercial vehicles in 2007. Used commercial vehicle average revenue per unit decreased by approximately 10.2% in 2008. For 2009, used commercial vehicle sales volumes and prices will be primarily driven by general economic conditions, fuel prices and the availability of credit, which collectively have had a severe impact on this market during 2008.</w:t>
      </w:r>
    </w:p>
    <w:p>
      <w:pPr>
        <w:spacing w:after="0" w:line="13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Parts and service sales decreased $2.2 million, or 0.5%, in 2008 compared to 2007. Same store parts and service sales decreased $19.9 million, or 4.1%, in 2008 compared to 2007 primarily due to weakening economic conditions.</w:t>
      </w:r>
    </w:p>
    <w:p>
      <w:pPr>
        <w:spacing w:after="0" w:line="10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Sales of new and used construction equipment decreased $12.8 million, or 17.1%, in 2008 compared to 2007. This decrease was largely attributable to the weakening construction market in the Houston area. John Deere’s rolling twelve month average market share in the Houston area construction equipment market decreased to 18.2% as of December 31, 2008 from a rolling twelve month average of 22.2% as of December 31, 2007. This decrease in market share was largely attributable to other manufacturer’s dealers purchasing large quantities of equipment to add to their rental fleets.</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Truck lease and rental revenues increased $2.7 million, or 5.2%, in 2008 compared to 2007. This increase in lease and rental revenue is consistent with management’s expectations, considering the increased number of units put into service in the rental fleet during 2008, which was primarily due to the acquisition of an Idealease location in North Carolina. The lease and rental fleet increased approximately 6.9% to 2,570 units at December 31, 2008 from 2,404 units at December 31, 2007.</w:t>
      </w:r>
    </w:p>
    <w:p>
      <w:pPr>
        <w:spacing w:after="0" w:line="13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Finance and insurance revenues decreased $9.4 million, or 43.3%, in 2008 compared to 2007. The decrease in finance and insurance revenue is a direct result of the decline in commercial vehicle sales and the tight credit market. Finance and insurance revenues have limited direct costs and, therefore, contribute a disproportionate share of the Company’s operating profits.</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Other income decreased $2.1 million, or 25.8% in 2008 compared to 2007. Other income consists primarily of the gain on sale realized on commercial vehicles from the lease and rental fleet, commissions earned from John Deere for direct manufacturer sales into our area of responsibility, document fees related to commercial vehicle sales and purchase discounts.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Gross profit decreased $55.4 million, or 15.7%, in 2008 compared to 2007. Gross profit as a percentage of sales increased to 18.0% in 2008 from 17.3% in 2007. This increase is primarily a result of a change in our product sales mix. Commercial vehicle sales, a lower margin revenue item, decreased as a percentage of total revenue to 62.9% in 2008 from 68.6% in 2007. Parts and service revenue, a higher margin revenue item, increased as a percentage of total revenue to 28.9% in 2008 from 23.7% in 2007.</w:t>
      </w:r>
    </w:p>
    <w:p>
      <w:pPr>
        <w:spacing w:after="0" w:line="14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Gross margins on Class 8 truck sales decreased to 7.7% in 2008 from 8.6% in 2007. A large portion of the decrease in gross margins on Class 8 trucks was due to write-downs on the value of new truck inventory throughout 2008. Gross margins on Class 8 truck sales were also negatively impacted by decreased demand for new commercial vehicles as a result of uncertain economic conditions, the weak freight environment, historically high fuel prices throughout most of 2008, and tightening credit markets. The Company continually evaluates its reserve for new truck valuation losses. The Company recorded expense of $5.2 million to increase its new heavy-duty truck valuation allowance in 2008 and $3.3 million in 2007.</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margins on medium-duty commercial vehicle sales decreased to 5.1% in 2008 from 5.5% in 2007. Medium-duty commercial vehicle gross margins were negatively impacted by the same factors that adversely impacted gross margins on Class 8 truck sales in 2008. Gross margins on medium-duty commercial vehicles are difficult to forecast accurately because gross margins vary significantly depending upon the mix of fleet and non-fleet purchasers and types of medium-duty commercial vehicles sold. The Company recorded expense of $1.7 million to increase its new medium-duty commercial vehicle valuation allowance in 2008 and $2.8 million in 2007.</w:t>
      </w:r>
    </w:p>
    <w:p>
      <w:pPr>
        <w:spacing w:after="0" w:line="166"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Gross margins on used commercial vehicle sales decreased to 3.6% in 2008 from 8.6% in 2007. Write-downs of used commercial vehicle inventory values throughout 2008 caused gross margins on used commercial vehicle sales to decrease in 2008 compared to 2007. The write-downs were necessary because of decreased demand for used commercial vehicles as a result of worsening general economic conditions, decreased freight demand, and the tight credit market. The Company continually evaluates its reserve for used commercial vehicle valuation losses. The Company recorded expense of $8.5 million to increase its used commercial vehicle valuation allowance in 2008 and $2.9 million in 2007.</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41.1% in 2008 from 40.9% in 2007. Gross profit for the parts, service and body shop departments decreased slightly to $196.5 million in 2008 from $196.7 million in 2007.</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margins on new and used construction equipment sales decreased to 9.8% in 2008 from 11.0% in 2007. This decrease in gross margin was primarily attributable to decreased demand for construction equipment in the Houston market and our continued efforts to increase John Deere’s market share.</w:t>
      </w:r>
    </w:p>
    <w:p>
      <w:pPr>
        <w:spacing w:after="0" w:line="15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Gross margins from truck lease and rental sales decreased to 14.5% in 2008 from approximately 15.4% in 2007. The decrease in the gross margin from lease and rental sales was primarily due to the decreased utilization of crane-mounted trucks in our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Selling, General and Administrative (“SG&amp;A”) expenses decreased $12.6 million, or 5.2%, in 2008 compared to 2007. SG&amp;A expenses as a percentage of sales increased to 13.8% in 2008 from 11.9% in 2007. SG&amp;A expenses as a percentage of sales have historically ranged from 10.0% to 15.0%. In 2008, the selling portion of SG&amp;A expenses, which consists primarily of commissions on commercial vehicle and construction equipment sales, decreased 25.0% and the general and administrative portion of SG&amp;A decreased 2.8% compared to 2007.</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Net interest expense decreased $7.1 million, or 47.5%, in 2008 compared to 2007. In 2008, floor plan interest expense decreased compared to 2007 primarily due to the decrease in floor plan notes payable throughout most of 2008 and lower floor plan interest rates.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Income before income taxes decreased $36.7 million, or 44.9%, in 2008 compared to 2007, as a result of the factors described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Income taxes decreased $14.1 million, or 46.5%, in 2008 compared to 2007. Prior to the application of alternative fuel vehicle tax credits, the Company provided for taxes at a 37.5% rate in 2008, compared to a rate of 37.0% in 2007. The tax rate in 2008 was offset $0.7 million by tax credits for sales of alternative fuel vehicles to tax-exempt entities.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Effects of Inflation</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Inflationary factors such as increases in the cost of products and overhead costs may adversely affect the Company’s operating results. Although the Company does not believe that inflation has had a material impact on its financial position or results of operations to date, a high rate of inflation in the future may have an adverse effect on its ability to maintain current levels of gross margin and selling, general and administrative expenses as a percentage of revenues if the selling prices of our products do not increase with these increased costs.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of new facilities. Historically, these cash requirements have been met through the retention of profits and borrowings under our floor plan arrangements. As of December 31, 2009, the Company had working capital of approximately $159.2 million, including $149.1 million in cash available to fund our operations. The Company believes that these funds are sufficient to meet its short-term and long-term cash requirements.</w:t>
      </w:r>
    </w:p>
    <w:p>
      <w:pPr>
        <w:spacing w:after="0" w:line="15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December 31, 2009, however, $6.1 million was pledged to secure various letters of credit related to self-insurance products, leaving $1.9 million available for future borrowings as of December 31, 2009.</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December 31, 2009, the Company was in compliance with all debt covenants. The Company does not anticipate any breach of the covenants in the foreseeable future.</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Titan Technology Partners is currently implementing SAP enterprise software and a new SAP dealership management system for the Company. The total cost of the SAP software and implementation is estimated to be approximately $34.0 million. As of December 31, 2009, the Company had cumulative expenditures of $28.4 million related to the SAP project. The Company expects to spend approximately $5.0 million to $5.5 million related to the SAP project during 2010.</w:t>
      </w:r>
    </w:p>
    <w:p>
      <w:pPr>
        <w:spacing w:after="0" w:line="144"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During 2009, the Company constructed a new facility for its Rush Truck Center location in Oklahoma City, Oklahoma at a cost of approximately $14.8 million. The Company financed $9.1 million of the total construction cost of this facility.</w:t>
      </w:r>
    </w:p>
    <w:p>
      <w:pPr>
        <w:spacing w:after="0" w:line="10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$8.0 million during 2010.</w:t>
      </w:r>
    </w:p>
    <w:p>
      <w:pPr>
        <w:spacing w:after="0" w:line="13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December 31, 2009, the Company has repurchased 1,639,843 shares of its Class B common stock at an aggregate cost of $17.9 million, none of which occurred during the fourth quarter of 2009.</w:t>
      </w:r>
    </w:p>
    <w:p>
      <w:pPr>
        <w:spacing w:after="0" w:line="15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currently anticipates funding its capital expenditures relating to the implementation of the SAP enterprise software and SAP dealership management system, improvement and expansion of existing facilities, construction of new facilities, recurring expenses and any stock repurchases through its operating cash flow. The Company expects to finance 70% to 80% of the appraised value of any newly constructed Rush Truck Centers upon completion, which will increase the Company’s cash and cash equivalents by that amount.</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no other material commitments for capital expenditures as of December 31, 2009, except that the Company will continue to purchase vehicles for its lease and rental division and authorize capital expenditures for improvement and expansion of its existing dealership facilities and construction of new facilities based on market opportunities. The Company expects to purchase or lease trucks worth approximately $35.0 million for its leasing operations in 2010, depending on customer demand, all of which will be financed.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Cash and cash equivalents increased by $2.7 million during the year ended December 31, 2009, and decreased by $40.6 million during the year ended December 31, 2008. The major components of these changes are discussed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2009, operating activities resulted in net cash provided by operations of $150.3 million. Cash provided by operating activities was primarily impacted by the decreased levels of commercial vehicle inventory and accounts receivable, offset by decreases in accounts payable and accrued expenses. The majority of commercial vehicle inventory is financed through the Company’s floor plan financing provider. During 2008, operating activities resulted in net cash provided by operations of $83.1 million.</w:t>
      </w:r>
    </w:p>
    <w:p>
      <w:pPr>
        <w:spacing w:after="0" w:line="16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Cash flows from operating activities as adjusted for all draws and (payments) on floor plan notes (“Adjusted Cash Flows from Operating Activities”) was $56.8 million for the year ended December 31, 2009, and $88.9 million for the year ended December 31, 2008.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46"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right"/>
              <w:ind w:right="260"/>
              <w:spacing w:after="0"/>
              <w:rPr>
                <w:sz w:val="20"/>
                <w:szCs w:val="20"/>
                <w:color w:val="auto"/>
              </w:rPr>
            </w:pPr>
            <w:r>
              <w:rPr>
                <w:rFonts w:ascii="Arial" w:cs="Arial" w:eastAsia="Arial" w:hAnsi="Arial"/>
                <w:sz w:val="18"/>
                <w:szCs w:val="18"/>
                <w:color w:val="auto"/>
                <w:w w:val="89"/>
              </w:rPr>
              <w:t>Year Ended December 31,</w:t>
            </w:r>
          </w:p>
        </w:tc>
      </w:tr>
      <w:tr>
        <w:trPr>
          <w:trHeight w:val="210"/>
        </w:trPr>
        <w:tc>
          <w:tcPr>
            <w:tcW w:w="70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(GAAP)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83,059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(Payments) draws on floor plan notes payable</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(93,446)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5,864</w:t>
            </w:r>
          </w:p>
        </w:tc>
      </w:tr>
      <w:tr>
        <w:trPr>
          <w:trHeight w:val="223"/>
        </w:trPr>
        <w:tc>
          <w:tcPr>
            <w:tcW w:w="7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56,847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88,923</w:t>
            </w:r>
          </w:p>
        </w:tc>
      </w:tr>
      <w:tr>
        <w:trPr>
          <w:trHeight w:val="20"/>
        </w:trPr>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During 2009, cash used in investing activities was $49.8 million. Cash flows used in investing activities consist primarily of cash used for capital expenditures. Capital expenditures of $50.5 million consisted of purchases of property and equipment, improvements to our existing dealership facilities and construction of our new facility in Oklahoma City, Oklahoma. Property and equipment purchases during 2009 consisted of $21.2 million for additional units for the rental and leasing operations, which was directly offset by borrowings of long-term debt. The Company expects to purchase or lease trucks worth approximately $35.0 million for its leasing operations in 2010, depending on customer demand, all of which will be financed. During 2010, the Company expects to make capital expenditures for recurring items such as computers, shop equipment and vehicles of approximately $8.0 million, in addition to $5.0 million to $5.5 million for the SAP project described above.</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During 2008, the Company used $111.0 million in investing activities. Capital expenditures consisted of purchases of property and equipment, and improvements to our existing dealership facilities of $68.2 million. Of this amount, $31.2 million was used to purchase additional units for the rental and leasing operations during 2008, which was directly offset by borrowings of long-term debt. Cash used in business acquisitions was $37.4 million during the year ended December 31, 2008. See Note 17 of the Notes to Consolidated Financial Statements for a detailed discussion of these acquisitions.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Cash flows used in financing activities include borrowings and repayments of long-term debt and net payments of floor plan notes payable. Cash used in financing activities was $97.9 million during 2009. The Company had borrowings of long-term debt of $50.4 million and repayments of long-term debt and capital lease obligations of $55.3 million during 2009. The Company had net payments of floor plan notes payable of $93.4 million during 2009. The borrowings of long-term debt were primarily related to units for the rental and leasing operations, refinancing existing real estate and financing the new Rush Truck Center in Oklahoma City.</w:t>
      </w:r>
    </w:p>
    <w:p>
      <w:pPr>
        <w:spacing w:after="0" w:line="153"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Cash used in financing activities was $12.6 million during the year ended December 31, 2008. The Company had borrowings of long-term debt of $46.7 million and repayments of long-term debt and capital lease obligations of $49.0 million during the year ended December 31, 2008. The Company had net draws of floor plan notes payable of $5.9 million during the year ended December 31, 2008. The borrowings of long-term debt are primarily related to the increase in the lease and rental fleet and real estate refinancing. During the year ended December 31, 2008, the Company repurchased 1,639,843 shares of Class B common stock at a cost of $17.9 million pursuant to a stock repurchase program approved by the Company’s Board of Directors. See Note 13 of the Notes to Consolidated Financial Statements for a detailed discussion of the stock repurchase program.</w:t>
      </w:r>
    </w:p>
    <w:p>
      <w:pPr>
        <w:spacing w:after="0" w:line="16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month-end average aggregate amount outstanding under our GE Capital floor plan arrangement. The Company finances substantially all of the purchase price of its new commercial vehicle inventory, and the loan value of its used commercial vehicle inventory under the floor plan financing agreement with GE Capital, under which GE Capital pays the manufacturer directly with respect to new commercial vehicles.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with monthly adjustments to the interest due on outstanding advances. On December 31, 2009, the Company had approximately $173.0 million outstanding under its floor plan financing agreement with GE Capital. In connection with the Amended and Restated Wholesale Agreement with GE Capital, the Company executed a Continuing Guaranty in favor of GE Capital to a maximum principal amount of $600 million, plus unpaid interest and reasonable costs of collection. Except for the procedures and other terms and conditions set forth in the Amended and Restated Wholesale Agreement, the Company is not aware of any limitation on the Company’s ability to access capital through this facility.</w:t>
      </w:r>
    </w:p>
    <w:p>
      <w:pPr>
        <w:spacing w:after="0" w:line="12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for interest at prime plus 1.5%, however, there is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the Company transfers the financed equipment to the Chase floor plan arrangement.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new and used construction equipment are made to Chase no later than the 15</w:t>
      </w:r>
      <w:r>
        <w:rPr>
          <w:rFonts w:ascii="Arial" w:cs="Arial" w:eastAsia="Arial" w:hAnsi="Arial"/>
          <w:sz w:val="13"/>
          <w:szCs w:val="13"/>
          <w:color w:val="auto"/>
        </w:rPr>
        <w:t>th</w:t>
      </w:r>
      <w:r>
        <w:rPr>
          <w:rFonts w:ascii="Arial" w:cs="Arial" w:eastAsia="Arial" w:hAnsi="Arial"/>
          <w:sz w:val="16"/>
          <w:szCs w:val="16"/>
          <w:color w:val="auto"/>
        </w:rPr>
        <w:t xml:space="preserve"> day of each month following the sale. The loans are collateralized by a lien on the construction equipment. As of December 31, 2009, the Company’s floor plan arrangement with Chase permitted the financing of up to $20.0 million in construction equipment. The facility with Chase expires in June 2010 and the interest rate is the prime rate less 0.65%. On December 31, 2009, the Company had $1.1 million outstanding under its floor plan financing arrangements with John Deere and $15.2 million outstanding under its floor plan financing arrangement with Chase.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Cyclicality</w:t>
      </w:r>
    </w:p>
    <w:p>
      <w:pPr>
        <w:spacing w:after="0" w:line="20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has certain contractual obligations that will impact its short and long-term liquidity. At December 31, 2009, such obligations were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Payments Due by Period</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6"/>
                <w:szCs w:val="16"/>
                <w:color w:val="auto"/>
              </w:rPr>
            </w:pPr>
          </w:p>
        </w:tc>
        <w:tc>
          <w:tcPr>
            <w:tcW w:w="9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More than 5</w:t>
            </w:r>
          </w:p>
        </w:tc>
        <w:tc>
          <w:tcPr>
            <w:tcW w:w="80" w:type="dxa"/>
            <w:vAlign w:val="bottom"/>
          </w:tcPr>
          <w:p>
            <w:pPr>
              <w:spacing w:after="0"/>
              <w:rPr>
                <w:sz w:val="16"/>
                <w:szCs w:val="16"/>
                <w:color w:val="auto"/>
              </w:rPr>
            </w:pP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years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years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r>
      <w:tr>
        <w:trPr>
          <w:trHeight w:val="210"/>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w w:val="82"/>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209,502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Capital lease obligations (2)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38,645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7,296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14,951</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11,171</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5,227</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30,056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8,226</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Floor plan debt obligation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189,248</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189,248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obligations (4)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11,376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Purchase obligations (5)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1,248</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499,410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274,092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121,727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21,354</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11 of Notes to Consolidated Financial Statements. Amounts include interest.</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11 of Notes to Consolidated Financial Statements.</w:t>
      </w:r>
    </w:p>
    <w:p>
      <w:pPr>
        <w:spacing w:after="0" w:line="76"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2009 and added 0.25 percent per year to estimate its interest expense on variable rate debt.</w:t>
      </w:r>
    </w:p>
    <w:p>
      <w:pPr>
        <w:spacing w:after="0" w:line="38"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2009 related to our SAP implementation.</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6A. Quantitative and Qualitative Disclosures about Market Risk</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December 31, 2009, the Company had floor plan borrowings and variable rate real estate debt of approximately $233.8 million. Assuming an increase or decrease in LIBOR of 100 basis points, annual interest expense could correspondingly increase or decrease by approximately $2.3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$149.1 million on December 31, 2009.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$1.5 million.</w:t>
      </w:r>
    </w:p>
    <w:p>
      <w:pPr>
        <w:spacing w:after="0" w:line="16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3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As of December 31, 2009, the Company holds $7.6 million of auction rate securities with underlying tax-exempt municipal bonds with stated maturities of 21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18 - Investments of the Notes to Consolidated Financial Statements and Item 1A — Risk Factors.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3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r>
      <w:tr>
        <w:trPr>
          <w:trHeight w:val="534"/>
        </w:trPr>
        <w:tc>
          <w:tcPr>
            <w:tcW w:w="8680" w:type="dxa"/>
            <w:vAlign w:val="bottom"/>
            <w:gridSpan w:val="9"/>
          </w:tcPr>
          <w:p>
            <w:pPr>
              <w:ind w:left="340"/>
              <w:spacing w:after="0"/>
              <w:rPr>
                <w:sz w:val="20"/>
                <w:szCs w:val="20"/>
                <w:color w:val="auto"/>
              </w:rPr>
            </w:pPr>
            <w:r>
              <w:rPr>
                <w:rFonts w:ascii="Arial" w:cs="Arial" w:eastAsia="Arial" w:hAnsi="Arial"/>
                <w:sz w:val="18"/>
                <w:szCs w:val="18"/>
                <w:b w:val="1"/>
                <w:bCs w:val="1"/>
                <w:color w:val="auto"/>
              </w:rPr>
              <w:t>Item 7.  Financial Statements and Supplementary Data</w:t>
            </w:r>
          </w:p>
        </w:tc>
        <w:tc>
          <w:tcPr>
            <w:tcW w:w="9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Report of Independent Registered Public Accounting Firm</w:t>
              </w:r>
            </w:hyperlink>
          </w:p>
        </w:tc>
        <w:tc>
          <w:tcPr>
            <w:tcW w:w="41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340" w:type="dxa"/>
            <w:vAlign w:val="bottom"/>
          </w:tcPr>
          <w:p>
            <w:pPr>
              <w:spacing w:after="0"/>
              <w:rPr>
                <w:sz w:val="24"/>
                <w:szCs w:val="24"/>
                <w:color w:val="auto"/>
              </w:rPr>
            </w:pPr>
          </w:p>
        </w:tc>
        <w:tc>
          <w:tcPr>
            <w:tcW w:w="834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as of December 31, 2009 and 2008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34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Income for the Years Ended December 31, 2009, 2008 and 2007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Shareholders’ Equity for the Years Ended December 31, 2009, 2008 and 2007</w:t>
              </w:r>
            </w:hyperlink>
          </w:p>
        </w:tc>
        <w:tc>
          <w:tcPr>
            <w:tcW w:w="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340" w:type="dxa"/>
            <w:vAlign w:val="bottom"/>
          </w:tcPr>
          <w:p>
            <w:pPr>
              <w:spacing w:after="0"/>
              <w:rPr>
                <w:sz w:val="24"/>
                <w:szCs w:val="24"/>
                <w:color w:val="auto"/>
              </w:rPr>
            </w:pPr>
          </w:p>
        </w:tc>
        <w:tc>
          <w:tcPr>
            <w:tcW w:w="69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Cash Flows for the Years Ended December 31, 2009, 2008 and 2007</w:t>
              </w:r>
            </w:hyperlink>
          </w:p>
        </w:tc>
        <w:tc>
          <w:tcPr>
            <w:tcW w:w="13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340" w:type="dxa"/>
            <w:vAlign w:val="bottom"/>
          </w:tcPr>
          <w:p>
            <w:pPr>
              <w:spacing w:after="0"/>
              <w:rPr>
                <w:sz w:val="24"/>
                <w:szCs w:val="24"/>
                <w:color w:val="auto"/>
              </w:rPr>
            </w:pPr>
          </w:p>
        </w:tc>
        <w:tc>
          <w:tcPr>
            <w:tcW w:w="834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Rush Enterprises, Inc.</w:t>
      </w:r>
    </w:p>
    <w:p>
      <w:pPr>
        <w:spacing w:after="0" w:line="17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We have audited the accompanying consolidated balance sheets of Rush Enterprises, Inc. and subsidiaries (“the Company”) as of December 31, 2009 and 2008, and the related consolidated statements of income, shareholders’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2009 and 2008, and the consolidated results of their operations and their cash flows for each of the three years in the period ended December 31, 2009, in conformity with U.S. generally accepted accounting principles.</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Rush Enterprises, Inc.’s internal control over financial reporting as of December 31, 2009, based on criteria established in Internal Control-Integrated Framework issued by the Committee of Sponsoring Organizations of the Treadway Commission and our report dated March 12, 2010 expressed an unqualified opinion thereon.</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12, 2010</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34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5"/>
          </w:tcPr>
          <w:p>
            <w:pPr>
              <w:jc w:val="center"/>
              <w:ind w:left="1210"/>
              <w:spacing w:after="0"/>
              <w:rPr>
                <w:sz w:val="20"/>
                <w:szCs w:val="20"/>
                <w:color w:val="auto"/>
              </w:rPr>
            </w:pPr>
            <w:r>
              <w:rPr>
                <w:rFonts w:ascii="Arial" w:cs="Arial" w:eastAsia="Arial" w:hAnsi="Arial"/>
                <w:sz w:val="18"/>
                <w:szCs w:val="18"/>
                <w:color w:val="auto"/>
                <w:w w:val="95"/>
              </w:rPr>
              <w:t>RUSH ENTERPRISES,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gridSpan w:val="5"/>
          </w:tcPr>
          <w:p>
            <w:pPr>
              <w:jc w:val="center"/>
              <w:ind w:left="1210"/>
              <w:spacing w:after="0"/>
              <w:rPr>
                <w:sz w:val="20"/>
                <w:szCs w:val="20"/>
                <w:color w:val="auto"/>
              </w:rPr>
            </w:pPr>
            <w:r>
              <w:rPr>
                <w:rFonts w:ascii="Arial" w:cs="Arial" w:eastAsia="Arial" w:hAnsi="Arial"/>
                <w:sz w:val="18"/>
                <w:szCs w:val="18"/>
                <w:color w:val="auto"/>
                <w:w w:val="88"/>
              </w:rPr>
              <w:t>(In Thousands, Except Shares and Per Share Amounts)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269,955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362,234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11,414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581,593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7,575</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354,749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332,147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140,836</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141,904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977,297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1,056,790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189,256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282,702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55,545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22,427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31,530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49,125</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313,801</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153,957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28,714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par value $.01 per share; 1,000,000 shares authorized; 0 shares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outstanding in 2009 and 2008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3"/>
              </w:rPr>
              <w:t>Common stock, par value $.01 per share; 60,000,000 class A shares and 20,000,000 class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B shares authorized; 26,437,848 class A shares and 10,689,375 class B shares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w w:val="98"/>
              </w:rPr>
              <w:t>outstanding in 2009; and 26,255,974 class A shares and 10,685,144 class B shares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outstanding in 2008</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Treasury stock, at cost: 1,639,843 shares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(17,948)</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255,669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426,225</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416,041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977,297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1,056,790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42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gridSpan w:val="9"/>
          </w:tcPr>
          <w:p>
            <w:pPr>
              <w:jc w:val="center"/>
              <w:ind w:left="1190"/>
              <w:spacing w:after="0"/>
              <w:rPr>
                <w:sz w:val="20"/>
                <w:szCs w:val="20"/>
                <w:color w:val="auto"/>
              </w:rPr>
            </w:pPr>
            <w:r>
              <w:rPr>
                <w:rFonts w:ascii="Arial" w:cs="Arial" w:eastAsia="Arial" w:hAnsi="Arial"/>
                <w:sz w:val="18"/>
                <w:szCs w:val="18"/>
                <w:color w:val="auto"/>
                <w:w w:val="95"/>
              </w:rPr>
              <w:t>RUSH ENTERPRISES, INC. AND SUBSIDIARIES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gridSpan w:val="5"/>
          </w:tcPr>
          <w:p>
            <w:pPr>
              <w:jc w:val="center"/>
              <w:ind w:right="50"/>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4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9"/>
              </w:rPr>
              <w:t>(In Thousands, Except Per Share Amounts)</w:t>
            </w:r>
          </w:p>
        </w:tc>
        <w:tc>
          <w:tcPr>
            <w:tcW w:w="58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w w:val="89"/>
              </w:rPr>
              <w:t>New and used commercial vehicle sales</w:t>
            </w: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738,705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1,041,189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1,393,253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410,839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478,439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Construction equipment sales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22,799</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62,168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74,986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53,710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Finance and insurance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7,630</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12,291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Total revenue</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1,239,289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1,654,956</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2,030,779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w w:val="89"/>
              </w:rPr>
              <w:t>New and used commercial vehicle sales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695,334</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973,404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1,283,993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250,592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281,902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283,912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Construction equipment sales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20,727</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56,095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66,737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47,545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46,843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Total cost of products sold</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1,014,198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1,358,244</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1,678,711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225,091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296,712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352,068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199,496</w:t>
            </w: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228,057</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240,661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16,440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Arial" w:cs="Arial" w:eastAsia="Arial" w:hAnsi="Arial"/>
                <w:sz w:val="18"/>
                <w:szCs w:val="18"/>
                <w:color w:val="auto"/>
              </w:rPr>
              <w:t>Gain on sale of assets, net</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9,315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96,711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Arial" w:cs="Arial" w:eastAsia="Arial" w:hAnsi="Arial"/>
                <w:sz w:val="18"/>
                <w:szCs w:val="18"/>
                <w:color w:val="auto"/>
              </w:rPr>
              <w:t>Interest income (expense):</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Interest expense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(6,153)</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(10,466)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interest expense, net</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(6,099)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Arial" w:cs="Arial" w:eastAsia="Arial" w:hAnsi="Arial"/>
                <w:sz w:val="18"/>
                <w:szCs w:val="18"/>
                <w:b w:val="1"/>
                <w:bCs w:val="1"/>
                <w:color w:val="auto"/>
              </w:rPr>
              <w:t>Income before taxes</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3,216</w:t>
            </w: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45,087</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81,802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income</w:t>
            </w: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4"/>
            <w:vMerge w:val="continue"/>
          </w:tcPr>
          <w:p>
            <w:pPr>
              <w:spacing w:after="0"/>
              <w:rPr>
                <w:sz w:val="24"/>
                <w:szCs w:val="24"/>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5,884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28,865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51,492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Basic</w:t>
            </w: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360"/>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0.76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4"/>
                <w:szCs w:val="14"/>
                <w:color w:val="auto"/>
                <w:w w:val="94"/>
              </w:rPr>
              <w:t>Common Stock</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1100" w:type="dxa"/>
            <w:vAlign w:val="bottom"/>
            <w:gridSpan w:val="3"/>
          </w:tcPr>
          <w:p>
            <w:pPr>
              <w:jc w:val="center"/>
              <w:ind w:left="528"/>
              <w:spacing w:after="0" w:line="149" w:lineRule="exact"/>
              <w:rPr>
                <w:sz w:val="20"/>
                <w:szCs w:val="20"/>
                <w:color w:val="auto"/>
              </w:rPr>
            </w:pPr>
            <w:r>
              <w:rPr>
                <w:rFonts w:ascii="Arial" w:cs="Arial" w:eastAsia="Arial" w:hAnsi="Arial"/>
                <w:sz w:val="14"/>
                <w:szCs w:val="14"/>
                <w:color w:val="auto"/>
                <w:w w:val="85"/>
              </w:rPr>
              <w:t>Shares</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$0.01</w:t>
            </w:r>
          </w:p>
        </w:tc>
        <w:tc>
          <w:tcPr>
            <w:tcW w:w="3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Additional</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420" w:type="dxa"/>
            <w:vAlign w:val="bottom"/>
          </w:tcPr>
          <w:p>
            <w:pPr>
              <w:spacing w:after="0"/>
              <w:rPr>
                <w:sz w:val="14"/>
                <w:szCs w:val="14"/>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color w:val="auto"/>
              </w:rPr>
              <w:t>Par</w:t>
            </w: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rPr>
              <w:t>Paid-In</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Treasury</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Retained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11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rPr>
              <w:t>Class A</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Class B</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Value</w:t>
            </w:r>
          </w:p>
        </w:tc>
        <w:tc>
          <w:tcPr>
            <w:tcW w:w="104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Capital</w:t>
            </w:r>
          </w:p>
        </w:tc>
        <w:tc>
          <w:tcPr>
            <w:tcW w:w="104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Earnings</w:t>
            </w: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2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2006</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25,604</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12,108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251</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169,801</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169,556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339,608</w:t>
            </w:r>
          </w:p>
        </w:tc>
      </w:tr>
      <w:tr>
        <w:trPr>
          <w:trHeight w:val="278"/>
        </w:trPr>
        <w:tc>
          <w:tcPr>
            <w:tcW w:w="2420" w:type="dxa"/>
            <w:vAlign w:val="bottom"/>
          </w:tcPr>
          <w:p>
            <w:pPr>
              <w:spacing w:after="0"/>
              <w:rPr>
                <w:sz w:val="20"/>
                <w:szCs w:val="20"/>
                <w:color w:val="auto"/>
              </w:rPr>
            </w:pPr>
            <w:r>
              <w:rPr>
                <w:rFonts w:ascii="Arial" w:cs="Arial" w:eastAsia="Arial" w:hAnsi="Arial"/>
                <w:sz w:val="14"/>
                <w:szCs w:val="14"/>
                <w:color w:val="auto"/>
              </w:rPr>
              <w:t>Stock options exercised (including</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tax benefit of $2,239)</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408</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4</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4,459</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4,463</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 related to</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options and employee stock</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3,442</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3,442</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employee stock purchase plan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572</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572</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dividend (50%)</w:t>
            </w:r>
          </w:p>
        </w:tc>
        <w:tc>
          <w:tcPr>
            <w:tcW w:w="11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128</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(128)</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51,492</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51,492</w:t>
            </w:r>
          </w:p>
        </w:tc>
      </w:tr>
      <w:tr>
        <w:trPr>
          <w:trHeight w:val="156"/>
        </w:trPr>
        <w:tc>
          <w:tcPr>
            <w:tcW w:w="2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2007</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26,071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12,265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383</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178,274</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220,920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399,577</w:t>
            </w:r>
          </w:p>
        </w:tc>
      </w:tr>
      <w:tr>
        <w:trPr>
          <w:trHeight w:val="278"/>
        </w:trPr>
        <w:tc>
          <w:tcPr>
            <w:tcW w:w="2420" w:type="dxa"/>
            <w:vAlign w:val="bottom"/>
          </w:tcPr>
          <w:p>
            <w:pPr>
              <w:spacing w:after="0"/>
              <w:rPr>
                <w:sz w:val="20"/>
                <w:szCs w:val="20"/>
                <w:color w:val="auto"/>
              </w:rPr>
            </w:pPr>
            <w:r>
              <w:rPr>
                <w:rFonts w:ascii="Arial" w:cs="Arial" w:eastAsia="Arial" w:hAnsi="Arial"/>
                <w:sz w:val="14"/>
                <w:szCs w:val="14"/>
                <w:color w:val="auto"/>
              </w:rPr>
              <w:t>Stock options exercised (including</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tax benefit of $791)</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130</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1,295</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1,297</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 related to</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options and employee stock</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3,632</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3,632</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employee stock purchase plan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617</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618</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(1,640)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(17,948)</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(17,948)</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28,865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28,865</w:t>
            </w:r>
          </w:p>
        </w:tc>
      </w:tr>
      <w:tr>
        <w:trPr>
          <w:trHeight w:val="156"/>
        </w:trPr>
        <w:tc>
          <w:tcPr>
            <w:tcW w:w="2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26,256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10,685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386</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183,818</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(17,948)</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249,785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416,041</w:t>
            </w:r>
          </w:p>
        </w:tc>
      </w:tr>
      <w:tr>
        <w:trPr>
          <w:trHeight w:val="278"/>
        </w:trPr>
        <w:tc>
          <w:tcPr>
            <w:tcW w:w="2420" w:type="dxa"/>
            <w:vAlign w:val="bottom"/>
          </w:tcPr>
          <w:p>
            <w:pPr>
              <w:spacing w:after="0"/>
              <w:rPr>
                <w:sz w:val="20"/>
                <w:szCs w:val="20"/>
                <w:color w:val="auto"/>
              </w:rPr>
            </w:pPr>
            <w:r>
              <w:rPr>
                <w:rFonts w:ascii="Arial" w:cs="Arial" w:eastAsia="Arial" w:hAnsi="Arial"/>
                <w:sz w:val="14"/>
                <w:szCs w:val="14"/>
                <w:color w:val="auto"/>
              </w:rPr>
              <w:t>Stock options exercised (including</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tax effect of ($191))</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(55)</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 related to</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options, restricted shares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employee stock purchase</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3,664</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3,664</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Vesting of restricted share awards</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purchase plan</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690</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691</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5,884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5,884</w:t>
            </w:r>
          </w:p>
        </w:tc>
      </w:tr>
      <w:tr>
        <w:trPr>
          <w:trHeight w:val="156"/>
        </w:trPr>
        <w:tc>
          <w:tcPr>
            <w:tcW w:w="2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26,438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10,689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388</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  188,116</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  (17,948)</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$ 255,669</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$ 426,225</w:t>
            </w:r>
          </w:p>
        </w:tc>
      </w:tr>
      <w:tr>
        <w:trPr>
          <w:trHeight w:val="20"/>
        </w:trPr>
        <w:tc>
          <w:tcPr>
            <w:tcW w:w="2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04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4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0" w:type="dxa"/>
            <w:vAlign w:val="bottom"/>
            <w:gridSpan w:val="8"/>
          </w:tcPr>
          <w:p>
            <w:pPr>
              <w:jc w:val="center"/>
              <w:ind w:left="119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tcPr>
          <w:p>
            <w:pPr>
              <w:jc w:val="center"/>
              <w:ind w:left="79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5,884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28,865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51,492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activities, net of acquisitions-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40,698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38,508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35,798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Gain on sale of property and equipment, net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Stock-based compensation expense related to employee stock</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4"/>
          </w:tcPr>
          <w:p>
            <w:pPr>
              <w:ind w:left="600"/>
              <w:spacing w:after="0"/>
              <w:rPr>
                <w:sz w:val="20"/>
                <w:szCs w:val="20"/>
                <w:color w:val="auto"/>
              </w:rPr>
            </w:pPr>
            <w:r>
              <w:rPr>
                <w:rFonts w:ascii="Arial" w:cs="Arial" w:eastAsia="Arial" w:hAnsi="Arial"/>
                <w:sz w:val="18"/>
                <w:szCs w:val="18"/>
                <w:color w:val="auto"/>
              </w:rPr>
              <w:t>options and employee stock purchases</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3,664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3,632</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Provision (benefit) for deferred income tax expense</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Excess tax provision (benefits) from stock-based compensation</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Change in accounts receivable,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Change in inventories</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104,450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30,057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132,357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Change in prepaid expenses and other, net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Change in trade accounts payable</w:t>
            </w:r>
          </w:p>
        </w:tc>
        <w:tc>
          <w:tcPr>
            <w:tcW w:w="18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(9,103)</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(8,922)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Change in accrued expenses</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(8,473)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700" w:type="dxa"/>
            <w:vAlign w:val="bottom"/>
            <w:gridSpan w:val="4"/>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150,295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83,059</w:t>
            </w:r>
          </w:p>
        </w:tc>
        <w:tc>
          <w:tcPr>
            <w:tcW w:w="2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258,701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(355,575)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the sale of investments</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(50,485)</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(68,160)</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(65,268)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Business acquisitions</w:t>
            </w:r>
          </w:p>
        </w:tc>
        <w:tc>
          <w:tcPr>
            <w:tcW w:w="180" w:type="dxa"/>
            <w:vAlign w:val="bottom"/>
          </w:tcPr>
          <w:p>
            <w:pPr>
              <w:spacing w:after="0"/>
              <w:rPr>
                <w:sz w:val="18"/>
                <w:szCs w:val="18"/>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(37,397)</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700" w:type="dxa"/>
            <w:vAlign w:val="bottom"/>
            <w:gridSpan w:val="4"/>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(49,758)</w:t>
            </w:r>
          </w:p>
        </w:tc>
        <w:tc>
          <w:tcPr>
            <w:tcW w:w="2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(111,043)</w:t>
            </w:r>
          </w:p>
        </w:tc>
        <w:tc>
          <w:tcPr>
            <w:tcW w:w="2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(67,506)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(Payments) draws on floor plan notes payable, net</w:t>
            </w:r>
          </w:p>
        </w:tc>
        <w:tc>
          <w:tcPr>
            <w:tcW w:w="18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(93,446)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5,864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(172,701)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46,728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Payments on long-term debt</w:t>
            </w:r>
          </w:p>
        </w:tc>
        <w:tc>
          <w:tcPr>
            <w:tcW w:w="18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(50,591)</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(43,344)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(37,890)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Payments on capital lease obligations</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(4,693)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Issuance of shares relating to employee stock options and employee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stock purchase plan</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Excess tax (provision) benefits from stock-based compensation</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2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(17,948)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700" w:type="dxa"/>
            <w:vAlign w:val="bottom"/>
            <w:gridSpan w:val="4"/>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(97,853)</w:t>
            </w:r>
          </w:p>
        </w:tc>
        <w:tc>
          <w:tcPr>
            <w:tcW w:w="2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(12,614)</w:t>
            </w:r>
          </w:p>
        </w:tc>
        <w:tc>
          <w:tcPr>
            <w:tcW w:w="2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(165,744)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(40,598)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146,411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187,009</w:t>
            </w:r>
          </w:p>
        </w:tc>
        <w:tc>
          <w:tcPr>
            <w:tcW w:w="2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161,558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146,411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7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ind w:left="40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14,298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16,605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23,690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4"/>
            <w:vMerge w:val="restart"/>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Assets acquired under capital leases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4"/>
            <w:vMerge w:val="restart"/>
          </w:tcPr>
          <w:p>
            <w:pPr>
              <w:ind w:left="400"/>
              <w:spacing w:after="0"/>
              <w:rPr>
                <w:sz w:val="20"/>
                <w:szCs w:val="20"/>
                <w:color w:val="auto"/>
              </w:rPr>
            </w:pPr>
            <w:r>
              <w:rPr>
                <w:rFonts w:ascii="Arial" w:cs="Arial" w:eastAsia="Arial" w:hAnsi="Arial"/>
                <w:sz w:val="18"/>
                <w:szCs w:val="18"/>
                <w:color w:val="auto"/>
              </w:rPr>
              <w:t>Note payable related to acquisition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514"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14"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84" w:lineRule="exact"/>
        <w:rPr>
          <w:sz w:val="20"/>
          <w:szCs w:val="20"/>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Rush Enterprises, Inc. (the “Company”) was incorporated in 1965 under the laws of the State of Texas. The Company operates a Truck segment and a Construction Equipment segment. The Truck segment operates a regional network of Rush Truck Centers. Rush Truck Centers primarily sell commercial vehicles manufactured by Peterbilt, International, GMC, Hino, UD, Ford, Isuzu or Blue Bird. Through its strategically located network of Rush Truck Centers, the Company provides one-stop service for the needs of its customers, including retail sales of new and used commercial vehicles, aftermarket parts sales, service and repair facilities, financing, leasing and rental, and Insurance products. The Company’s truck centers are located in areas on or near major highways in Alabama, Arizona, California, Colorado, Florida, Georgia, New Mexico, North Carolina, Oklahoma, Tennessee and Texas. The Construction Equipment segment, formed in 1997, operates two John Deere equipment centers in Southeast Texas. Construction equipment dealership operations include the retail sale of new and used construction equipment, aftermarket parts and service facilities, equipment rentals and the financing of new and used equipment. See Note 21 of the Notes to Consolidated Financial Statements for segment information.</w:t>
      </w:r>
    </w:p>
    <w:p>
      <w:pPr>
        <w:spacing w:after="0" w:line="14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On September 20, 2007, the Company’s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5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has reviewed and evaluated events and transactions which have occurred subsequent to December 31, 2009 through March 12, 2010, the date of issuance of these financial statements.</w:t>
      </w:r>
    </w:p>
    <w:p>
      <w:pPr>
        <w:spacing w:after="0" w:line="130" w:lineRule="exact"/>
        <w:rPr>
          <w:sz w:val="20"/>
          <w:szCs w:val="20"/>
          <w:color w:val="auto"/>
        </w:rPr>
      </w:pPr>
    </w:p>
    <w:p>
      <w:pPr>
        <w:ind w:left="340" w:right="6459" w:hanging="8"/>
        <w:spacing w:after="0" w:line="4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spacing w:after="0" w:line="2"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19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Inventories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 plus a reasonable profit margin.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Property and Equipment</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$0.2 million related to major capital projects during 2009. The cost, accumulated depreciation and amortization and estimated useful lives are summarized as follows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Estimated Life</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(Years)</w:t>
            </w:r>
          </w:p>
        </w:tc>
      </w:tr>
      <w:tr>
        <w:trPr>
          <w:trHeight w:val="210"/>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44,523</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93,755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86,862</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89"/>
              </w:rPr>
              <w:t>31 - 39</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18,330</w:t>
            </w: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2 - 39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28,057</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27,851</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1"/>
              </w:rPr>
              <w:t>5 - 20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26,541</w:t>
            </w: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3 - 15</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30,735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30,670</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1"/>
              </w:rPr>
              <w:t>2 - 15</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189,107</w:t>
            </w: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2 - 8</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46,082</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32,860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(143,887)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(124,597)</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9"/>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354,749</w:t>
            </w:r>
          </w:p>
        </w:tc>
        <w:tc>
          <w:tcPr>
            <w:tcW w:w="34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332,147</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As of December 31, 2009, the Company had $33.0 million in lease and rental vehicles under various capital leases included in property and equipment, net of accumulated depreciation of $9.0 million. The Company recorded depreciation expense of $36.1 million and amortization expense of $4.6 million for the year ended December 31, 2009, and depreciation expense of $36.0 million and amortization expense of $2.5 million for the year ended December 31, 2008. Depreciation and amortization of vehicles related to lease and rental operations is included in lease and rental cost of products sold.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Goodwill</w:t>
      </w:r>
    </w:p>
    <w:p>
      <w:pPr>
        <w:spacing w:after="0" w:line="18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units to be its operating segments, the Truck Segment and the Equipment Segment, which is the level at which segment management regularly reviews operating results and makes resource allocation decisions.</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w:t>
      </w:r>
    </w:p>
    <w:p>
      <w:pPr>
        <w:spacing w:after="0" w:line="15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An interim evaluation of goodwill was required during the second quarter of 2009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19 for further discussion of the wind-down of the Company’s medium-duty GMC truck franchise agreements.</w:t>
      </w:r>
    </w:p>
    <w:p>
      <w:pPr>
        <w:spacing w:after="0" w:line="13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Goodwill was tested for impairment during the fourth quarter of 2009 and no impairment write down was required. However, the Company cannot predict the occurrence of certain events that might adversely affect the reported value of goodwill in the future. Such events may include, but are not limited to, strategic decisions made in response to economic and competitive conditions or another significant decrease in general economic conditions in the United States.</w:t>
      </w:r>
    </w:p>
    <w:p>
      <w:pPr>
        <w:spacing w:after="0" w:line="13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Goodwill related to acquisitions was approximately $140.8 million as of December 31, 2009 and $141.9 million as of December 31, 2008. Goodwill decreased $1.1 million in 2009 and increased $21.4 million in 2008.</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2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Company’s income tax returns, like those of most companies, are periodically audited by U.S. federal, state and local tax authorities. These audits include questions regarding the Company’s tax filing positions, including the timing and amount of deductions. At any one time, multiple tax years are subject to audit by the various tax authorities. In evaluating the tax benefits associated with the Company’s various tax filing positions, it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 of Income.</w:t>
      </w:r>
    </w:p>
    <w:p>
      <w:pPr>
        <w:spacing w:after="0" w:line="15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4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Effective January 1, 2007, the Company adopted ASC topic 740-10, “Income Taxes.” ASC topic 740-10 clarified the accounting for uncertainty in income taxes recognized in the financial statements by prescribing a recognition threshold and measurement attribute for a tax position taken or expected to be taken in a tax return. ASC topic 740-10 provides guidance regarding the recognition, measurement, presentation and disclosure in the financial statements of tax positions taken or expected to be taken on a tax return. ASC topic 740-10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 Policies</w:t>
      </w:r>
    </w:p>
    <w:p>
      <w:pPr>
        <w:spacing w:after="0" w:line="19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Income on the sale of a vehicle or a piece of construction equipment (each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2009, 2008 and 2007,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 of Sales</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For the Company’s new and used commercial vehicle and construction equipment operations and its parts operations, cost of sales consists primarily of the Company’s actual purchase price, less manufacturer’s incentives, for new and used commercial vehicles and construction equipment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accounts sales taxes assessed by a governmental authority, that are directly imposed on a revenue-producing transaction on a net (excluded from revenues)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Based Compensation</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54"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Stock-based compensation expense recognized is based on the fair value of the portion of share-based payment awards that is ultimately expected to vest during the period. Compensation expense for all share-based payment awards is recognized using the straight-line single-option method. 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w:t>
      </w:r>
    </w:p>
    <w:p>
      <w:pPr>
        <w:spacing w:after="0" w:line="118"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The Company uses the Black-Scholes option-pricing model.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ASC topic 718-10 using an option-pricing model, that value may not be indicative of the fair value observed in a market transaction between a willing buyer and a willing seller.</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46.3%</w:t>
            </w:r>
          </w:p>
        </w:tc>
        <w:tc>
          <w:tcPr>
            <w:tcW w:w="1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35.7% - 36.7%</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36.7% - 38.9%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46.3%</w:t>
            </w:r>
          </w:p>
        </w:tc>
        <w:tc>
          <w:tcPr>
            <w:tcW w:w="15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36.7%</w:t>
            </w:r>
          </w:p>
        </w:tc>
        <w:tc>
          <w:tcPr>
            <w:tcW w:w="34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38.8%</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5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0.0%</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1.87%</w:t>
            </w:r>
          </w:p>
        </w:tc>
        <w:tc>
          <w:tcPr>
            <w:tcW w:w="15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2.41%</w:t>
            </w:r>
          </w:p>
        </w:tc>
        <w:tc>
          <w:tcPr>
            <w:tcW w:w="34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4.66%</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5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5.0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5.0</w:t>
            </w:r>
          </w:p>
        </w:tc>
        <w:tc>
          <w:tcPr>
            <w:tcW w:w="80" w:type="dxa"/>
            <w:vAlign w:val="bottom"/>
            <w:shd w:val="clear" w:color="auto" w:fill="CCEEFF"/>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$3.25</w:t>
            </w:r>
          </w:p>
        </w:tc>
        <w:tc>
          <w:tcPr>
            <w:tcW w:w="150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$5.62</w:t>
            </w:r>
          </w:p>
        </w:tc>
        <w:tc>
          <w:tcPr>
            <w:tcW w:w="3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$5.66</w:t>
            </w:r>
          </w:p>
        </w:tc>
        <w:tc>
          <w:tcPr>
            <w:tcW w:w="80" w:type="dxa"/>
            <w:vAlign w:val="bottom"/>
          </w:tcPr>
          <w:p>
            <w:pPr>
              <w:spacing w:after="0"/>
              <w:rPr>
                <w:sz w:val="20"/>
                <w:szCs w:val="20"/>
                <w:color w:val="auto"/>
              </w:rPr>
            </w:pPr>
          </w:p>
        </w:tc>
      </w:tr>
    </w:tbl>
    <w:p>
      <w:pPr>
        <w:spacing w:after="0" w:line="160"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Advertising Costs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Advertising costs are expensed as incurred. Advertising and marketing expense related to operations was $2.1 million for 2009, $3.6 million for 2008 and $4.2 million for 2007. Advertising and marketing expense is included in selling, general and administrative expense.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of approximately $28.4 million at December 31, 2009, and $20.9 million at December 31, 2008.</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New Accounting Pronouncements</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January 21, 2010, the FASB issued Accounting Standards Update (“ASU”) 2010-06. ASU 2010-06 amends ASC 820, “Fair Value Measurements,” and adds new requirements for disclosures about transfers into and out of Levels 1 and 2 in the fair value hierarchy and additional disclosures about purchases, sales, issuances and settlements relating to Level 3 fair value measurements. Additionally, it clarifies existing fair value disclosures about the level of disaggregation about inputs and valuation techniques used to measure fair value. ASU 2010-06 is generally effective for the first reporting period beginning after December 15, 2009. The Company does not expect the adoption of ASU 2010-06 to have a significant impact on its consolidated results of operations and financial position.</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819" w:hanging="8"/>
        <w:spacing w:after="0" w:line="489"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SUPPLIER AND CUSTOMER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jc w:val="both"/>
        <w:ind w:left="340" w:right="559"/>
        <w:spacing w:after="0" w:line="302" w:lineRule="auto"/>
        <w:rPr>
          <w:sz w:val="20"/>
          <w:szCs w:val="20"/>
          <w:color w:val="auto"/>
        </w:rPr>
      </w:pPr>
      <w:r>
        <w:rPr>
          <w:rFonts w:ascii="Arial" w:cs="Arial" w:eastAsia="Arial" w:hAnsi="Arial"/>
          <w:sz w:val="16"/>
          <w:szCs w:val="16"/>
          <w:color w:val="auto"/>
        </w:rPr>
        <w:t>The Company has entered into dealership agreements with various manufacturers of vehicles and construction equipment (“Manufacturers”). These agreements are nonexclusive agreements that allow the Company to stock, sell at retail and service commercial vehicles, equipment and products of the Manufacturers in the Company’s defined market. The agreements allow the Company to use the Manufacturers’ names, trade symbols and intellectual property and expire as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Distributor</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Expiration Dates</w:t>
            </w:r>
          </w:p>
        </w:tc>
      </w:tr>
      <w:tr>
        <w:trPr>
          <w:trHeight w:val="210"/>
        </w:trPr>
        <w:tc>
          <w:tcPr>
            <w:tcW w:w="4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460" w:type="dxa"/>
            <w:vAlign w:val="bottom"/>
            <w:shd w:val="clear" w:color="auto" w:fill="CCEEFF"/>
          </w:tcPr>
          <w:p>
            <w:pPr>
              <w:spacing w:after="0"/>
              <w:rPr>
                <w:sz w:val="18"/>
                <w:szCs w:val="18"/>
                <w:color w:val="auto"/>
              </w:rPr>
            </w:pP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2010 through October 2012</w:t>
            </w:r>
          </w:p>
        </w:tc>
      </w:tr>
      <w:tr>
        <w:trPr>
          <w:trHeight w:val="216"/>
        </w:trPr>
        <w:tc>
          <w:tcPr>
            <w:tcW w:w="442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May 2013</w:t>
            </w:r>
          </w:p>
        </w:tc>
      </w:tr>
      <w:tr>
        <w:trPr>
          <w:trHeight w:val="216"/>
        </w:trPr>
        <w:tc>
          <w:tcPr>
            <w:tcW w:w="4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Volvo</w:t>
            </w:r>
          </w:p>
        </w:tc>
        <w:tc>
          <w:tcPr>
            <w:tcW w:w="460" w:type="dxa"/>
            <w:vAlign w:val="bottom"/>
            <w:shd w:val="clear" w:color="auto" w:fill="CCEEFF"/>
          </w:tcPr>
          <w:p>
            <w:pPr>
              <w:spacing w:after="0"/>
              <w:rPr>
                <w:sz w:val="18"/>
                <w:szCs w:val="18"/>
                <w:color w:val="auto"/>
              </w:rPr>
            </w:pP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2010</w:t>
            </w:r>
          </w:p>
        </w:tc>
      </w:tr>
      <w:tr>
        <w:trPr>
          <w:trHeight w:val="216"/>
        </w:trPr>
        <w:tc>
          <w:tcPr>
            <w:tcW w:w="4420" w:type="dxa"/>
            <w:vAlign w:val="bottom"/>
          </w:tcPr>
          <w:p>
            <w:pPr>
              <w:jc w:val="center"/>
              <w:spacing w:after="0"/>
              <w:rPr>
                <w:sz w:val="20"/>
                <w:szCs w:val="20"/>
                <w:color w:val="auto"/>
              </w:rPr>
            </w:pPr>
            <w:r>
              <w:rPr>
                <w:rFonts w:ascii="Arial" w:cs="Arial" w:eastAsia="Arial" w:hAnsi="Arial"/>
                <w:sz w:val="18"/>
                <w:szCs w:val="18"/>
                <w:color w:val="auto"/>
                <w:w w:val="99"/>
              </w:rPr>
              <w:t>GMC</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October 2010</w:t>
            </w:r>
          </w:p>
        </w:tc>
      </w:tr>
      <w:tr>
        <w:trPr>
          <w:trHeight w:val="216"/>
        </w:trPr>
        <w:tc>
          <w:tcPr>
            <w:tcW w:w="4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Isuzu</w:t>
            </w:r>
          </w:p>
        </w:tc>
        <w:tc>
          <w:tcPr>
            <w:tcW w:w="460" w:type="dxa"/>
            <w:vAlign w:val="bottom"/>
            <w:shd w:val="clear" w:color="auto" w:fill="CCEEFF"/>
          </w:tcPr>
          <w:p>
            <w:pPr>
              <w:spacing w:after="0"/>
              <w:rPr>
                <w:sz w:val="18"/>
                <w:szCs w:val="18"/>
                <w:color w:val="auto"/>
              </w:rPr>
            </w:pP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4420" w:type="dxa"/>
            <w:vAlign w:val="bottom"/>
          </w:tcPr>
          <w:p>
            <w:pPr>
              <w:jc w:val="center"/>
              <w:spacing w:after="0"/>
              <w:rPr>
                <w:sz w:val="20"/>
                <w:szCs w:val="20"/>
                <w:color w:val="auto"/>
              </w:rPr>
            </w:pPr>
            <w:r>
              <w:rPr>
                <w:rFonts w:ascii="Arial" w:cs="Arial" w:eastAsia="Arial" w:hAnsi="Arial"/>
                <w:sz w:val="18"/>
                <w:szCs w:val="18"/>
                <w:color w:val="auto"/>
                <w:w w:val="97"/>
              </w:rPr>
              <w:t>Hino</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4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UD</w:t>
            </w:r>
          </w:p>
        </w:tc>
        <w:tc>
          <w:tcPr>
            <w:tcW w:w="460" w:type="dxa"/>
            <w:vAlign w:val="bottom"/>
            <w:shd w:val="clear" w:color="auto" w:fill="CCEEFF"/>
          </w:tcPr>
          <w:p>
            <w:pPr>
              <w:spacing w:after="0"/>
              <w:rPr>
                <w:sz w:val="18"/>
                <w:szCs w:val="18"/>
                <w:color w:val="auto"/>
              </w:rPr>
            </w:pP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4420" w:type="dxa"/>
            <w:vAlign w:val="bottom"/>
          </w:tcPr>
          <w:p>
            <w:pPr>
              <w:jc w:val="center"/>
              <w:spacing w:after="0"/>
              <w:rPr>
                <w:sz w:val="20"/>
                <w:szCs w:val="20"/>
                <w:color w:val="auto"/>
              </w:rPr>
            </w:pPr>
            <w:r>
              <w:rPr>
                <w:rFonts w:ascii="Arial" w:cs="Arial" w:eastAsia="Arial" w:hAnsi="Arial"/>
                <w:sz w:val="18"/>
                <w:szCs w:val="18"/>
                <w:color w:val="auto"/>
                <w:w w:val="91"/>
              </w:rPr>
              <w:t>Ford</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4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Blue Bird</w:t>
            </w:r>
          </w:p>
        </w:tc>
        <w:tc>
          <w:tcPr>
            <w:tcW w:w="460" w:type="dxa"/>
            <w:vAlign w:val="bottom"/>
            <w:shd w:val="clear" w:color="auto" w:fill="CCEEFF"/>
          </w:tcPr>
          <w:p>
            <w:pPr>
              <w:spacing w:after="0"/>
              <w:rPr>
                <w:sz w:val="18"/>
                <w:szCs w:val="18"/>
                <w:color w:val="auto"/>
              </w:rPr>
            </w:pP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2013</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88"/>
              </w:rPr>
              <w:t>John Deere</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14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 purchases its new Peterbilt vehicles and most of its parts from PACCAR, the maker of Peterbilt trucks and parts, at prevailing prices charged to all franchised dealers. Sales of new Peterbilt trucks accounted for approximately 80.5% of the Company’s new vehicle sales for the year ended December 31, 2009, and 83.4% of the Company’s new vehicle sales for the year ended December 31, 2008.</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 purchases most of its new construction equipment and parts from John Deere at prevailing prices charged to all franchised dealers. Sales of new John Deere equipment accounted for approximately 93.0% of the Company’s new equipment sales for the year ended December 31, 2009, and 86.6% of the Company’s new equipment sales for the year ended December 31,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Primary Lenders</w:t>
      </w:r>
    </w:p>
    <w:p>
      <w:pPr>
        <w:spacing w:after="0" w:line="19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The Company purchases its new and used commercial vehicle and construction equipment inventories with the assistance of floor plan financing programs offered by various financial institutions. Additional floor plan financing is provided by John Deere pursuant to floor plan financing programs and the Company’s construction equipment dealership agreement. The Company’s floor plan financing agreements provide that the occurrence of certain events will be considered events of default. There were no known events of default as of December 31, 2009.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2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On December 31, 2009, the Company was in compliance with all debt covenants. The Company does not anticipate any breach of the covenants in the foreseeable future.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Concentrations of Credit Risks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2009, the Company had deposits in excess of federal insurance protection totaling approximately $54.9 million.</w:t>
      </w:r>
    </w:p>
    <w:p>
      <w:pPr>
        <w:spacing w:after="0" w:line="146"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commercial vehicle and construction equipment markets and related aftermarkets.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or construction equipment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4. ACCOUNTS RECEIVABLE: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The Company’s accounts receivable, net, consisted of the following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 and construction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Other trade receivables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10,073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Other 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9,629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12,117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bad debt and warranty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38,869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55,274</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4"/>
            <w:vMerge w:val="restart"/>
          </w:tcPr>
          <w:p>
            <w:pPr>
              <w:spacing w:after="0"/>
              <w:rPr>
                <w:sz w:val="20"/>
                <w:szCs w:val="20"/>
                <w:color w:val="auto"/>
              </w:rPr>
            </w:pPr>
            <w:r>
              <w:rPr>
                <w:rFonts w:ascii="Arial" w:cs="Arial" w:eastAsia="Arial" w:hAnsi="Arial"/>
                <w:sz w:val="18"/>
                <w:szCs w:val="18"/>
                <w:color w:val="auto"/>
              </w:rPr>
              <w:t>5. INVENTORIES: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7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The Company’s inventories consisted of the following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147,213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233,712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Used commercial vehicles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24,918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23,081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construction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Used construction equipment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81,836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4,413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269,955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362,234</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4"/>
            <w:vMerge w:val="restart"/>
          </w:tcPr>
          <w:p>
            <w:pPr>
              <w:ind w:left="4560"/>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VALUATION ACCOUNTS: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Balance</w:t>
            </w: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Net Charged</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Beginning</w:t>
            </w: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to Costs and</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Net Write-</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End</w:t>
            </w: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of Year</w:t>
            </w:r>
          </w:p>
        </w:tc>
        <w:tc>
          <w:tcPr>
            <w:tcW w:w="12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Expenses</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0"/>
                <w:szCs w:val="20"/>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Offs</w:t>
            </w:r>
          </w:p>
        </w:tc>
        <w:tc>
          <w:tcPr>
            <w:tcW w:w="12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of Year</w:t>
            </w:r>
          </w:p>
        </w:tc>
      </w:tr>
      <w:tr>
        <w:trPr>
          <w:trHeight w:val="210"/>
        </w:trPr>
        <w:tc>
          <w:tcPr>
            <w:tcW w:w="3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Reserve for warranty receivable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1,047</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Reserve for equipment inventory</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1,497</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13,277</w:t>
            </w: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(13,831)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2,909</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Reserve for warranty receivable and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933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1,613</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Reserve for equipment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15,413</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(15,088)</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3,463</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Reserve for warranty receivable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Reserve for equipment inventory</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Reserve for commercial vehicle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8,953</w:t>
            </w: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3,138</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Receivables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 The Company sells a majority of its customer accounts receivable on a non-recourse basis to a third party that is responsible for qualifying the customer for credit at the point of sale. If the third party approves the customer for credit, then the third party assumes all credit risk related to the transaction.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valuation for new and used commercial vehicle and equipment inventory is based on specific identification. A detail of new and used commercial vehicle and equipment inventory is reviewed and, if necessary, adjustments to the value of specific units are made on a quarterly basis.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139" w:hanging="8"/>
        <w:spacing w:after="0" w:line="4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spacing w:after="0" w:line="2"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Floor plan notes are financing agreements to facilitate the Company’s purchase of new and used commercial vehicles and construction equipment. These notes are collateralized by the inventory purchased and accounts receivable arising from the sale thereof. The Company’s floor plan notes have interest rates benchmarked to the prime rate or LIBOR, as defined in the agreements. The interest rates applicable to these agreements ranged from approximately 1.48% to a maximum rate of 4.75% as of December 31, 2009. The Company’s weighted average interest rate for floor plan notes payable was 1.28% for the year ended December 31, 2009, and 3.03% for the year ended December 31, 2008. Amounts borrowed under these agreements are due when the related commercial vehicle or construction equipment inventory (collateral) is sold and the sales proceeds are collected by the Company, or in the case of construction equipment rentals, when the carrying value of the equipment is reduced. These agreements may be modified, suspended or terminated by the lender as described in Note 3.</w:t>
      </w:r>
    </w:p>
    <w:p>
      <w:pPr>
        <w:spacing w:after="0" w:line="12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 finances substantially all of the purchase price of its new commercial vehicle inventory, and the loan value of its used commercial vehicle inventory under a floor plan financing agreement with GE Capital, under which GE Capital pays the manufacturer directly with respect to new commercial vehicles. On December 31, 2009, the Company had approximately $173.0 million outstanding under its floor plan financing agreement with GE Capital.</w:t>
      </w:r>
    </w:p>
    <w:p>
      <w:pPr>
        <w:spacing w:after="0" w:line="16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Company’s floor plan agreement with Chase is based on the book value of the Company’s construction equipment inventory. As of December 31, 2009, the aggregate amount of borrowing capacity with this lender was $20.0 million, with approximately $15.2 million outstanding. Additional amounts are available for construction equipment inventory purchases under the Company’s John Deere dealership agreement. At December 31, 2009, approximately $1.1 million was outstanding pursuant to the John Deere dealership agreement.</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1"/>
              </w:rPr>
              <w:t>Assets pledged as collateral as of December 31, 2009 and 2008 were as follows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Inventories, new and used vehicles and construction equipment at cost based on specific</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identification, net of allowance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185,046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270,630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Vehicle and construction equipment sale related 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14,419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25,185</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199,465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2"/>
          </w:tcPr>
          <w:p>
            <w:pPr>
              <w:spacing w:after="0"/>
              <w:rPr>
                <w:sz w:val="20"/>
                <w:szCs w:val="20"/>
                <w:color w:val="auto"/>
              </w:rPr>
            </w:pPr>
            <w:r>
              <w:rPr>
                <w:rFonts w:ascii="Arial" w:cs="Arial" w:eastAsia="Arial" w:hAnsi="Arial"/>
                <w:sz w:val="18"/>
                <w:szCs w:val="18"/>
                <w:color w:val="auto"/>
              </w:rPr>
              <w:t>Floor plan notes payable related to vehicle and construction equipment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189,256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282,702</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Lines of Credit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December 31, 2009; however, $6.1 million was pledged to secure various letters of credit related to self-insurance products, leaving $1.9 million available for future borrowings as of December 31, 2009.</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Arial" w:cs="Arial" w:eastAsia="Arial" w:hAnsi="Arial"/>
                <w:sz w:val="18"/>
                <w:szCs w:val="18"/>
                <w:color w:val="auto"/>
              </w:rPr>
              <w:t>8. LONG-TERM DEBT: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7000" w:type="dxa"/>
            <w:vAlign w:val="bottom"/>
            <w:gridSpan w:val="3"/>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r>
      <w:tr>
        <w:trPr>
          <w:trHeight w:val="210"/>
        </w:trPr>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18,171</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Fixed interest rate term notes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164,959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191,505</w:t>
            </w:r>
          </w:p>
        </w:tc>
      </w:tr>
      <w:tr>
        <w:trPr>
          <w:trHeight w:val="223"/>
        </w:trPr>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209,502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209,676</w:t>
            </w:r>
          </w:p>
        </w:tc>
      </w:tr>
      <w:tr>
        <w:trPr>
          <w:trHeight w:val="432"/>
        </w:trPr>
        <w:tc>
          <w:tcPr>
            <w:tcW w:w="700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(55,545)</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(37,665)</w:t>
            </w:r>
          </w:p>
        </w:tc>
      </w:tr>
      <w:tr>
        <w:trPr>
          <w:trHeight w:val="223"/>
        </w:trPr>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153,957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172,011</w:t>
            </w:r>
          </w:p>
        </w:tc>
      </w:tr>
      <w:tr>
        <w:trPr>
          <w:trHeight w:val="20"/>
        </w:trPr>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As of December 31, 2009, debt maturities were as follows (in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2011</w:t>
            </w: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50,717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2013</w:t>
            </w: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LIBOR. The interest rates on the notes range from approximately 1.50% to 3.25% on December 31, 2009. Payments on the notes range from $9,722 to $59,027 per month, plus interest. Maturities of these notes range from March 2010 to December 2014.</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Company’s fixed interest rate notes are with financial institutions and had interest rates that ranged from approximately 3.66% to 8.50% on December 31, 2009. Payments on the notes range from $228 to $76,196 per month, plus interest. Maturities of these notes range from January 2010, to May 2019.</w:t>
      </w:r>
    </w:p>
    <w:p>
      <w:pPr>
        <w:spacing w:after="0" w:line="141"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9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December 31, 2009, the Company was in compliance with all debt covenants. The Company does not anticipate any breach of the covenants in the foreseeable future.</w:t>
      </w:r>
    </w:p>
    <w:p>
      <w:pPr>
        <w:spacing w:after="0" w:line="146"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December 31, 2009. The carrying value of current assets and current liabilities approximates the fair value due to the short maturity of these items.</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ind w:left="600" w:hanging="268"/>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DEFINED CONTRIBUTION PLAN:</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higher paid employees are limited to a maximum contribution of 15% of total gross compensation. For the first 10% of an employee’s contribution, the Company, at its discretion, may contribute an amount equal to 25% of the employees’ contributions for those employees with less than five years of service and an amount equal to 50% of the employees’ contributions for those employees with more than five years of service. In March 2009, the Company discontinued its matching contributions to the Rush 401K plan. The Company incurred expenses related to the Rush 401K Plan of approximately $0.6 million during the year ended December 31, 2009, $3.4 million during the year ended December 31, 2008, and $3.6 million during the year ended December 31, 2007.</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currently does not provide any postretirement benefits nor does it provide any post employment benefits.</w:t>
      </w: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960" w:hanging="8"/>
        <w:spacing w:after="0" w:line="489" w:lineRule="auto"/>
        <w:tabs>
          <w:tab w:leader="none" w:pos="60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LEASING ACTIVITIES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Vehicle Leases as Lessee</w:t>
      </w:r>
    </w:p>
    <w:p>
      <w:pPr>
        <w:jc w:val="both"/>
        <w:ind w:left="340" w:right="1760"/>
        <w:spacing w:after="0" w:line="271" w:lineRule="auto"/>
        <w:rPr>
          <w:sz w:val="20"/>
          <w:szCs w:val="20"/>
          <w:color w:val="auto"/>
        </w:rPr>
      </w:pPr>
      <w:r>
        <w:rPr>
          <w:rFonts w:ascii="Arial" w:cs="Arial" w:eastAsia="Arial" w:hAnsi="Arial"/>
          <w:sz w:val="17"/>
          <w:szCs w:val="17"/>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2009, the Company guaranteed vehicle residual values of $5.5 million under operating lease arrangements and $13.3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$3.8 million for the year ended December 31, 2009, $4.4 million for the year ended December 31, 2008, and $4.8 million for the year ended December 31, 2007.</w:t>
      </w:r>
    </w:p>
    <w:p>
      <w:pPr>
        <w:spacing w:after="0" w:line="138" w:lineRule="exact"/>
        <w:rPr>
          <w:sz w:val="20"/>
          <w:szCs w:val="20"/>
          <w:color w:val="auto"/>
        </w:rPr>
      </w:pPr>
    </w:p>
    <w:p>
      <w:pPr>
        <w:jc w:val="both"/>
        <w:ind w:left="340" w:right="1760"/>
        <w:spacing w:after="0" w:line="342" w:lineRule="auto"/>
        <w:rPr>
          <w:sz w:val="20"/>
          <w:szCs w:val="20"/>
          <w:color w:val="auto"/>
        </w:rPr>
      </w:pPr>
      <w:r>
        <w:rPr>
          <w:rFonts w:ascii="Arial" w:cs="Arial" w:eastAsia="Arial" w:hAnsi="Arial"/>
          <w:sz w:val="16"/>
          <w:szCs w:val="16"/>
          <w:color w:val="auto"/>
        </w:rPr>
        <w:t>As discussed below, these vehicles are then subleased by the Company to customers under various agreements. Future minimum sublease rentals to be received by the Company under non-cancelable subleases, as described below, are $47.4 million.</w:t>
      </w:r>
    </w:p>
    <w:p>
      <w:pPr>
        <w:spacing w:after="0" w:line="97"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Future minimum lease payments under capital and non-cancelable vehicle leases as of December 31, 2009, are as follows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Leases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Leases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7,298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7,653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5,046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5,227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(4,201)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34,444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(5,730)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28,714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Customer Vehicle Leases as Lessor</w:t>
      </w:r>
    </w:p>
    <w:p>
      <w:pPr>
        <w:spacing w:after="0" w:line="185" w:lineRule="exact"/>
        <w:rPr>
          <w:sz w:val="20"/>
          <w:szCs w:val="20"/>
          <w:color w:val="auto"/>
        </w:rPr>
      </w:pPr>
    </w:p>
    <w:p>
      <w:pPr>
        <w:jc w:val="both"/>
        <w:ind w:left="340" w:right="1760"/>
        <w:spacing w:after="0" w:line="271" w:lineRule="auto"/>
        <w:rPr>
          <w:sz w:val="20"/>
          <w:szCs w:val="20"/>
          <w:color w:val="auto"/>
        </w:rPr>
      </w:pPr>
      <w:r>
        <w:rPr>
          <w:rFonts w:ascii="Arial" w:cs="Arial" w:eastAsia="Arial" w:hAnsi="Arial"/>
          <w:sz w:val="17"/>
          <w:szCs w:val="17"/>
          <w:color w:val="auto"/>
        </w:rPr>
        <w:t>The Company leases both owned and leased trucks to customers primarily over periods of one to ten years under operating lease arrangements. These leases require a minimum rental payment and a contingent rental payment based on mileage. Rental income during the year ended December 31, 2009, consisted of minimum rental payments of approximately $47.2 million and contingent rental payments of $6.3 million. Rental income during the year ended December 31, 2008, consisted of minimum rental payments of approximately $41.9 million and contingent rental payments of $6.9 million. Rental income during the year ended December 31, 2007, consisted of minimum rental payments of approximately $34.2 million and contingent rentals payments of approximately $5.4 million. Minimum lease payments to be received for non-cancelable leases and subleases in effect at December 31, 2009,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2011</w:t>
            </w: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33,213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2013</w:t>
            </w: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17,364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Thereafter</w:t>
            </w: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60" w:type="dxa"/>
            <w:vAlign w:val="bottom"/>
            <w:vMerge w:val="restart"/>
          </w:tcPr>
          <w:p>
            <w:pPr>
              <w:jc w:val="right"/>
              <w:ind w:right="3490"/>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December 31, 2009, the Company had $142.4 million of lease vehicles included in property and equipment, net of accumulated depreciation of $65.4 million. As of December 31, 2008, the Company had $133.6 million of lease vehicles included in property and equipment, net of accumulated depreciation of $55.5 million.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leases various assets under operating leases with expiration dates ranging from May 2010, through November 2027. Monthly rental payments range from approximately $1,289 per month to $36,926 per month. Rental expense was $4.2 million for the year ended December 31, 2009, $4.8 million for the year ended December 31, 2008, and $4.3 million for the year ended December 31, 2007. Future minimum lease payments under non-cancelable leases at December 31, 2009, are as follows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3,138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1,579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7,990</w:t>
            </w:r>
          </w:p>
        </w:tc>
      </w:tr>
      <w:tr>
        <w:trPr>
          <w:trHeight w:val="223"/>
        </w:trPr>
        <w:tc>
          <w:tcPr>
            <w:tcW w:w="8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19,889</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hanging="268"/>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OPTIONS AND INCENTIVE PLANS</w:t>
      </w:r>
      <w:r>
        <w:rPr>
          <w:rFonts w:ascii="Arial" w:cs="Arial" w:eastAsia="Arial" w:hAnsi="Arial"/>
          <w:sz w:val="18"/>
          <w:szCs w:val="18"/>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Arial" w:cs="Arial" w:eastAsia="Arial" w:hAnsi="Arial"/>
          <w:sz w:val="13"/>
          <w:szCs w:val="13"/>
          <w:color w:val="auto"/>
        </w:rPr>
        <w:t>SM</w:t>
      </w:r>
      <w:r>
        <w:rPr>
          <w:rFonts w:ascii="Arial" w:cs="Arial" w:eastAsia="Arial" w:hAnsi="Arial"/>
          <w:sz w:val="16"/>
          <w:szCs w:val="16"/>
          <w:color w:val="auto"/>
        </w:rPr>
        <w:t>. Employees may purchase shares having a fair market value of up to $25,000 (measured as of the first day of each semi-annual offering period) for each calendar year. Under the Employee Stock Purchase Plan, there are approximately 560,000 shares remaining of the 900,000 shares of the Company’s Class A common stock that have been reserved for issuance. The Company issued 91,355 shares under the Employee Stock Purchase Plan during the year ended December 31, 2009 and 54,532 shares during the year ended December 31, 2008. Of the 2,465 employees eligible to participate, 270 were participants in the plan as of December 31,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The Director Plan is designed to attract and retain highly qualified non-employee directors. Historically,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The Company changed this practice in 2008. Each non-employee director received a grant of 8,756 shares of the Company’s Class A common stock in 2009 and 7,566 shares of the Company’s Class A common stock in 2008, on the date that they were reelected by the shareholders to serve on the Board of Directors. Under the Director Plan, there are approximately 1,336,000 shares remaining for issuance of the 1,500,000 shares of the Company’s Class A common stock that have been reserved for issuance. The Company granted 43,780 shares of Class A common stock under the Director Plan during the year ended December 31, 2009 and 30,264 shares of Class A common stock under the Director Plan during the year ended December 31, 2008.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Incentive Plans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w:t>
      </w:r>
    </w:p>
    <w:p>
      <w:pPr>
        <w:spacing w:after="0" w:line="148"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has a ten year term from the grant date and vests in three equal annual installments beginning on the third anniversary of the grant date. The Company has 2,550,000 shares of Class A common stock and 450,000 shares of Class B common stock reserved for issuance upon exercise of any awards granted under the Company’s 2007 Incentive Plan. As of December 31, 2009, there remains approximately 1,347,000 shares of Class A common stock and 450,000 shares of Class B common stock available for issuance upon exercise of any awards granted under the Company’s 2007 Incentive Plan. During the year ended December 31, 2009, the Company granted 617,430 options to purchase Class A common stock and 100,775 restricted Class A common stock awards under the 2007 Incentive Plan. During the year ended December 31, 2008, the Company granted 396,865 options and 73,190 restricted stock awards under the 2007 Incentive Plan.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awards and employee stock purchases was $3.7 million, $3.6 million, and $3.4 million for the years ended December 31, 2009, 2008 and 2007, respectively.</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Cash received from options exercised and shares purchased under all share-based payment arrangements was $0.8 million for the year ended December 31, 2009, $1.1 million for the year ended December 31, 2008, and $2.8 million for the year ended December 31, 2007.</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the Company’s stock option activity and related information for the year ended December 31, 2009, follows: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Aggregate</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Intrinsic</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Options</w:t>
            </w:r>
          </w:p>
        </w:tc>
        <w:tc>
          <w:tcPr>
            <w:tcW w:w="26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Price</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Life (in Years)</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Value</w:t>
            </w:r>
          </w:p>
        </w:tc>
      </w:tr>
      <w:tr>
        <w:trPr>
          <w:trHeight w:val="210"/>
        </w:trPr>
        <w:tc>
          <w:tcPr>
            <w:tcW w:w="4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of Outstanding Options at January 1, 2009</w:t>
            </w: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2,792,970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617,430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7.67</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(27,061)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(87,212)</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13.24</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Balance of Outstanding Options at December 31, 2009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3,296,127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7,773,830</w:t>
            </w:r>
          </w:p>
        </w:tc>
      </w:tr>
      <w:tr>
        <w:trPr>
          <w:trHeight w:val="20"/>
        </w:trPr>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Vested and exercisable at December 31, 2009</w:t>
            </w: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w w:val="87"/>
              </w:rPr>
              <w:t>1,320,141</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5,057,933</w:t>
            </w:r>
          </w:p>
        </w:tc>
      </w:tr>
      <w:tr>
        <w:trPr>
          <w:trHeight w:val="20"/>
        </w:trPr>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weighted-average of the closing price as of December 31, 2009, of the Company’s Class A common stock and Class B common stock of $11.82. The total intrinsic value of options exercised was $0.2 million during the year ended December 31, 2009, $1.7 million during the year ended December 31, 2008, and $6.1 million during the year ended December 31, 2007.</w:t>
      </w:r>
    </w:p>
    <w:p>
      <w:pPr>
        <w:spacing w:after="0" w:line="13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summary of the status of the number of shares underlying Company’s non-vested options as of December 31, 2009, and changes during the year ended December 31, 2009,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Number of</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Grant Date</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Non-vested Shares</w:t>
            </w:r>
          </w:p>
        </w:tc>
        <w:tc>
          <w:tcPr>
            <w:tcW w:w="2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Fair Value</w:t>
            </w:r>
          </w:p>
        </w:tc>
      </w:tr>
      <w:tr>
        <w:trPr>
          <w:trHeight w:val="210"/>
        </w:trPr>
        <w:tc>
          <w:tcPr>
            <w:tcW w:w="6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1,793,602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617,430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(392,710)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(42,336)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r>
      <w:tr>
        <w:trPr>
          <w:trHeight w:val="223"/>
        </w:trPr>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1,975,986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total fair value of vested options was $1.8 million during the year ended December 31, 2009, $1.4 million during the year ended December 31, 2008, and $2.0 million during the year ended December 31, 2007.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Awards</w:t>
      </w:r>
    </w:p>
    <w:p>
      <w:pPr>
        <w:spacing w:after="0" w:line="18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Company granted restricted stock awards to its employees under the 2007 Incentive Plan and unrestricted stock awards to its non-employee directors under the Director Plan during the year ended December 31, 2009.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to the Company’s employees is amortized to expense on a straight-line basis over the restricted stock’s vesting period. The shares granted to non-employee directors are expensed on the grant date.</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w w:val="96"/>
              </w:rPr>
              <w:t>The following table presents a summary of the Company’s stock awards outstanding at December 31, 2009:</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Number of</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Grant Date</w:t>
            </w:r>
          </w:p>
        </w:tc>
      </w:tr>
      <w:tr>
        <w:trPr>
          <w:trHeight w:val="230"/>
        </w:trPr>
        <w:tc>
          <w:tcPr>
            <w:tcW w:w="34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Stock Awards</w:t>
            </w:r>
          </w:p>
        </w:tc>
        <w:tc>
          <w:tcPr>
            <w:tcW w:w="2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Fair Value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71,760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w:t>
            </w:r>
          </w:p>
        </w:tc>
      </w:tr>
      <w:tr>
        <w:trPr>
          <w:trHeight w:val="216"/>
        </w:trPr>
        <w:tc>
          <w:tcPr>
            <w:tcW w:w="3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144,555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8.81</w:t>
            </w: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(67,705)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r>
      <w:tr>
        <w:trPr>
          <w:trHeight w:val="216"/>
        </w:trPr>
        <w:tc>
          <w:tcPr>
            <w:tcW w:w="3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148,610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total fair market value of the shares issued upon the vesting of stock awards during the year ended December 31, 2009 was $0.9 million.</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December 31, 2009, there was $3.9 million of total unrecognized compensation cost related to unvested share-based compensation arrangements granted under the Incentive Plan and the 2007 Incentive Plan. That cost is expected to be recognized over a weighted-average period of 2.8 years.</w:t>
      </w:r>
    </w:p>
    <w:p>
      <w:pPr>
        <w:spacing w:after="0" w:line="141" w:lineRule="exact"/>
        <w:rPr>
          <w:sz w:val="20"/>
          <w:szCs w:val="20"/>
          <w:color w:val="auto"/>
        </w:rPr>
      </w:pPr>
    </w:p>
    <w:p>
      <w:pPr>
        <w:ind w:left="600" w:hanging="268"/>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DIVIDEND AND STOCK REPURCHASE PLAN</w:t>
      </w:r>
      <w:r>
        <w:rPr>
          <w:rFonts w:ascii="Arial" w:cs="Arial" w:eastAsia="Arial" w:hAnsi="Arial"/>
          <w:sz w:val="18"/>
          <w:szCs w:val="18"/>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Dividend</w:t>
      </w:r>
    </w:p>
    <w:p>
      <w:pPr>
        <w:spacing w:after="0" w:line="18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September 20, 2007, our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Repurchase Plan</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As of December 31, 2009, the Company repurchased 1,639,843 shares of Class B common stock at a cost of $17.9 million. The Company is holding the repurchased shares of the common stock as treasury stock and is accounting for the treasury stock pursuant to the cost method. The Company includes treasury stock as a component of stockholders’ equity.</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198" w:lineRule="exact"/>
        <w:rPr>
          <w:sz w:val="20"/>
          <w:szCs w:val="20"/>
          <w:color w:val="auto"/>
        </w:rPr>
      </w:pPr>
    </w:p>
    <w:p>
      <w:pPr>
        <w:jc w:val="both"/>
        <w:ind w:left="340" w:right="1760"/>
        <w:spacing w:after="0" w:line="276" w:lineRule="auto"/>
        <w:rPr>
          <w:sz w:val="20"/>
          <w:szCs w:val="20"/>
          <w:color w:val="auto"/>
        </w:rPr>
      </w:pPr>
      <w:r>
        <w:rPr>
          <w:rFonts w:ascii="Arial" w:cs="Arial" w:eastAsia="Arial" w:hAnsi="Arial"/>
          <w:sz w:val="17"/>
          <w:szCs w:val="17"/>
          <w:color w:val="auto"/>
        </w:rPr>
        <w:t>Basic earnings per share (“EPS”) were computed by dividing net income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net income.</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Numerator for basic and diluted earnings per share-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28,865,000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51,492,000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earnings per share, weighted average shares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37,065,654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38,088,687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38,059,240</w:t>
            </w:r>
          </w:p>
        </w:tc>
        <w:tc>
          <w:tcPr>
            <w:tcW w:w="0" w:type="dxa"/>
            <w:vAlign w:val="bottom"/>
          </w:tcPr>
          <w:p>
            <w:pPr>
              <w:spacing w:after="0"/>
              <w:rPr>
                <w:sz w:val="1"/>
                <w:szCs w:val="1"/>
                <w:color w:val="auto"/>
              </w:rPr>
            </w:pPr>
          </w:p>
        </w:tc>
      </w:tr>
      <w:tr>
        <w:trPr>
          <w:trHeight w:val="432"/>
        </w:trPr>
        <w:tc>
          <w:tcPr>
            <w:tcW w:w="570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shares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498,263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686,477</w:t>
            </w:r>
          </w:p>
        </w:tc>
        <w:tc>
          <w:tcPr>
            <w:tcW w:w="0" w:type="dxa"/>
            <w:vAlign w:val="bottom"/>
          </w:tcPr>
          <w:p>
            <w:pPr>
              <w:spacing w:after="0"/>
              <w:rPr>
                <w:sz w:val="1"/>
                <w:szCs w:val="1"/>
                <w:color w:val="auto"/>
              </w:rPr>
            </w:pPr>
          </w:p>
        </w:tc>
      </w:tr>
      <w:tr>
        <w:trPr>
          <w:trHeight w:val="425"/>
        </w:trPr>
        <w:tc>
          <w:tcPr>
            <w:tcW w:w="5700" w:type="dxa"/>
            <w:vAlign w:val="bottom"/>
          </w:tcPr>
          <w:p>
            <w:pPr>
              <w:ind w:left="200"/>
              <w:spacing w:after="0"/>
              <w:rPr>
                <w:sz w:val="20"/>
                <w:szCs w:val="20"/>
                <w:color w:val="auto"/>
              </w:rPr>
            </w:pPr>
            <w:r>
              <w:rPr>
                <w:rFonts w:ascii="Arial" w:cs="Arial" w:eastAsia="Arial" w:hAnsi="Arial"/>
                <w:sz w:val="18"/>
                <w:szCs w:val="18"/>
                <w:color w:val="auto"/>
                <w:w w:val="96"/>
              </w:rPr>
              <w:t>Denominator for diluted earnings per share, adjusted weighted average</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Arial" w:cs="Arial" w:eastAsia="Arial" w:hAnsi="Arial"/>
                <w:sz w:val="18"/>
                <w:szCs w:val="18"/>
                <w:color w:val="auto"/>
              </w:rPr>
              <w:t>shares and assumed conversions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37,596,507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38,586,950</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38,745,717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2009, 2008 and 2007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60" w:type="dxa"/>
            <w:vAlign w:val="bottom"/>
            <w:gridSpan w:val="2"/>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1,557,356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545,215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2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1,557,356</w:t>
            </w:r>
          </w:p>
        </w:tc>
        <w:tc>
          <w:tcPr>
            <w:tcW w:w="38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545,215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157,500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vMerge w:val="restart"/>
          </w:tcPr>
          <w:p>
            <w:pPr>
              <w:jc w:val="right"/>
              <w:ind w:right="870"/>
              <w:spacing w:after="0"/>
              <w:rPr>
                <w:sz w:val="20"/>
                <w:szCs w:val="20"/>
                <w:color w:val="auto"/>
              </w:rPr>
            </w:pPr>
            <w:r>
              <w:rPr>
                <w:rFonts w:ascii="Arial" w:cs="Arial" w:eastAsia="Arial" w:hAnsi="Arial"/>
                <w:sz w:val="18"/>
                <w:szCs w:val="18"/>
                <w:color w:val="auto"/>
              </w:rPr>
              <w:t>62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899" w:hanging="8"/>
        <w:spacing w:after="0" w:line="519" w:lineRule="auto"/>
        <w:tabs>
          <w:tab w:leader="none" w:pos="61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tax provisions (benefits) are summarized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20,516</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w:t>
            </w:r>
          </w:p>
        </w:tc>
      </w:tr>
      <w:tr>
        <w:trPr>
          <w:trHeight w:val="20"/>
        </w:trPr>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6,273</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22,794</w:t>
            </w:r>
          </w:p>
        </w:tc>
      </w:tr>
      <w:tr>
        <w:trPr>
          <w:trHeight w:val="223"/>
        </w:trPr>
        <w:tc>
          <w:tcPr>
            <w:tcW w:w="5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 (benefit)-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(2,614)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9,809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8,027</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r>
      <w:tr>
        <w:trPr>
          <w:trHeight w:val="20"/>
        </w:trPr>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9,949</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7,516</w:t>
            </w:r>
          </w:p>
        </w:tc>
      </w:tr>
      <w:tr>
        <w:trPr>
          <w:trHeight w:val="223"/>
        </w:trPr>
        <w:tc>
          <w:tcPr>
            <w:tcW w:w="5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30,310</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components of deferred tax assets and liabilities included in the balance sheet (in thousands):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Alternative fuel tax credits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net operating loss carry forward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State tax credit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Current deferred tax asset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3,079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Difference between book and tax basis-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(57,901)</w:t>
            </w:r>
          </w:p>
        </w:tc>
        <w:tc>
          <w:tcPr>
            <w:tcW w:w="0" w:type="dxa"/>
            <w:vAlign w:val="bottom"/>
          </w:tcPr>
          <w:p>
            <w:pPr>
              <w:spacing w:after="0"/>
              <w:rPr>
                <w:sz w:val="1"/>
                <w:szCs w:val="1"/>
                <w:color w:val="auto"/>
              </w:rPr>
            </w:pPr>
          </w:p>
        </w:tc>
      </w:tr>
      <w:tr>
        <w:trPr>
          <w:trHeight w:val="216"/>
        </w:trPr>
        <w:tc>
          <w:tcPr>
            <w:tcW w:w="7000" w:type="dxa"/>
            <w:vAlign w:val="bottom"/>
          </w:tcPr>
          <w:p>
            <w:pPr>
              <w:ind w:left="600"/>
              <w:spacing w:after="0"/>
              <w:rPr>
                <w:sz w:val="20"/>
                <w:szCs w:val="20"/>
                <w:color w:val="auto"/>
              </w:rPr>
            </w:pPr>
            <w:r>
              <w:rPr>
                <w:rFonts w:ascii="Arial" w:cs="Arial" w:eastAsia="Arial" w:hAnsi="Arial"/>
                <w:sz w:val="18"/>
                <w:szCs w:val="18"/>
                <w:color w:val="auto"/>
              </w:rPr>
              <w:t>LIFO inventory valuation</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tax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(52,896)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w w:val="92"/>
              </w:rPr>
              <w:t>The Company’s various state net operating loss carry forwards expire from 2011 through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reconciliation of taxes based on the federal statutory rates and the provisions (benefits) for income taxes are summarized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15,781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1,236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1,148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Alternative fuel tax credit</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(5,304)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Federal tax settlement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r>
      <w:tr>
        <w:trPr>
          <w:trHeight w:val="223"/>
        </w:trPr>
        <w:tc>
          <w:tcPr>
            <w:tcW w:w="5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30,310</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Company included accruals for unrecognized income tax benefits totaling $1.8 million as a component of accrued liabilities as of December 31, 2009, and $1.9 million as of December 31, 2008. The unrecognized tax benefits of $1.8 million at December 31, 2009, if recognized, would impact the Company’s effective tax rate. An unfavorable settlement would require a charge to income tax expense and a favorable resolution would be recognized as a reduction to income tax expense. As of December 31, 2009, the Company accrued interest of $135,000 related to unrecognized tax benefits in the current provision for income taxes. No amounts were accrued for penalties.</w:t>
      </w:r>
    </w:p>
    <w:p>
      <w:pPr>
        <w:spacing w:after="0" w:line="13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December 31, 2009, the tax years ended December 31, 2008 through 2009 remained subject to audit by federal tax authorities and the tax years ended December 31, 2005 through 2009, remained subject to audit by state tax authorities.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change in the unrecognized tax benefits from January 1, 2007, to December 31, 2009, is as follows:</w:t>
      </w:r>
    </w:p>
    <w:p>
      <w:pPr>
        <w:sectPr>
          <w:pgSz w:w="11900" w:h="16838" w:orient="portrait"/>
          <w:cols w:equalWidth="0" w:num="1">
            <w:col w:w="10219"/>
          </w:cols>
          <w:pgMar w:left="240" w:top="419" w:right="1440" w:bottom="1440" w:gutter="0" w:footer="0" w:header="0"/>
        </w:sect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prior years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due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2008</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increases — tax positions in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Gross increases — tax positions in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Decreases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59258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due to lapse of statute of limitations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32" w:lineRule="exact"/>
        <w:rPr>
          <w:sz w:val="20"/>
          <w:szCs w:val="20"/>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07" w:hanging="207"/>
        <w:spacing w:after="0"/>
        <w:tabs>
          <w:tab w:leader="none" w:pos="2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1,430,204</w:t>
      </w:r>
    </w:p>
    <w:p>
      <w:pPr>
        <w:spacing w:after="0" w:line="34" w:lineRule="exact"/>
        <w:rPr>
          <w:rFonts w:ascii="Arial" w:cs="Arial" w:eastAsia="Arial" w:hAnsi="Arial"/>
          <w:sz w:val="17"/>
          <w:szCs w:val="17"/>
          <w:color w:val="auto"/>
        </w:rPr>
      </w:pPr>
    </w:p>
    <w:p>
      <w:pPr>
        <w:ind w:left="347"/>
        <w:spacing w:after="0"/>
        <w:rPr>
          <w:rFonts w:ascii="Arial" w:cs="Arial" w:eastAsia="Arial" w:hAnsi="Arial"/>
          <w:sz w:val="17"/>
          <w:szCs w:val="17"/>
          <w:color w:val="auto"/>
        </w:rPr>
      </w:pPr>
      <w:r>
        <w:rPr>
          <w:rFonts w:ascii="Arial" w:cs="Arial" w:eastAsia="Arial" w:hAnsi="Arial"/>
          <w:sz w:val="17"/>
          <w:szCs w:val="17"/>
          <w:color w:val="auto"/>
        </w:rPr>
        <w:t>535,224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91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2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1,965,428</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426,590</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(453,334)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18"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1,938,684</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345,863</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94,053</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(344,737)</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(272,468)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18"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  1,761,395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91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7933" w:space="720"/>
            <w:col w:w="1567"/>
          </w:cols>
          <w:pgMar w:left="240" w:top="419" w:right="1440" w:bottom="1440" w:gutter="0" w:footer="0" w:header="0"/>
          <w:type w:val="continuous"/>
        </w:sectPr>
      </w:pPr>
    </w:p>
    <w:p>
      <w:pPr>
        <w:jc w:val="both"/>
        <w:ind w:left="340" w:right="559"/>
        <w:spacing w:after="0" w:line="255" w:lineRule="auto"/>
        <w:rPr>
          <w:sz w:val="20"/>
          <w:szCs w:val="20"/>
          <w:color w:val="auto"/>
        </w:rPr>
      </w:pPr>
      <w:r>
        <w:rPr>
          <w:rFonts w:ascii="Arial" w:cs="Arial" w:eastAsia="Arial" w:hAnsi="Arial"/>
          <w:sz w:val="18"/>
          <w:szCs w:val="18"/>
          <w:color w:val="auto"/>
        </w:rPr>
        <w:t>The Company is contingently liable to finance companies for certain notes initiated on behalf of such finance companies related to the sale of commercial vehicles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$34.0 million, of which $28.4 million was expended at December 31, 2009.</w:t>
      </w:r>
    </w:p>
    <w:p>
      <w:pPr>
        <w:spacing w:after="0" w:line="141"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All of the following acquisitions, unless otherwise noted, were considered business combinations accounted for under ASC topic 805.</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June 2008, the Company acquired certain assets of Capital Bus Sales and Service of Texas, Inc., which included a Blue Bird bus franchise for the majority of Texas. As a result, the Company now sells and provides factory service for Blue Bird buses at most Rush Truck Centers in Texas. The transaction was valued at approximately $5.6 million, with the purchase price paid in cash.</w:t>
      </w:r>
    </w:p>
    <w:p>
      <w:pPr>
        <w:spacing w:after="0" w:line="14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Capital Bus Sales and Service of Texas, Inc. acquisition was accounted for as a purchase; operations of the business acquired are included in the accompanying consolidated financial statements from the date of the acquisition. Pro forma information is not included because Capital Bus Sales and Service of Texas, Inc.’s results of operations would not have had a material effect on the Company’s financial statements. The purchase price was allocated based on the fair values of the assets at the date of acquisition as follows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r>
      <w:tr>
        <w:trPr>
          <w:trHeight w:val="439"/>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All of the goodwill acquired in the Capital Bus Sales and Service of Texas, Inc. acquisition will be amortized over 15 years for tax purposes.</w:t>
      </w:r>
    </w:p>
    <w:p>
      <w:pPr>
        <w:spacing w:after="0" w:line="143"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In May 2008, the Company acquired certain assets of Peterbilt Carolina, Inc. which consisted of a Peterbilt, Hino and Isuzu heavy- and medium-duty truck dealership in Charlotte, North Carolina. The Company is operating the facility as a full-service Rush Truck Center offering Peterbilt heavy- and medium-duty trucks as well as medium-duty trucks manufactured by Hino and Isuzu, and parts and service. The transaction was valued at approximately $13.4 million, with the purchase price paid in cash.</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operations of Peterbilt Carolina, Inc. are included in the accompanying consolidated financial statements from the date of the acquisition. Pro forma information is not included because Peterbilt Carolina, Inc.’s results of operations would not have had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8,529</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80" w:type="dxa"/>
            <w:vAlign w:val="bottom"/>
            <w:shd w:val="clear" w:color="auto" w:fill="CCEEFF"/>
          </w:tcPr>
          <w:p>
            <w:pPr>
              <w:spacing w:after="0"/>
              <w:rPr>
                <w:sz w:val="18"/>
                <w:szCs w:val="18"/>
                <w:color w:val="auto"/>
              </w:rPr>
            </w:pPr>
          </w:p>
        </w:tc>
      </w:tr>
      <w:tr>
        <w:trPr>
          <w:trHeight w:val="439"/>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8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goodwill acquired in the Peterbilt Carolina, Inc. acquisition will be amortized over 15 years for tax purposes.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In May 2008, the Company executed agreements to acquire the common stock of Adams International Trucks, Inc., an International heavy- and medium-duty truck dealership in Charlotte, North Carolina. The Company is operating the facility as a full-service Rush Truck Center offering International heavy- and medium-duty trucks, parts and service as well as leasing. The transaction was valued at approximately $20.1 million, with the purchase price paid in cash.</w:t>
      </w:r>
    </w:p>
    <w:p>
      <w:pPr>
        <w:spacing w:after="0" w:line="131"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operations of Adams International Trucks, Inc. are included in the accompanying consolidated financial statements from the date of the acquisition. Pro forma information is not included because Adams International Trucks, Inc.’s results of operations would not have had a material effect on the Company’s financial statements. The purchase price was allocated based on the fair values of the assets at the date of acquisition as follows (in thousands):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6,313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(3,185)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13,918</w:t>
            </w:r>
          </w:p>
        </w:tc>
      </w:tr>
      <w:tr>
        <w:trPr>
          <w:trHeight w:val="223"/>
        </w:trPr>
        <w:tc>
          <w:tcPr>
            <w:tcW w:w="8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20,102</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portion of goodwill related to the stock purchase of Adams International Trucks, Inc. will not be amortized for tax purposes, while the portion of goodwill related to the acquisition of the International franchise rights will be amortized over 15 years for tax purposes.</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addition to the stock and asset purchases described above, the Company purchased the real estate of the North Carolina dealership operations for $6.2 million. The real estate transaction was financed by a financial institution with a $5.0 million note payable.</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San Luis Truck Service Garage, Inc. acquisition was accounted for as a purchase; operations of the business acquired are included in the accompanying consolidated financial statements from the date of the acquisition. Pro forma information is not included because San Luis Truck Service Garage, Inc.’s results of operations would not have had a material effect on the Company’s financial statements. The purchase price was allocated based on the fair values of the assets at the date of acquisition as follows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r>
      <w:tr>
        <w:trPr>
          <w:trHeight w:val="439"/>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All of the goodwill acquired in the San Luis Truck Service Garage, Inc. acquisition will be amortized over 15 years for tax purposes.</w:t>
      </w:r>
    </w:p>
    <w:p>
      <w:pPr>
        <w:spacing w:after="0" w:line="13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heavy-and medium-duty trucks as well as medium-duty trucks manufactured by GMC and Isuzu, and parts and service. The transaction was valued at approximately $6.3 million, with the purchase price paid in cash.</w:t>
      </w:r>
    </w:p>
    <w:p>
      <w:pPr>
        <w:spacing w:after="0" w:line="146"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had a material effect on the Company’s financial statements. The purchase price was allocated based on the fair values of the assets at the date of acquisition as follows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r>
      <w:tr>
        <w:trPr>
          <w:trHeight w:val="439"/>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8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goodwill acquired in the Allen-Jensen, Inc. acquisition will be amortized over 15 years for tax purposes.</w:t>
      </w:r>
    </w:p>
    <w:p>
      <w:pPr>
        <w:spacing w:after="0" w:line="18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 Pro forma information is not included because Advanced Transportation Insurance Services, Inc.’s results of operations would not have had a material effect on the Company’s financial statements. The entire purchase price was allocated to goodwill and $1.6 million of the goodwill will be amortized over 15 years for tax purposes.</w:t>
      </w:r>
    </w:p>
    <w:p>
      <w:pPr>
        <w:spacing w:after="0" w:line="127" w:lineRule="exact"/>
        <w:rPr>
          <w:sz w:val="20"/>
          <w:szCs w:val="20"/>
          <w:color w:val="auto"/>
        </w:rPr>
      </w:pPr>
    </w:p>
    <w:p>
      <w:pPr>
        <w:ind w:left="600" w:hanging="268"/>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9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3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6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December 31, 2009 and December 31, 2008, the Company held $7.6 million of auction rate securities with underlying tax-exempt municipal bonds with stated maturities of 21 years. These bonds have credit wrap insurance and a credit rating of A by Standard &amp; Poor’s.</w:t>
      </w:r>
    </w:p>
    <w:p>
      <w:pPr>
        <w:spacing w:after="0" w:line="141"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Company believes that the credit quality and fair value of the auction rate securities it holds has not been negatively impacted; therefore, no impairment charges have been recorded as of December 31, 2009. As of December 31, 2009,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topic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of December 31, 2008, the Company classified its investments in auction rate securities as a current asset as the Company reasonably expected that these assets would be sold or redeemed within a year. The Company believed its auction rate securities would sell within twelve months because, at that time, similar municipal-backed auction rate securities had experienced successful auctions. The Company no longer believes these assets should be classified as current and has classified the auction rate securities to long-term investments as of December 31, 2009.</w:t>
      </w:r>
    </w:p>
    <w:p>
      <w:pPr>
        <w:spacing w:after="0" w:line="161" w:lineRule="exact"/>
        <w:rPr>
          <w:sz w:val="20"/>
          <w:szCs w:val="20"/>
          <w:color w:val="auto"/>
        </w:rPr>
      </w:pPr>
    </w:p>
    <w:p>
      <w:pPr>
        <w:ind w:left="600" w:hanging="268"/>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MEDIUM-DUTY GMC TRUCK FRANCHISES</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In the second quarter of 2009, this impairment charge resulted in a net charge to cost of sales of $4.0 million, a net charge to SG&amp;A expense of $0.1 million and a charge to amortization expense of $0.8 million. During the third and fourth quarters of 2009, the Company adjusted the estimated impairment charge related to the medium-duty GMC truck and parts inventories, which resulted in a net credit to cost of sales of $1.9 million.</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879" w:hanging="8"/>
        <w:spacing w:after="0" w:line="277" w:lineRule="auto"/>
        <w:tabs>
          <w:tab w:leader="none" w:pos="6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UNAUDITED QUARTERLY FINANCIAL DATA</w:t>
      </w:r>
      <w:r>
        <w:rPr>
          <w:rFonts w:ascii="Arial" w:cs="Arial" w:eastAsia="Arial" w:hAnsi="Arial"/>
          <w:sz w:val="18"/>
          <w:szCs w:val="18"/>
          <w:color w:val="auto"/>
        </w:rPr>
        <w:t>: (In thousands, except per share amounts.)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First</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Second</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Quarter</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329,086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312,128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302,438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295,637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53,669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(2,451)</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4,748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1,534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403,858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454,718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413,696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382,684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78,179</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74,413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76,385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67,735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11,479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15,481</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9,706</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12,167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7,733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truck centers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27"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Construction Equipment segment operates two full-service John Deere dealerships that serve the Southeast Texas area. Construction Equipment dealership operations include the retail sale of new and used construction equipment, aftermarket parts and service facilities, equipment rentals, and the financing of new and used construction equipment.</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06"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The Company accounts for intersegment sales and transfers as if the sales or transfers were to third parties, that is, at current market prices. There were no material intersegment sales during the years ended December 31, 2009, 2008 and 2007.</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years ended December 31, 2009, 2008 and 2007 (in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Construction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Truck</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Equipment</w:t>
            </w:r>
          </w:p>
        </w:tc>
        <w:tc>
          <w:tcPr>
            <w:tcW w:w="18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All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Segment</w:t>
            </w:r>
          </w:p>
        </w:tc>
        <w:tc>
          <w:tcPr>
            <w:tcW w:w="12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Segment</w:t>
            </w:r>
          </w:p>
        </w:tc>
        <w:tc>
          <w:tcPr>
            <w:tcW w:w="18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Totals</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1,184,400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1,239,289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6,153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16,440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Segment income (loss) before income tax</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(2,040)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3,216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924,703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27,779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977,297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134,352</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2,409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140,836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74,802</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1,553,298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1,654,956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2,636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15,878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income tax</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45,087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1,000,470</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29,570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26,750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1,056,790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135,191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141,904</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71,109</w:t>
            </w:r>
          </w:p>
        </w:tc>
      </w:tr>
      <w:tr>
        <w:trPr>
          <w:trHeight w:val="202"/>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1,914,897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97,130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18,752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2,030,779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17,749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Segment income before income tax</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71,736</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8,527</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81,802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973,434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30,494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1,031,591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113,869</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120,582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68,779</w:t>
            </w: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were no changes or disagreements on any matters of accounting principles or financial statement disclosure between the Company and its independent registered public accounting firm during the two most recent fiscal years or any subsequent interim period.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8A. 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2009, to ensure that information required to be disclosed in our reports filed or submitted under the Exchange Act is (1) recorded, processed, summarized and reported within the time periods specified in the Securities and Exchange Commission’s rules and forms and (2) accumulated and communicated to the Company’s management, including our Chief Executive Officer and Chief Financial Officer, as appropriate to allow timely decisions regarding required disclosure.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December 31, 2009, that have materially affected, or are reasonably likely to materially affect, the Company’s internal control over financial reporting.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of December 31, 2009,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2009, based on those criteria.</w:t>
      </w:r>
    </w:p>
    <w:p>
      <w:pPr>
        <w:spacing w:after="0" w:line="161"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2009. The report, which expresses unqualified opinions on the effectiveness of the Company’s internal control over financial reporting as of December 31, 2009, is included in this Item 8A under the heading “Attestation Report of Independent Registered Public Accounting Firm.”</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194" w:lineRule="exact"/>
        <w:rPr>
          <w:sz w:val="20"/>
          <w:szCs w:val="20"/>
          <w:color w:val="auto"/>
        </w:rPr>
      </w:pPr>
    </w:p>
    <w:p>
      <w:pPr>
        <w:ind w:left="340" w:right="2959" w:firstLine="2414"/>
        <w:spacing w:after="0" w:line="483"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Rush Enterprises, Inc.</w:t>
      </w:r>
    </w:p>
    <w:p>
      <w:pPr>
        <w:spacing w:after="0" w:line="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We have audited Rush Enterprises, Inc.’s internal control over financial reporting as of December 31, 2009, based on criteria established in Internal Control — Integrated Framework issued by the Committee of Sponsoring Organizations of the Treadway Commission (the COSO criteria). Rush Enterprises,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4"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left="340" w:right="559" w:hanging="8"/>
        <w:spacing w:after="0" w:line="270" w:lineRule="auto"/>
        <w:tabs>
          <w:tab w:leader="none" w:pos="60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our opinion, Rush Enterprises, Inc. maintained, in all material respects, effective internal control over financial reporting as of December 31, 2009, based on the COSO criteria.</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Rush Enterprises, Inc. and subsidiaries as of December 31, 2009, and 2008, and the related consolidated statements of income, shareholders’ equity, and cash flows for each of the three years in the period ended December 31, 2009, of Rush Enterprises, Inc. and subsidiaries and our report dated March 12, 2010, expressed an unqualified opinion thereon.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12, 2010</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8B. 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called for by Item 9 of Form 10-K is incorporated herein by reference to such information included in the Company’s Proxy Statement for the 2010 Annual Meeting of Shareholders.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Code of Ethics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8"/>
          <w:szCs w:val="18"/>
          <w:u w:val="single" w:color="auto"/>
          <w:color w:val="auto"/>
        </w:rPr>
        <w:t>www.rushenterprises.com</w:t>
      </w:r>
      <w:r>
        <w:rPr>
          <w:rFonts w:ascii="Arial" w:cs="Arial" w:eastAsia="Arial" w:hAnsi="Arial"/>
          <w:sz w:val="18"/>
          <w:szCs w:val="18"/>
          <w:color w:val="auto"/>
        </w:rPr>
        <w:t xml:space="preserve">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set forth above.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10. Executive Compensation</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2010 Annual Meeting of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11. Security Ownership of Certain Beneficial Owners and Management and Related Shareholder Matters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2010 Annual Meeting of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12. Certain Relationships and Related Transactions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called for by Item 12 of Form 10-K is incorporated herein by reference to such information included in the Company’s Proxy Statement for the 2010 Annual Meeting of Shareholders.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13. Principal Accountant Fees and Services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2010 Annual Meeting of Shareholders.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14. Exhibits and Financial Statement Schedules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Included in Item 7 of Part II of this annual report on Form 10-K are the following: Report of Independent Registered Public Accounting Firm; Consolidated Balance Sheets as of December 31, 2009, and 2008; Consolidated Statements of Income for the years ended December 31, 2009, 2008, and 2007; Consolidated Statements of Shareholders’ Equity for the years ended December 31, 2009, 2008, and 2007; Consolidated Statements of Cash Flows for the years ended December 31, 2009, 2008, and 2007; and Notes to Consolidated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34"/>
        </w:trPr>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411"/>
        </w:trPr>
        <w:tc>
          <w:tcPr>
            <w:tcW w:w="1280" w:type="dxa"/>
            <w:vAlign w:val="bottom"/>
          </w:tcPr>
          <w:p>
            <w:pPr>
              <w:ind w:left="6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Restated Articles of Incorporation of Rush Enterprises, Inc. (incorporated herein by reference to Exhibit 3.1</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of the Company’s Quarterly Report on Form 10-Q (File No. 000-20797) for the quarter ended June 30,</w:t>
            </w:r>
          </w:p>
        </w:tc>
      </w:tr>
      <w:tr>
        <w:trPr>
          <w:trHeight w:val="230"/>
        </w:trPr>
        <w:tc>
          <w:tcPr>
            <w:tcW w:w="1280" w:type="dxa"/>
            <w:vAlign w:val="bottom"/>
          </w:tcPr>
          <w:p>
            <w:pPr>
              <w:spacing w:after="0"/>
              <w:rPr>
                <w:sz w:val="20"/>
                <w:szCs w:val="20"/>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r>
        <w:trPr>
          <w:trHeight w:val="418"/>
        </w:trPr>
        <w:tc>
          <w:tcPr>
            <w:tcW w:w="1280" w:type="dxa"/>
            <w:vAlign w:val="bottom"/>
          </w:tcPr>
          <w:p>
            <w:pPr>
              <w:ind w:left="6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3.2 of</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the Company’s Quarterly Report on Form 10-Q (File No. 000-20797) filed for the quarter ended June 30,</w:t>
            </w:r>
          </w:p>
        </w:tc>
      </w:tr>
      <w:tr>
        <w:trPr>
          <w:trHeight w:val="230"/>
        </w:trPr>
        <w:tc>
          <w:tcPr>
            <w:tcW w:w="1280" w:type="dxa"/>
            <w:vAlign w:val="bottom"/>
          </w:tcPr>
          <w:p>
            <w:pPr>
              <w:spacing w:after="0"/>
              <w:rPr>
                <w:sz w:val="20"/>
                <w:szCs w:val="20"/>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2009).</w:t>
            </w:r>
          </w:p>
        </w:tc>
      </w:tr>
      <w:tr>
        <w:trPr>
          <w:trHeight w:val="418"/>
        </w:trPr>
        <w:tc>
          <w:tcPr>
            <w:tcW w:w="1280" w:type="dxa"/>
            <w:vAlign w:val="bottom"/>
          </w:tcPr>
          <w:p>
            <w:pPr>
              <w:ind w:left="6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Specimen of certificate representing Common Stock (now Class B Common Stock), $.01 par value, of</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Rush Enterprises, Inc. (incorporated herein by reference to Exhibit 4.1 of the Company’s Registration</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Statement No. 333-03346 on Form S-1 filed April 10, 1996)</w:t>
            </w:r>
          </w:p>
        </w:tc>
      </w:tr>
      <w:tr>
        <w:trPr>
          <w:trHeight w:val="418"/>
        </w:trPr>
        <w:tc>
          <w:tcPr>
            <w:tcW w:w="1280" w:type="dxa"/>
            <w:vAlign w:val="bottom"/>
          </w:tcPr>
          <w:p>
            <w:pPr>
              <w:ind w:left="6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Specimen of certificate representing Class A Common Stock, $.01 par value, of the Registrant</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(incorporated herein by reference to Exhibit 4.1 of the Company’s Registration Statement on Form 8-A</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filed July 9, 2002)</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9"/>
              </w:rPr>
              <w:t>Right of First Refusal dated April 1, 1996 between Peterbilt Motors Company and W. Marvin Rush</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(incorporated herein by reference to Exhibit 10.76 of the Company’s Registration Statement No. 333-03346</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Form S-1 filed April 10, 1996)</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Right of First Refusal dated April 1, 1996 between Peterbilt Motors Company and Barbara Rush</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(incorporated herein by reference to Exhibit 10.77 of the Company’s Registration Statement No. 333-03346</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Form S-1 filed April 10, 1996)</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Right of First Refusal dated April 1, 1996 between Peterbilt Motors Company and W.M. “Rusty” Rush</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(incorporated herein by reference to Exhibit 10.78 of the Company’s Registration Statement No. 333-03346</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Form S-1 filed April 10, 1996)</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Right of First Refusal dated April 1, 1996 between Peterbilt Motors Company and Robin Rush</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(incorporated herein by reference to Exhibit 10.79 of the Company’s Registration Statement No. 333-03346</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on Form S-1 filed April 10, 1996)</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Rush Enterprises, Inc. Long-Term Incentive Plan, as amended (incorporated herein by reference to</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Exhibit 4.1 of the Company’s Registration Statement No. 333-117305 on Form S-8 filed July 12, 2004)</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Form of Rush Enterprises, Inc. Long-Term Incentive Plan Stock Option Agreement (incorporated herein by</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reference to Exhibit 10.85 of the Company’s Registration Statement No. 333-03346 on Form S-1 filed</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April 10, 1996)</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Rush Enterprises, Inc. Amended and Restated 1997 Non-Employee Director Stock Option Plan, as</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amended (incorporated herein by reference to Exhibit 4.3 of the Company’s Registration Statement</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 333-117305 on Form S-8 filed July 12, 2004)</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7"/>
              </w:rPr>
              <w:t>Form of Rush Enterprises, Inc. 1997 Non-Employee Director Stock Option Agreement (incorporated</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herein by reference to Exhibit 4.4 of the Company’s Registration Statement No. 333-117305 on Form S-8</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filed July 12, 2004)</w:t>
            </w:r>
          </w:p>
        </w:tc>
      </w:tr>
      <w:tr>
        <w:trPr>
          <w:trHeight w:val="418"/>
        </w:trPr>
        <w:tc>
          <w:tcPr>
            <w:tcW w:w="1280" w:type="dxa"/>
            <w:vAlign w:val="bottom"/>
          </w:tcPr>
          <w:p>
            <w:pPr>
              <w:ind w:left="52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Rush Enterprises, Inc. 2004 Employee Stock Purchase Plan, as amended (incorporated herein by reference</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to Exhibit 4.1 of the Company’s Registration Statement No. 333-121355 on Form S-8 filed December 17,</w:t>
            </w:r>
          </w:p>
        </w:tc>
      </w:tr>
      <w:tr>
        <w:trPr>
          <w:trHeight w:val="230"/>
        </w:trPr>
        <w:tc>
          <w:tcPr>
            <w:tcW w:w="1280" w:type="dxa"/>
            <w:vAlign w:val="bottom"/>
          </w:tcPr>
          <w:p>
            <w:pPr>
              <w:spacing w:after="0"/>
              <w:rPr>
                <w:sz w:val="20"/>
                <w:szCs w:val="20"/>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2004)</w:t>
            </w:r>
          </w:p>
        </w:tc>
      </w:tr>
      <w:tr>
        <w:trPr>
          <w:trHeight w:val="418"/>
        </w:trPr>
        <w:tc>
          <w:tcPr>
            <w:tcW w:w="1280" w:type="dxa"/>
            <w:vAlign w:val="bottom"/>
          </w:tcPr>
          <w:p>
            <w:pPr>
              <w:ind w:left="4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Rush Enterprises, Inc. Amended and Restated 2006 Non-Employee Director Stock Plan (incorporated</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herein by reference to Appendix A of the Company’s Proxy Statement filed April 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8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Identification of Exhibit</w:t>
            </w:r>
          </w:p>
        </w:tc>
        <w:tc>
          <w:tcPr>
            <w:tcW w:w="17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7"/>
              </w:rPr>
              <w:t>Form of Rush Enterprises, Inc. 2006 Non-Employee Director Stock Option Agreement (incorporated</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herein by reference to Exhibit 4.4 of the Company’s Registration Statement No. 333-138556 on Form S-8</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filed November 9, 2006)</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Rush Enterprises, Inc. 2007 Long-Term Incentive Plan (incorporated herein by reference to Appendix A to</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the Company’s Proxy Statement filed April 17, 2007)</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Form of Rush Enterprises Inc. 2007 Long-Term Incentive Plan Restricted Stock Agreement (incorporated</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herein by reference to Exhibit 10.13 of the Company’s Form 10-K (File No. 000-20797) for the year ended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December 31, 2008)</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Form of Rush Enterprises Inc. 2007 Long-Term Incentive Plan Stock Option Agreement (incorporated</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herein by reference to Exhibit 4.4 of the Company’s Form S-8 (File No. 333-144821) filed July 24, 2007)</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Form of dealer agreement between Peterbilt Motors Company and Rush Truck Centers (incorporated herein</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by reference to Exhibit 10.18 of the Company’s Form 10-K (File No. 000-20797) for the year ended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December 31, 1999)</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Amended Restated Wholesale Security Agreement, dated August 15, 2007, by and among Rush Truck</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Centers of Alabama, Inc., Rush Truck Centers of Arizona, Inc., Rush Truck Centers of California,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Rush Medium Duty Truck Centers of Colorado, Inc., Rush Truck Centers of Colorado, Inc., Rush Truck</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Centers of Florida, Inc., Rush Truck Centers of Georgia, Inc., Rush Truck Centers of New Mexico,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Rush Truck Centers of Oklahoma, Inc., Rush Truck Centers of Tennessee, Inc., and Rush Truck Centers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Texas, L.P., Rush GMC Truck Center of El Paso, Inc., Rush GMC Truck Center of Phoenix, Inc., Rush</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GMC Truck Center of San Diego, Inc., Rush GMC Truck Center of Tucson, Inc. and General Electric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Capital Corporation (incorporated herein by reference to Exhibit 10.1 of the Company’s Current Report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Form 8-K (File No. 000-20797) filed August 20, 2007)</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First Amendment to Amended and Restated Wholesale Security Agreement, dated October 3, 2007, by and</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among Rush Truck Centers of Alabama, Inc., Rush Truck Centers of Arizona, Inc., Rush Truck Centers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California, Inc., Rush Medium Duty Truck Centers of Colorado, Inc., Rush Truck Centers of Colorado,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Inc., Rush Truck Centers of Florida, Inc., Rush Truck Centers of Georgia, Inc., Rush Truck Centers of New</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Mexico, Inc., Rush Truck Centers of Oklahoma, Inc., Rush Truck Centers of Tennessee, Inc., and Rush</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7"/>
              </w:rPr>
              <w:t>Truck Centers of Texas, L.P., Rush GMC Truck Center of El Paso, Inc., Rush GMC Truck Center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Phoenix, Inc., Rush GMC Truck Center of San Diego, Inc., Rush GMC Truck Center of Tucson, Inc. and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General Electric Capital Corporation (incorporated herein by reference to Exhibit 10.2 of the Company’s</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Report on Form 8-K (File No. 000-20797) filed October 3, 2007)</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Form of Indemnity Agreement (incorporated herein by reference to Exhibit 10.1 of the Company’s Current</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Report on Form 8-K (File No. 000-20797) filed February 27, 2007)</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Rush Enterprises, Inc. Executive Transition Plan (incorporated herein by reference to Exhibit 10.1 of the</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Company’s Current Report on Form 8-K (File No. 000-20797) filed July 25, 2008)</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280" w:type="dxa"/>
            <w:vAlign w:val="bottom"/>
          </w:tcPr>
          <w:p>
            <w:pPr>
              <w:ind w:left="52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Subsidiaries of the Company</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Pr>
          <w:p>
            <w:pPr>
              <w:ind w:left="5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1760" w:type="dxa"/>
            <w:vAlign w:val="bottom"/>
          </w:tcPr>
          <w:p>
            <w:pPr>
              <w:spacing w:after="0"/>
              <w:rPr>
                <w:sz w:val="24"/>
                <w:szCs w:val="24"/>
                <w:color w:val="auto"/>
              </w:rPr>
            </w:pPr>
          </w:p>
        </w:tc>
      </w:tr>
      <w:tr>
        <w:trPr>
          <w:trHeight w:val="797"/>
        </w:trPr>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40" w:type="dxa"/>
            <w:vAlign w:val="bottom"/>
            <w:gridSpan w:val="2"/>
          </w:tcPr>
          <w:p>
            <w:pPr>
              <w:jc w:val="right"/>
              <w:ind w:right="4490"/>
              <w:spacing w:after="0"/>
              <w:rPr>
                <w:sz w:val="20"/>
                <w:szCs w:val="20"/>
                <w:color w:val="auto"/>
              </w:rPr>
            </w:pPr>
            <w:r>
              <w:rPr>
                <w:rFonts w:ascii="Arial" w:cs="Arial" w:eastAsia="Arial" w:hAnsi="Arial"/>
                <w:sz w:val="18"/>
                <w:szCs w:val="18"/>
                <w:color w:val="auto"/>
              </w:rPr>
              <w:t>76</w:t>
            </w: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234"/>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280" w:type="dxa"/>
            <w:vAlign w:val="bottom"/>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411"/>
        </w:trPr>
        <w:tc>
          <w:tcPr>
            <w:tcW w:w="1200" w:type="dxa"/>
            <w:vAlign w:val="bottom"/>
          </w:tcPr>
          <w:p>
            <w:pPr>
              <w:ind w:left="44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Certification of President and Chief Executive Officer pursuant to Rules 13a-14(a) and 15d-14(a), as</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200" w:type="dxa"/>
            <w:vAlign w:val="bottom"/>
          </w:tcPr>
          <w:p>
            <w:pPr>
              <w:ind w:left="44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4"/>
              </w:rPr>
              <w:t>Certification of Vice President and Chief Financial Officer pursuant to Rules 13a-14(a) and 15d-14(a), as</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200" w:type="dxa"/>
            <w:vAlign w:val="bottom"/>
          </w:tcPr>
          <w:p>
            <w:pPr>
              <w:ind w:left="44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Act of 2002</w:t>
            </w:r>
          </w:p>
        </w:tc>
      </w:tr>
    </w:tbl>
    <w:p>
      <w:pPr>
        <w:spacing w:after="0" w:line="202" w:lineRule="exact"/>
        <w:rPr>
          <w:sz w:val="20"/>
          <w:szCs w:val="20"/>
          <w:color w:val="auto"/>
        </w:rPr>
      </w:pPr>
    </w:p>
    <w:p>
      <w:pPr>
        <w:ind w:left="1820" w:right="559" w:hanging="1043"/>
        <w:spacing w:after="0" w:line="277" w:lineRule="auto"/>
        <w:tabs>
          <w:tab w:leader="none" w:pos="1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w:t>
      </w:r>
    </w:p>
    <w:p>
      <w:pPr>
        <w:spacing w:after="0" w:line="76" w:lineRule="exact"/>
        <w:rPr>
          <w:sz w:val="20"/>
          <w:szCs w:val="20"/>
          <w:color w:val="auto"/>
        </w:rPr>
      </w:pPr>
    </w:p>
    <w:p>
      <w:pPr>
        <w:ind w:left="680" w:hanging="348"/>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RUSH ENTERPRISES, INC.</w:t>
      </w:r>
    </w:p>
    <w:p>
      <w:pPr>
        <w:spacing w:after="0" w:line="225" w:lineRule="exact"/>
        <w:rPr>
          <w:sz w:val="20"/>
          <w:szCs w:val="20"/>
          <w:color w:val="auto"/>
        </w:rPr>
      </w:pPr>
    </w:p>
    <w:p>
      <w:pPr>
        <w:ind w:left="340"/>
        <w:spacing w:after="0"/>
        <w:tabs>
          <w:tab w:leader="none" w:pos="7600" w:val="left"/>
        </w:tabs>
        <w:rPr>
          <w:sz w:val="20"/>
          <w:szCs w:val="20"/>
          <w:color w:val="auto"/>
        </w:rPr>
      </w:pPr>
      <w:r>
        <w:rPr>
          <w:rFonts w:ascii="Arial" w:cs="Arial" w:eastAsia="Arial" w:hAnsi="Arial"/>
          <w:sz w:val="18"/>
          <w:szCs w:val="18"/>
          <w:color w:val="auto"/>
        </w:rPr>
        <w:t>By: /s/ W. M.“RUSTY” RUSH</w:t>
      </w:r>
      <w:r>
        <w:rPr>
          <w:sz w:val="20"/>
          <w:szCs w:val="20"/>
          <w:color w:val="auto"/>
        </w:rPr>
        <w:tab/>
      </w:r>
      <w:r>
        <w:rPr>
          <w:rFonts w:ascii="Arial" w:cs="Arial" w:eastAsia="Arial" w:hAnsi="Arial"/>
          <w:sz w:val="16"/>
          <w:szCs w:val="16"/>
          <w:color w:val="auto"/>
        </w:rPr>
        <w:t>Date: March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2040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 M. “Rusty” Rush</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480" w:type="dxa"/>
            <w:vAlign w:val="bottom"/>
          </w:tcPr>
          <w:p>
            <w:pPr>
              <w:spacing w:after="0"/>
              <w:rPr>
                <w:sz w:val="20"/>
                <w:szCs w:val="20"/>
                <w:color w:val="auto"/>
              </w:rPr>
            </w:pPr>
          </w:p>
        </w:tc>
        <w:tc>
          <w:tcPr>
            <w:tcW w:w="32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Capacity</w:t>
            </w:r>
          </w:p>
        </w:tc>
        <w:tc>
          <w:tcPr>
            <w:tcW w:w="460" w:type="dxa"/>
            <w:vAlign w:val="bottom"/>
          </w:tcPr>
          <w:p>
            <w:pPr>
              <w:spacing w:after="0"/>
              <w:rPr>
                <w:sz w:val="20"/>
                <w:szCs w:val="20"/>
                <w:color w:val="auto"/>
              </w:rPr>
            </w:pPr>
          </w:p>
        </w:tc>
        <w:tc>
          <w:tcPr>
            <w:tcW w:w="18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Date</w:t>
            </w:r>
          </w:p>
        </w:tc>
      </w:tr>
      <w:tr>
        <w:trPr>
          <w:trHeight w:val="426"/>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MARVIN RUSH</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Chairman of the Board and 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W. Marvin Rush</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 “RUSTY” RUSH</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W. M. “Rusty” Rush</w:t>
            </w:r>
          </w:p>
        </w:tc>
        <w:tc>
          <w:tcPr>
            <w:tcW w:w="4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Vice President and</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09"/>
        </w:trPr>
        <w:tc>
          <w:tcPr>
            <w:tcW w:w="3260" w:type="dxa"/>
            <w:vAlign w:val="bottom"/>
          </w:tcPr>
          <w:p>
            <w:pPr>
              <w:spacing w:after="0"/>
              <w:rPr>
                <w:sz w:val="20"/>
                <w:szCs w:val="20"/>
                <w:color w:val="auto"/>
              </w:rPr>
            </w:pPr>
            <w:r>
              <w:rPr>
                <w:rFonts w:ascii="Arial" w:cs="Arial" w:eastAsia="Arial" w:hAnsi="Arial"/>
                <w:sz w:val="18"/>
                <w:szCs w:val="18"/>
                <w:color w:val="auto"/>
              </w:rPr>
              <w:t>Steven L. Keller</w:t>
            </w:r>
          </w:p>
        </w:tc>
        <w:tc>
          <w:tcPr>
            <w:tcW w:w="4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3"/>
              </w:rPr>
              <w:t>(Principal Financial and Accounting Officer)</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AKIN</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Thomas A. Akin</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KRAUSE</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Ronald J. Krause</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D. MARSHALL</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Harold D. Marshall</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UNDERWOOD</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James C. Underwood</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R. SZCZEPANSKI</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March 12, 2010</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Gerald R. Szczepanski</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796"/>
        </w:trPr>
        <w:tc>
          <w:tcPr>
            <w:tcW w:w="3260" w:type="dxa"/>
            <w:vAlign w:val="bottom"/>
          </w:tcPr>
          <w:p>
            <w:pPr>
              <w:spacing w:after="0"/>
              <w:rPr>
                <w:sz w:val="24"/>
                <w:szCs w:val="24"/>
                <w:color w:val="auto"/>
              </w:rPr>
            </w:pPr>
          </w:p>
        </w:tc>
        <w:tc>
          <w:tcPr>
            <w:tcW w:w="3740" w:type="dxa"/>
            <w:vAlign w:val="bottom"/>
            <w:gridSpan w:val="2"/>
          </w:tcPr>
          <w:p>
            <w:pPr>
              <w:jc w:val="right"/>
              <w:ind w:right="217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2"/>
          </w:tcPr>
          <w:p>
            <w:pPr>
              <w:ind w:left="2740"/>
              <w:spacing w:after="0"/>
              <w:rPr>
                <w:sz w:val="20"/>
                <w:szCs w:val="20"/>
                <w:color w:val="auto"/>
              </w:rPr>
            </w:pPr>
            <w:r>
              <w:rPr>
                <w:rFonts w:ascii="Arial" w:cs="Arial" w:eastAsia="Arial" w:hAnsi="Arial"/>
                <w:sz w:val="18"/>
                <w:szCs w:val="18"/>
                <w:color w:val="auto"/>
                <w:w w:val="98"/>
              </w:rPr>
              <w:t>EXHIBIT 21.1</w:t>
            </w:r>
          </w:p>
        </w:tc>
      </w:tr>
      <w:tr>
        <w:trPr>
          <w:trHeight w:val="392"/>
        </w:trPr>
        <w:tc>
          <w:tcPr>
            <w:tcW w:w="9340" w:type="dxa"/>
            <w:vAlign w:val="bottom"/>
            <w:gridSpan w:val="6"/>
          </w:tcPr>
          <w:p>
            <w:pPr>
              <w:jc w:val="center"/>
              <w:ind w:right="20"/>
              <w:spacing w:after="0"/>
              <w:rPr>
                <w:sz w:val="20"/>
                <w:szCs w:val="20"/>
                <w:color w:val="auto"/>
              </w:rPr>
            </w:pPr>
            <w:r>
              <w:rPr>
                <w:rFonts w:ascii="Arial" w:cs="Arial" w:eastAsia="Arial" w:hAnsi="Arial"/>
                <w:sz w:val="18"/>
                <w:szCs w:val="18"/>
                <w:color w:val="auto"/>
                <w:w w:val="95"/>
              </w:rPr>
              <w:t>SUBSIDIARIES OF THE COMPANY</w:t>
            </w:r>
          </w:p>
        </w:tc>
      </w:tr>
      <w:tr>
        <w:trPr>
          <w:trHeight w:val="418"/>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State of</w:t>
            </w:r>
          </w:p>
        </w:tc>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18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w w:val="95"/>
              </w:rPr>
              <w:t>Names Under Which Subsidiary Does Business</w:t>
            </w:r>
          </w:p>
        </w:tc>
      </w:tr>
      <w:tr>
        <w:trPr>
          <w:trHeight w:val="195"/>
        </w:trPr>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Rush Truck Centers of Alabama, Inc.</w:t>
            </w:r>
          </w:p>
        </w:tc>
        <w:tc>
          <w:tcPr>
            <w:tcW w:w="200" w:type="dxa"/>
            <w:vAlign w:val="bottom"/>
          </w:tcPr>
          <w:p>
            <w:pPr>
              <w:spacing w:after="0"/>
              <w:rPr>
                <w:sz w:val="16"/>
                <w:szCs w:val="16"/>
                <w:color w:val="auto"/>
              </w:rPr>
            </w:pPr>
          </w:p>
        </w:tc>
        <w:tc>
          <w:tcPr>
            <w:tcW w:w="1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Rush Truck Center, Mobile</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Mobile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Arizona,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Phoenix</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Phoenix</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Chandler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Chandler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Flagstaff</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Flagstaff</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Tucson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Tucson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Yuma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Yuma</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California,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Complete Rush Truck Centers</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Isuzu Trucks, Fontana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Medium Duty Truck Center, Fontana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Pico Rivera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Pico Rivera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Fontana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3"/>
              </w:rPr>
              <w:t>Rush Peterbilt Medium Duty Truck Center, Fontana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Fontana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Sylmar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Sylmar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Escondido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Escondido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El Centro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El Centro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San Diego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San Diego</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3"/>
              </w:rPr>
              <w:t>Rush Medium Duty Truck Centers of Colorado,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Medium Duty Truck Center, Denver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Medium Duty Ford Trucks, Denver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Isuzu Trucks, Denver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Colorado,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Centers, Inc.</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Denver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Denver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Greeley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Greeley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Pueblo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Pueblo</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Isuzu Trucks, Orlando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Isuzu Trucks, Winter Garden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Orlando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Winter Garden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Winter Garden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Truck Center, Tampa</w:t>
            </w:r>
          </w:p>
        </w:tc>
      </w:tr>
      <w:tr>
        <w:trPr>
          <w:trHeight w:val="230"/>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Rush Peterbilt Truck Center, Tampa</w:t>
            </w:r>
          </w:p>
        </w:tc>
      </w:tr>
    </w:tbl>
    <w:p>
      <w:pPr>
        <w:ind w:left="5500"/>
        <w:spacing w:after="0"/>
        <w:rPr>
          <w:sz w:val="20"/>
          <w:szCs w:val="20"/>
          <w:color w:val="auto"/>
        </w:rPr>
      </w:pPr>
      <w:r>
        <w:rPr>
          <w:rFonts w:ascii="Arial" w:cs="Arial" w:eastAsia="Arial" w:hAnsi="Arial"/>
          <w:sz w:val="18"/>
          <w:szCs w:val="18"/>
          <w:color w:val="auto"/>
        </w:rPr>
        <w:t>Rush Truck Center, Jacksonville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Rush Peterbilt Truck Center, Jacksonville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State of</w:t>
            </w:r>
          </w:p>
        </w:tc>
        <w:tc>
          <w:tcPr>
            <w:tcW w:w="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0"/>
                <w:szCs w:val="20"/>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Incorporation</w:t>
            </w:r>
          </w:p>
        </w:tc>
        <w:tc>
          <w:tcPr>
            <w:tcW w:w="160" w:type="dxa"/>
            <w:vAlign w:val="bottom"/>
          </w:tcPr>
          <w:p>
            <w:pPr>
              <w:spacing w:after="0"/>
              <w:rPr>
                <w:sz w:val="20"/>
                <w:szCs w:val="20"/>
                <w:color w:val="auto"/>
              </w:rPr>
            </w:pPr>
          </w:p>
        </w:tc>
        <w:tc>
          <w:tcPr>
            <w:tcW w:w="3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5"/>
              </w:rPr>
              <w:t>Names Under Which Subsidiary Does Business</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Rush Truck Centers of Georgia, Inc.</w:t>
            </w:r>
          </w:p>
        </w:tc>
        <w:tc>
          <w:tcPr>
            <w:tcW w:w="180" w:type="dxa"/>
            <w:vAlign w:val="bottom"/>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Rush Medium Duty Truck Center, Atlanta</w:t>
            </w: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Isuzu Trucks, Atlanta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Rush Truck Centers of New Mexico, Inc.</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Albuquerque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Albuquerque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Las Cruces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Las Cruces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Rush Truck Centers of North Carolina, Inc.</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Collision Center,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International Truck Center,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Isuzu Trucks,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Body Shop, Charlotte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Rush Truck Centers of Oklahoma, Inc.</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Ardmore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Oklahoma City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Tulsa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Ardmore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Oklahoma City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Tulsa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Volvo Truck Center, Oklahoma City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Volvo Truck Center, Tulsa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Used Truck Center, Tulsa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Rigging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Perfection Equipment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Perfection Truck Parts &amp; Equipment, Oklahoma City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Perfection Truck Parts &amp; Equipment, Tulsa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Translease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Oklahoma Trucks,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Tulsa Trucks,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Rush Truck Centers of Tennessee, Inc.</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Truck Center, Nashville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Nashville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Rush Truck Centers of Texas, L.P.</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Texas</w:t>
            </w: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Houston Peterbilt,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Laredo Peterbilt,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Lufkin Peterbilt,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Alice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Austin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Dallas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Dallas, Number 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Fort Worth</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Houston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Laredo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Lufkin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Pharr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San Antonio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San Antonio, Number 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Sealy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Texarkana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Tyler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Bus Center, Waco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GMC Truck Center of El Paso,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Isuzu Trucks, Austin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Isuzu Trucks, Texarkana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Isuzu Trucks, Waco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Medium Duty Truck Center, Dallas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Medium Duty Truck Center, Waco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Abilene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Alice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Rush Peterbilt Truck Center, Austin</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State of</w:t>
            </w:r>
          </w:p>
        </w:tc>
        <w:tc>
          <w:tcPr>
            <w:tcW w:w="18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Incorporation</w:t>
            </w:r>
          </w:p>
        </w:tc>
        <w:tc>
          <w:tcPr>
            <w:tcW w:w="180" w:type="dxa"/>
            <w:vAlign w:val="bottom"/>
          </w:tcPr>
          <w:p>
            <w:pPr>
              <w:spacing w:after="0"/>
              <w:rPr>
                <w:sz w:val="20"/>
                <w:szCs w:val="20"/>
                <w:color w:val="auto"/>
              </w:rPr>
            </w:pPr>
          </w:p>
        </w:tc>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Names Under Which Subsidiary Does Business</w:t>
            </w:r>
          </w:p>
        </w:tc>
      </w:tr>
      <w:tr>
        <w:trPr>
          <w:trHeight w:val="195"/>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Rush Peterbilt Truck Center, Dallas</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El Paso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Fort Worth</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Houston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Laredo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Lufkin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Pharr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San Antonio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Sealy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Texarkana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Tyler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Peterbilt Truck Center, Waco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Abilene</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Alice</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Austin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Dallas</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El Paso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Fort Worth</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Houston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Laredo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Lufkin</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Pharr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San Antonio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Sealy</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Texarkana</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Tyler</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Truck Center, Waco</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Crane and Refuse Systems International</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San Antonio Peterbilt, Inc.</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San Antonio Peterbilt-GMC Truck, Inc.</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World Wide Tires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Rig Tough,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 of Albuquerque,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New Mexico</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GMC Truck Center of El Paso,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GMC Truck Center of Phoenix,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GMC Truck Center of San Diego,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GMC Truck Center of Tucson,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Chrome Country, Inc.</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Leasing,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Crane Systems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Equipment Centers of Texas,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Rush Equipment Center, Houston</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Rushtex,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Rushco,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Administrative Services,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International General Agency</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Los Cuernos,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 Cuernos Ranch</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AiRush,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Associated Acceptance,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Associated Insurance Services</w:t>
            </w: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Advance Premium Finance,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California</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Adams International Trucks, Inc.</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Carolina Truck Parts, LLC</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9879"/>
          </w:cols>
          <w:pgMar w:left="580" w:top="1152" w:right="1440" w:bottom="1440" w:gutter="0" w:footer="0" w:header="0"/>
        </w:sectPr>
      </w:pPr>
    </w:p>
    <w:bookmarkStart w:id="85" w:name="page86"/>
    <w:bookmarkEnd w:id="85"/>
    <w:p>
      <w:pPr>
        <w:jc w:val="right"/>
        <w:ind w:right="559"/>
        <w:spacing w:after="0"/>
        <w:rPr>
          <w:sz w:val="20"/>
          <w:szCs w:val="20"/>
          <w:color w:val="auto"/>
        </w:rPr>
      </w:pPr>
      <w:r>
        <w:rPr>
          <w:rFonts w:ascii="Arial" w:cs="Arial" w:eastAsia="Arial" w:hAnsi="Arial"/>
          <w:sz w:val="18"/>
          <w:szCs w:val="18"/>
          <w:color w:val="auto"/>
        </w:rPr>
        <w:t>EXHIBIT 23.1</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ind w:left="8" w:right="559"/>
        <w:spacing w:after="0" w:line="286" w:lineRule="auto"/>
        <w:rPr>
          <w:sz w:val="20"/>
          <w:szCs w:val="20"/>
          <w:color w:val="auto"/>
        </w:rPr>
      </w:pPr>
      <w:r>
        <w:rPr>
          <w:rFonts w:ascii="Arial" w:cs="Arial" w:eastAsia="Arial" w:hAnsi="Arial"/>
          <w:sz w:val="17"/>
          <w:szCs w:val="17"/>
          <w:color w:val="auto"/>
        </w:rPr>
        <w:t>We consent to the incorporation by reference of our reports dated March 12, 2010, with respect to the consolidated financial statements of Rush Enterprises, Inc. and the effectiveness of Rush Enterprises, Inc.’s internal control over financial reporting, included in the this Annual Report (Form 10-K) of Rush Enterprises, Inc. for the year ended December 31, 2009.</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348" w:hanging="348"/>
        <w:spacing w:after="0"/>
        <w:tabs>
          <w:tab w:leader="none" w:pos="3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Registration Statement (Form S-8 No. 333-144821) pertaining to the Rush Enterprises, Inc. 2007 Long-Term Incentive Plan;</w:t>
      </w:r>
    </w:p>
    <w:p>
      <w:pPr>
        <w:spacing w:after="0" w:line="221" w:lineRule="exact"/>
        <w:rPr>
          <w:rFonts w:ascii="Arial" w:cs="Arial" w:eastAsia="Arial" w:hAnsi="Arial"/>
          <w:sz w:val="16"/>
          <w:szCs w:val="16"/>
          <w:color w:val="auto"/>
        </w:rPr>
      </w:pPr>
    </w:p>
    <w:p>
      <w:pPr>
        <w:ind w:left="348" w:right="559" w:hanging="348"/>
        <w:spacing w:after="0" w:line="277"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333-138557) pertaining to the Rush Enterprises, Inc. Amended and Restated 1997 Non-Employee Director Stock Option Plan;</w:t>
      </w:r>
    </w:p>
    <w:p>
      <w:pPr>
        <w:spacing w:after="0" w:line="129"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333-138556) pertaining to the Rush Enterprises, Inc. 2006 Non-Employee Director Stock Option Plan;</w:t>
      </w:r>
    </w:p>
    <w:p>
      <w:pPr>
        <w:spacing w:after="0" w:line="129"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333-121355) pertaining to the Rush Enterprises, Inc. Long-Term Incentive Plan, the Rush Enterprises, Inc. 2004 Employee Stock Purchase Plan and Certain Non-Plan Options;</w:t>
      </w:r>
    </w:p>
    <w:p>
      <w:pPr>
        <w:spacing w:after="0" w:line="143" w:lineRule="exact"/>
        <w:rPr>
          <w:rFonts w:ascii="Arial" w:cs="Arial" w:eastAsia="Arial" w:hAnsi="Arial"/>
          <w:sz w:val="18"/>
          <w:szCs w:val="18"/>
          <w:color w:val="auto"/>
        </w:rPr>
      </w:pPr>
    </w:p>
    <w:p>
      <w:pPr>
        <w:ind w:left="348" w:right="559" w:hanging="348"/>
        <w:spacing w:after="0" w:line="308" w:lineRule="auto"/>
        <w:tabs>
          <w:tab w:leader="none" w:pos="3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Registration Statement (Form S-8 No. 333-117305) pertaining to the Rush Enterprises, Inc. Amended and Restated 1997 Non-Employee Director Stock Option Plan and the Rush Enterprises, Inc. Long-Term Incentive Plan;</w:t>
      </w:r>
    </w:p>
    <w:p>
      <w:pPr>
        <w:spacing w:after="0" w:line="106"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333-70451) pertaining to the Rush Enterprises, Inc. 1997 Non-Employee Director Stock Option Plan; and</w:t>
      </w:r>
    </w:p>
    <w:p>
      <w:pPr>
        <w:spacing w:after="0" w:line="129" w:lineRule="exact"/>
        <w:rPr>
          <w:rFonts w:ascii="Arial" w:cs="Arial" w:eastAsia="Arial" w:hAnsi="Arial"/>
          <w:sz w:val="18"/>
          <w:szCs w:val="18"/>
          <w:color w:val="auto"/>
        </w:rPr>
      </w:pPr>
    </w:p>
    <w:p>
      <w:pPr>
        <w:ind w:left="348" w:hanging="348"/>
        <w:spacing w:after="0"/>
        <w:tabs>
          <w:tab w:leader="none" w:pos="3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Registration Statement (Form S-8 No. 333-07043) pertaining to the Rush Enterprises, Inc. Long-Term Incentive Plan.</w:t>
      </w:r>
    </w:p>
    <w:p>
      <w:pPr>
        <w:spacing w:after="0" w:line="210"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of our reports dated March 12, 2010, with respect to the consolidated financial statements of Rush Enterprises, Inc. and the effectiveness of Rush Enterprises, Inc.’s internal control over financial reporting, included in this Annual Report (Form 10-K) of Rush Enterprises, Inc. for the year ended December 31, 2009.</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March 12, 2010</w:t>
      </w:r>
    </w:p>
    <w:p>
      <w:pPr>
        <w:sectPr>
          <w:pgSz w:w="11900" w:h="16838" w:orient="portrait"/>
          <w:cols w:equalWidth="0" w:num="1">
            <w:col w:w="9887"/>
          </w:cols>
          <w:pgMar w:left="572" w:top="125" w:right="1440" w:bottom="1440" w:gutter="0" w:footer="0" w:header="0"/>
        </w:sectPr>
      </w:pPr>
    </w:p>
    <w:bookmarkStart w:id="86" w:name="page87"/>
    <w:bookmarkEnd w:id="86"/>
    <w:p>
      <w:pPr>
        <w:ind w:left="8248"/>
        <w:spacing w:after="0"/>
        <w:rPr>
          <w:sz w:val="20"/>
          <w:szCs w:val="20"/>
          <w:color w:val="auto"/>
        </w:rPr>
      </w:pPr>
      <w:r>
        <w:rPr>
          <w:rFonts w:ascii="Arial" w:cs="Arial" w:eastAsia="Arial" w:hAnsi="Arial"/>
          <w:sz w:val="17"/>
          <w:szCs w:val="17"/>
          <w:color w:val="auto"/>
        </w:rPr>
        <w:t>EXHIBIT 31.1</w:t>
      </w:r>
    </w:p>
    <w:p>
      <w:pPr>
        <w:spacing w:after="0" w:line="192"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 M. “Rusty” Rush, certify that:</w:t>
      </w:r>
    </w:p>
    <w:p>
      <w:pPr>
        <w:spacing w:after="0" w:line="185" w:lineRule="exact"/>
        <w:rPr>
          <w:sz w:val="20"/>
          <w:szCs w:val="20"/>
          <w:color w:val="auto"/>
        </w:rPr>
      </w:pPr>
    </w:p>
    <w:p>
      <w:pPr>
        <w:ind w:left="188" w:hanging="188"/>
        <w:spacing w:after="0"/>
        <w:tabs>
          <w:tab w:leader="none" w:pos="1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559" w:firstLine="365"/>
        <w:spacing w:after="0" w:line="312" w:lineRule="auto"/>
        <w:tabs>
          <w:tab w:leader="none" w:pos="594"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8" w:right="559" w:firstLine="365"/>
        <w:spacing w:after="0" w:line="286" w:lineRule="auto"/>
        <w:tabs>
          <w:tab w:leader="none" w:pos="6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559" w:firstLine="365"/>
        <w:spacing w:after="0" w:line="286" w:lineRule="auto"/>
        <w:tabs>
          <w:tab w:leader="none" w:pos="593"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8" w:right="559" w:hanging="8"/>
        <w:spacing w:after="0" w:line="264" w:lineRule="auto"/>
        <w:tabs>
          <w:tab w:leader="none" w:pos="2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5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March 12, 2010</w:t>
            </w: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By: /s/ W. M. “RUSTY” RUSH</w:t>
            </w:r>
          </w:p>
        </w:tc>
      </w:tr>
      <w:tr>
        <w:trPr>
          <w:trHeight w:val="195"/>
        </w:trPr>
        <w:tc>
          <w:tcPr>
            <w:tcW w:w="2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 “Rusty” Rush</w:t>
            </w:r>
          </w:p>
        </w:tc>
      </w:tr>
      <w:tr>
        <w:trPr>
          <w:trHeight w:val="216"/>
        </w:trPr>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87" w:name="page88"/>
    <w:bookmarkEnd w:id="87"/>
    <w:p>
      <w:pPr>
        <w:ind w:left="8248"/>
        <w:spacing w:after="0"/>
        <w:rPr>
          <w:sz w:val="20"/>
          <w:szCs w:val="20"/>
          <w:color w:val="auto"/>
        </w:rPr>
      </w:pPr>
      <w:r>
        <w:rPr>
          <w:rFonts w:ascii="Arial" w:cs="Arial" w:eastAsia="Arial" w:hAnsi="Arial"/>
          <w:sz w:val="17"/>
          <w:szCs w:val="17"/>
          <w:color w:val="auto"/>
        </w:rPr>
        <w:t>EXHIBIT 31.2</w:t>
      </w:r>
    </w:p>
    <w:p>
      <w:pPr>
        <w:spacing w:after="0" w:line="192"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559" w:firstLine="365"/>
        <w:spacing w:after="0" w:line="312" w:lineRule="auto"/>
        <w:tabs>
          <w:tab w:leader="none" w:pos="594"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8" w:right="559" w:firstLine="365"/>
        <w:spacing w:after="0" w:line="286" w:lineRule="auto"/>
        <w:tabs>
          <w:tab w:leader="none" w:pos="6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559" w:firstLine="365"/>
        <w:spacing w:after="0" w:line="286" w:lineRule="auto"/>
        <w:tabs>
          <w:tab w:leader="none" w:pos="593"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8" w:right="559" w:hanging="8"/>
        <w:spacing w:after="0" w:line="264" w:lineRule="auto"/>
        <w:tabs>
          <w:tab w:leader="none" w:pos="2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5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Date: March 12, 2010</w:t>
            </w:r>
          </w:p>
        </w:tc>
        <w:tc>
          <w:tcPr>
            <w:tcW w:w="5060" w:type="dxa"/>
            <w:vAlign w:val="bottom"/>
            <w:gridSpan w:val="2"/>
          </w:tcPr>
          <w:p>
            <w:pPr>
              <w:ind w:left="1360"/>
              <w:spacing w:after="0"/>
              <w:rPr>
                <w:sz w:val="20"/>
                <w:szCs w:val="20"/>
                <w:color w:val="auto"/>
              </w:rPr>
            </w:pPr>
            <w:r>
              <w:rPr>
                <w:rFonts w:ascii="Arial" w:cs="Arial" w:eastAsia="Arial" w:hAnsi="Arial"/>
                <w:sz w:val="18"/>
                <w:szCs w:val="18"/>
                <w:color w:val="auto"/>
              </w:rPr>
              <w:t>By: /s/ STEVEN L. KELLER</w:t>
            </w:r>
          </w:p>
        </w:tc>
      </w:tr>
      <w:tr>
        <w:trPr>
          <w:trHeight w:val="195"/>
        </w:trPr>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Vice President and Chief Financial Officer</w:t>
            </w:r>
          </w:p>
        </w:tc>
      </w:tr>
      <w:tr>
        <w:trPr>
          <w:trHeight w:val="230"/>
        </w:trPr>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6"/>
              </w:rPr>
              <w:t>(Principal Financial and Accounting Officer)</w:t>
            </w:r>
          </w:p>
        </w:tc>
      </w:tr>
    </w:tbl>
    <w:p>
      <w:pPr>
        <w:sectPr>
          <w:pgSz w:w="11900" w:h="16838" w:orient="portrait"/>
          <w:cols w:equalWidth="0" w:num="1">
            <w:col w:w="9887"/>
          </w:cols>
          <w:pgMar w:left="572" w:top="125" w:right="1440" w:bottom="1440" w:gutter="0" w:footer="0" w:header="0"/>
        </w:sectPr>
      </w:pPr>
    </w:p>
    <w:bookmarkStart w:id="88" w:name="page89"/>
    <w:bookmarkEnd w:id="88"/>
    <w:p>
      <w:pPr>
        <w:jc w:val="right"/>
        <w:ind w:right="559"/>
        <w:spacing w:after="0"/>
        <w:rPr>
          <w:sz w:val="20"/>
          <w:szCs w:val="20"/>
          <w:color w:val="auto"/>
        </w:rPr>
      </w:pPr>
      <w:r>
        <w:rPr>
          <w:rFonts w:ascii="Arial" w:cs="Arial" w:eastAsia="Arial" w:hAnsi="Arial"/>
          <w:sz w:val="18"/>
          <w:szCs w:val="18"/>
          <w:color w:val="auto"/>
        </w:rPr>
        <w:t>EXHIBIT 32.1</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In connection with this annual report of Rush Enterprises, Inc. (the “Company”) on Form 10-K for the year ended December 31, 2009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540" w:hanging="175"/>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360" w:right="559" w:firstLine="5"/>
        <w:spacing w:after="0" w:line="277"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W. M. “RUSTY” RUSH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-130810</wp:posOffset>
            </wp:positionV>
            <wp:extent cx="2298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Date:</w:t>
        <w:tab/>
        <w:t>March 12, 2010</w:t>
      </w:r>
    </w:p>
    <w:p>
      <w:pPr>
        <w:sectPr>
          <w:pgSz w:w="11900" w:h="16838" w:orient="portrait"/>
          <w:cols w:equalWidth="0" w:num="1">
            <w:col w:w="9879"/>
          </w:cols>
          <w:pgMar w:left="580" w:top="125" w:right="1440" w:bottom="1440" w:gutter="0" w:footer="0" w:header="0"/>
        </w:sectPr>
      </w:pPr>
    </w:p>
    <w:bookmarkStart w:id="89" w:name="page90"/>
    <w:bookmarkEnd w:id="89"/>
    <w:p>
      <w:pPr>
        <w:jc w:val="right"/>
        <w:ind w:right="559"/>
        <w:spacing w:after="0"/>
        <w:rPr>
          <w:sz w:val="20"/>
          <w:szCs w:val="20"/>
          <w:color w:val="auto"/>
        </w:rPr>
      </w:pPr>
      <w:r>
        <w:rPr>
          <w:rFonts w:ascii="Arial" w:cs="Arial" w:eastAsia="Arial" w:hAnsi="Arial"/>
          <w:sz w:val="18"/>
          <w:szCs w:val="18"/>
          <w:color w:val="auto"/>
        </w:rPr>
        <w:t>EXHIBIT 32.2</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In connection with this annual report of Rush Enterprises, Inc. (the “Company”) on Form 10-K for the year ended December 31, 2009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540" w:hanging="175"/>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360" w:right="559" w:firstLine="5"/>
        <w:spacing w:after="0" w:line="277"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24269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9"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Date:</w:t>
        <w:tab/>
        <w:t>March 12, 2010</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6"/>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decimal"/>
      <w:start w:val="9"/>
    </w:lvl>
  </w:abstractNum>
  <w:abstractNum w:abstractNumId="15">
    <w:nsid w:val="B03E0C6"/>
    <w:multiLevelType w:val="hybridMultilevel"/>
    <w:lvl w:ilvl="0">
      <w:lvlJc w:val="left"/>
      <w:lvlText w:val="%1."/>
      <w:numFmt w:val="decimal"/>
      <w:start w:val="10"/>
    </w:lvl>
  </w:abstractNum>
  <w:abstractNum w:abstractNumId="16">
    <w:nsid w:val="189A769B"/>
    <w:multiLevelType w:val="hybridMultilevel"/>
    <w:lvl w:ilvl="0">
      <w:lvlJc w:val="left"/>
      <w:lvlText w:val="%1."/>
      <w:numFmt w:val="decimal"/>
      <w:start w:val="11"/>
    </w:lvl>
  </w:abstractNum>
  <w:abstractNum w:abstractNumId="17">
    <w:nsid w:val="54E49EB4"/>
    <w:multiLevelType w:val="hybridMultilevel"/>
    <w:lvl w:ilvl="0">
      <w:lvlJc w:val="left"/>
      <w:lvlText w:val="%1."/>
      <w:numFmt w:val="decimal"/>
      <w:start w:val="12"/>
    </w:lvl>
  </w:abstractNum>
  <w:abstractNum w:abstractNumId="18">
    <w:nsid w:val="71F32454"/>
    <w:multiLevelType w:val="hybridMultilevel"/>
    <w:lvl w:ilvl="0">
      <w:lvlJc w:val="left"/>
      <w:lvlText w:val="%1."/>
      <w:numFmt w:val="decimal"/>
      <w:start w:val="13"/>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1."/>
      <w:numFmt w:val="decimal"/>
      <w:start w:val="15"/>
    </w:lvl>
  </w:abstractNum>
  <w:abstractNum w:abstractNumId="21">
    <w:nsid w:val="2901D82"/>
    <w:multiLevelType w:val="hybridMultilevel"/>
    <w:lvl w:ilvl="0">
      <w:lvlJc w:val="left"/>
      <w:lvlText w:val="%1."/>
      <w:numFmt w:val="decimal"/>
      <w:start w:val="16"/>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7"/>
    </w:lvl>
  </w:abstractNum>
  <w:abstractNum w:abstractNumId="24">
    <w:nsid w:val="1E7FF521"/>
    <w:multiLevelType w:val="hybridMultilevel"/>
    <w:lvl w:ilvl="0">
      <w:lvlJc w:val="left"/>
      <w:lvlText w:val="%1."/>
      <w:numFmt w:val="decimal"/>
      <w:start w:val="18"/>
    </w:lvl>
  </w:abstractNum>
  <w:abstractNum w:abstractNumId="25">
    <w:nsid w:val="7C3DBD3D"/>
    <w:multiLevelType w:val="hybridMultilevel"/>
    <w:lvl w:ilvl="0">
      <w:lvlJc w:val="left"/>
      <w:lvlText w:val="%1."/>
      <w:numFmt w:val="decimal"/>
      <w:start w:val="19"/>
    </w:lvl>
  </w:abstractNum>
  <w:abstractNum w:abstractNumId="26">
    <w:nsid w:val="737B8DDC"/>
    <w:multiLevelType w:val="hybridMultilevel"/>
    <w:lvl w:ilvl="0">
      <w:lvlJc w:val="left"/>
      <w:lvlText w:val="%1."/>
      <w:numFmt w:val="decimal"/>
      <w:start w:val="20"/>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2019-12-10T14:03:49Z</dcterms:created>
  <dcterms:modified xsi:type="dcterms:W3CDTF">2019-12-10T14:03:49Z</dcterms:modified>
</cp:coreProperties>
</file>