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0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0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1500" w:right="1540" w:hanging="918"/>
        <w:spacing w:after="0" w:line="237"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1560"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Commission File Number 0-20797</w:t>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59" w:gutter="0" w:footer="0" w:header="0"/>
        </w:sectPr>
      </w:pP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380"/>
        <w:spacing w:after="0"/>
        <w:rPr>
          <w:sz w:val="20"/>
          <w:szCs w:val="20"/>
          <w:color w:val="auto"/>
        </w:rPr>
      </w:pPr>
      <w:r>
        <w:rPr>
          <w:rFonts w:ascii="Arial" w:cs="Arial" w:eastAsia="Arial" w:hAnsi="Arial"/>
          <w:sz w:val="18"/>
          <w:szCs w:val="18"/>
          <w:color w:val="auto"/>
        </w:rPr>
        <w:t>74-1733016</w:t>
      </w:r>
    </w:p>
    <w:p>
      <w:pPr>
        <w:spacing w:after="0" w:line="23" w:lineRule="exact"/>
        <w:rPr>
          <w:sz w:val="20"/>
          <w:szCs w:val="20"/>
          <w:color w:val="auto"/>
        </w:rPr>
      </w:pPr>
    </w:p>
    <w:p>
      <w:pPr>
        <w:jc w:val="center"/>
        <w:ind w:right="2380"/>
        <w:spacing w:after="0"/>
        <w:rPr>
          <w:sz w:val="20"/>
          <w:szCs w:val="20"/>
          <w:color w:val="auto"/>
        </w:rPr>
      </w:pPr>
      <w:r>
        <w:rPr>
          <w:rFonts w:ascii="Arial" w:cs="Arial" w:eastAsia="Arial" w:hAnsi="Arial"/>
          <w:sz w:val="16"/>
          <w:szCs w:val="16"/>
          <w:color w:val="auto"/>
        </w:rPr>
        <w:t>(I.R.S. Employer Identification No.)</w:t>
      </w:r>
    </w:p>
    <w:p>
      <w:pPr>
        <w:spacing w:after="0" w:line="409" w:lineRule="exact"/>
        <w:rPr>
          <w:sz w:val="20"/>
          <w:szCs w:val="20"/>
          <w:color w:val="auto"/>
        </w:rPr>
      </w:pPr>
    </w:p>
    <w:p>
      <w:pPr>
        <w:sectPr>
          <w:pgSz w:w="11900" w:h="16838" w:orient="portrait"/>
          <w:cols w:equalWidth="0" w:num="2">
            <w:col w:w="5720" w:space="720"/>
            <w:col w:w="4980"/>
          </w:cols>
          <w:pgMar w:left="240" w:top="122" w:right="239" w:bottom="59" w:gutter="0" w:footer="0" w:header="0"/>
          <w:type w:val="continuous"/>
        </w:sectPr>
      </w:pPr>
    </w:p>
    <w:p>
      <w:pPr>
        <w:jc w:val="center"/>
        <w:ind w:right="102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(Zip Code)</w:t>
      </w:r>
    </w:p>
    <w:p>
      <w:pPr>
        <w:spacing w:after="0" w:line="1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(830) 626-5200</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0"/>
          <w:szCs w:val="20"/>
          <w:color w:val="auto"/>
        </w:rPr>
      </w:pPr>
    </w:p>
    <w:p>
      <w:pPr>
        <w:jc w:val="center"/>
        <w:ind w:right="1040"/>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jc w:val="both"/>
        <w:ind w:left="340" w:right="1360" w:firstLine="389"/>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6" w:lineRule="exact"/>
        <w:rPr>
          <w:sz w:val="20"/>
          <w:szCs w:val="20"/>
          <w:color w:val="auto"/>
        </w:rPr>
      </w:pPr>
    </w:p>
    <w:p>
      <w:pPr>
        <w:jc w:val="center"/>
        <w:ind w:right="1040"/>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59" w:gutter="0" w:footer="0" w:header="0"/>
          <w:type w:val="continuous"/>
        </w:sectPr>
      </w:pPr>
    </w:p>
    <w:p>
      <w:pPr>
        <w:spacing w:after="0" w:line="18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2180" w:space="440"/>
            <w:col w:w="1420" w:space="360"/>
            <w:col w:w="3340" w:space="200"/>
            <w:col w:w="3480"/>
          </w:cols>
          <w:pgMar w:left="240" w:top="122" w:right="239" w:bottom="59" w:gutter="0" w:footer="0" w:header="0"/>
          <w:type w:val="continuous"/>
        </w:sectPr>
      </w:pPr>
    </w:p>
    <w:p>
      <w:pPr>
        <w:jc w:val="center"/>
        <w:ind w:right="18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6" w:lineRule="exact"/>
        <w:rPr>
          <w:sz w:val="20"/>
          <w:szCs w:val="20"/>
          <w:color w:val="auto"/>
        </w:rPr>
      </w:pPr>
    </w:p>
    <w:p>
      <w:pPr>
        <w:jc w:val="center"/>
        <w:ind w:right="1040"/>
        <w:spacing w:after="0" w:line="207" w:lineRule="exact"/>
        <w:tabs>
          <w:tab w:leader="none" w:pos="2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7"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November 3,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Title of 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460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Common Stock, $.01 Par Value</w:t>
            </w:r>
          </w:p>
        </w:tc>
        <w:tc>
          <w:tcPr>
            <w:tcW w:w="4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88"/>
              </w:rPr>
              <w:t>27,242,349</w:t>
            </w: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89"/>
              </w:rPr>
              <w:t>Class B Common Stock, $.01 Par Value</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10,727,073</w:t>
            </w:r>
          </w:p>
        </w:tc>
        <w:tc>
          <w:tcPr>
            <w:tcW w:w="136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r>
        <w:trPr>
          <w:trHeight w:val="631"/>
        </w:trPr>
        <w:tc>
          <w:tcPr>
            <w:tcW w:w="34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5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11"/>
          </w:tcPr>
          <w:p>
            <w:pPr>
              <w:jc w:val="center"/>
              <w:ind w:right="172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4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60" w:type="dxa"/>
            <w:vAlign w:val="bottom"/>
            <w:gridSpan w:val="1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0" w:type="dxa"/>
            <w:vAlign w:val="bottom"/>
            <w:gridSpan w:val="10"/>
            <w:vMerge w:val="restart"/>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60" w:type="dxa"/>
            <w:vAlign w:val="bottom"/>
            <w:tcBorders>
              <w:bottom w:val="single" w:sz="8" w:color="0000EE"/>
            </w:tcBorders>
            <w:gridSpan w:val="17"/>
            <w:vMerge w:val="continue"/>
          </w:tcPr>
          <w:p>
            <w:pPr>
              <w:spacing w:after="0"/>
              <w:rPr>
                <w:sz w:val="14"/>
                <w:szCs w:val="14"/>
                <w:color w:val="auto"/>
              </w:rPr>
            </w:pPr>
          </w:p>
        </w:tc>
        <w:tc>
          <w:tcPr>
            <w:tcW w:w="5600" w:type="dxa"/>
            <w:vAlign w:val="bottom"/>
            <w:gridSpan w:val="10"/>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00" w:type="dxa"/>
            <w:vAlign w:val="bottom"/>
            <w:gridSpan w:val="14"/>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 September 30, 2011 (unaudited) and December 31, 2010</w:t>
              </w:r>
            </w:hyperlink>
          </w:p>
        </w:tc>
        <w:tc>
          <w:tcPr>
            <w:tcW w:w="182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 For the Three Months and Nine Months Ended September 30, 2011</w:t>
              </w:r>
            </w:hyperlink>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2010 (unaudited)</w:t>
              </w:r>
            </w:hyperlink>
          </w:p>
        </w:tc>
        <w:tc>
          <w:tcPr>
            <w:tcW w:w="6520" w:type="dxa"/>
            <w:vAlign w:val="bottom"/>
            <w:gridSpan w:val="1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 For the Nine Months Ended September 30, 2011 and 2010</w:t>
              </w:r>
            </w:hyperlink>
          </w:p>
        </w:tc>
        <w:tc>
          <w:tcPr>
            <w:tcW w:w="92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4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Item 4. Controls and Procedures</w:t>
              </w:r>
            </w:hyperlink>
          </w:p>
        </w:tc>
        <w:tc>
          <w:tcPr>
            <w:tcW w:w="614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276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5900" w:type="dxa"/>
            <w:vAlign w:val="bottom"/>
            <w:gridSpan w:val="11"/>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658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2. Unregistered Sales of Equity Securities and Use of Proceeds</w:t>
              </w:r>
            </w:hyperlink>
          </w:p>
        </w:tc>
        <w:tc>
          <w:tcPr>
            <w:tcW w:w="356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3. Defaults Upon Senior Securities</w:t>
              </w:r>
            </w:hyperlink>
          </w:p>
        </w:tc>
        <w:tc>
          <w:tcPr>
            <w:tcW w:w="558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 Other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660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2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Exhibit 31.1</w:t>
            </w:r>
          </w:p>
        </w:tc>
        <w:tc>
          <w:tcPr>
            <w:tcW w:w="7520" w:type="dxa"/>
            <w:vAlign w:val="bottom"/>
            <w:gridSpan w:val="21"/>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Exhibit 32.1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EX-101 INSTANCE DOCUMENT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8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7"/>
              </w:rPr>
              <w:t>EX-101 SCHEMA DOCUMENT</w:t>
            </w:r>
          </w:p>
        </w:tc>
        <w:tc>
          <w:tcPr>
            <w:tcW w:w="614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60" w:type="dxa"/>
            <w:vAlign w:val="bottom"/>
            <w:gridSpan w:val="13"/>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7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5"/>
              </w:rPr>
              <w:t>EX-101 CALCULATION LINKBASE DOCUMENT</w:t>
            </w:r>
          </w:p>
        </w:tc>
        <w:tc>
          <w:tcPr>
            <w:tcW w:w="484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0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6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SEPTEMBER 30, 2011 AND DECEMBER 31, 2010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(In Thousands, Except Shares)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183,245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73,313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524,397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797,136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558,807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458,178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445,919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176,329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24"/>
                <w:szCs w:val="2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46,907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1,485,178</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10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Floor plan notes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424,157</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237,810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58,249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10,013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54,446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86,827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69,036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415,029</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228,328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189,850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79,606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63,540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0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 2011 and 2010</w:t>
            </w: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00" w:type="dxa"/>
            <w:vAlign w:val="bottom"/>
            <w:gridSpan w:val="6"/>
          </w:tcPr>
          <w:p>
            <w:pPr>
              <w:ind w:left="200"/>
              <w:spacing w:after="0" w:line="201" w:lineRule="exact"/>
              <w:rPr>
                <w:sz w:val="20"/>
                <w:szCs w:val="20"/>
                <w:color w:val="auto"/>
              </w:rPr>
            </w:pPr>
            <w:r>
              <w:rPr>
                <w:rFonts w:ascii="Arial" w:cs="Arial" w:eastAsia="Arial" w:hAnsi="Arial"/>
                <w:sz w:val="18"/>
                <w:szCs w:val="18"/>
                <w:color w:val="auto"/>
                <w:w w:val="92"/>
              </w:rPr>
              <w:t>Common stock, par value $.01 per share; 60,000,000 class A shares and 20,000,000 class B</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400"/>
              <w:spacing w:after="0"/>
              <w:rPr>
                <w:sz w:val="20"/>
                <w:szCs w:val="20"/>
                <w:color w:val="auto"/>
              </w:rPr>
            </w:pPr>
            <w:r>
              <w:rPr>
                <w:rFonts w:ascii="Arial" w:cs="Arial" w:eastAsia="Arial" w:hAnsi="Arial"/>
                <w:sz w:val="18"/>
                <w:szCs w:val="18"/>
                <w:color w:val="auto"/>
                <w:w w:val="93"/>
              </w:rPr>
              <w:t>shares authorized; 27,218,492 class A shares and 10,726,072 class B shares outstanding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400"/>
              <w:spacing w:after="0"/>
              <w:rPr>
                <w:sz w:val="20"/>
                <w:szCs w:val="20"/>
                <w:color w:val="auto"/>
              </w:rPr>
            </w:pPr>
            <w:r>
              <w:rPr>
                <w:rFonts w:ascii="Arial" w:cs="Arial" w:eastAsia="Arial" w:hAnsi="Arial"/>
                <w:sz w:val="18"/>
                <w:szCs w:val="18"/>
                <w:color w:val="auto"/>
                <w:w w:val="97"/>
              </w:rPr>
              <w:t>in 2011; and 26,798,707 class A shares and 10,700,044 class B shares outstanding in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740"/>
              <w:spacing w:after="0"/>
              <w:rPr>
                <w:sz w:val="20"/>
                <w:szCs w:val="20"/>
                <w:color w:val="auto"/>
              </w:rPr>
            </w:pPr>
            <w:r>
              <w:rPr>
                <w:rFonts w:ascii="Arial" w:cs="Arial" w:eastAsia="Arial" w:hAnsi="Arial"/>
                <w:sz w:val="18"/>
                <w:szCs w:val="18"/>
                <w:color w:val="auto"/>
              </w:rPr>
              <w:t>2010</w:t>
            </w: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204,707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Treasury stock, at cost: 1,639,843 class B shares</w:t>
            </w:r>
          </w:p>
        </w:tc>
        <w:tc>
          <w:tcPr>
            <w:tcW w:w="1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(17,948)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322,781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(1,898)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464,919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00" w:type="dxa"/>
            <w:vAlign w:val="bottom"/>
            <w:gridSpan w:val="6"/>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1,485,178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1,167,933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80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80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6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580" w:type="dxa"/>
            <w:vAlign w:val="bottom"/>
            <w:gridSpan w:val="12"/>
          </w:tcPr>
          <w:p>
            <w:pPr>
              <w:jc w:val="center"/>
              <w:ind w:right="360"/>
              <w:spacing w:after="0" w:line="196" w:lineRule="exact"/>
              <w:rPr>
                <w:sz w:val="20"/>
                <w:szCs w:val="20"/>
                <w:color w:val="auto"/>
              </w:rPr>
            </w:pPr>
            <w:r>
              <w:rPr>
                <w:rFonts w:ascii="Arial" w:cs="Arial" w:eastAsia="Arial" w:hAnsi="Arial"/>
                <w:sz w:val="18"/>
                <w:szCs w:val="18"/>
                <w:b w:val="1"/>
                <w:bCs w:val="1"/>
                <w:color w:val="auto"/>
                <w:w w:val="99"/>
              </w:rPr>
              <w:t>CONSOLIDATED STATEMENTS OF OPERATIONS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gridSpan w:val="10"/>
          </w:tcPr>
          <w:p>
            <w:pPr>
              <w:jc w:val="center"/>
              <w:ind w:right="10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8"/>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200"/>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487,324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248,324</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1,231,439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620,237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136,095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498,532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200"/>
              <w:spacing w:after="0"/>
              <w:rPr>
                <w:sz w:val="20"/>
                <w:szCs w:val="20"/>
                <w:color w:val="auto"/>
              </w:rPr>
            </w:pPr>
            <w:r>
              <w:rPr>
                <w:rFonts w:ascii="Arial" w:cs="Arial" w:eastAsia="Arial" w:hAnsi="Arial"/>
                <w:sz w:val="18"/>
                <w:szCs w:val="18"/>
                <w:color w:val="auto"/>
              </w:rPr>
              <w:t>Lease and rental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21,436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18,254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60,984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48,541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Finance and insurance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2,182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2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986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5,962</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405,841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1,804,531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1,034,968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New and used commercial vehicle sales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452,919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228,864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1,147,987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200"/>
              <w:spacing w:after="0"/>
              <w:rPr>
                <w:sz w:val="20"/>
                <w:szCs w:val="20"/>
                <w:color w:val="auto"/>
              </w:rPr>
            </w:pPr>
            <w:r>
              <w:rPr>
                <w:rFonts w:ascii="Arial" w:cs="Arial" w:eastAsia="Arial" w:hAnsi="Arial"/>
                <w:sz w:val="18"/>
                <w:szCs w:val="18"/>
                <w:color w:val="auto"/>
              </w:rPr>
              <w:t>Parts and service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111,849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83,190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304,014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218,041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15,590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50,842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20" w:type="dxa"/>
            <w:vAlign w:val="bottom"/>
            <w:gridSpan w:val="4"/>
          </w:tcPr>
          <w:p>
            <w:pPr>
              <w:ind w:left="200"/>
              <w:spacing w:after="0"/>
              <w:rPr>
                <w:sz w:val="20"/>
                <w:szCs w:val="20"/>
                <w:color w:val="auto"/>
              </w:rPr>
            </w:pPr>
            <w:r>
              <w:rPr>
                <w:rFonts w:ascii="Arial" w:cs="Arial" w:eastAsia="Arial" w:hAnsi="Arial"/>
                <w:sz w:val="18"/>
                <w:szCs w:val="18"/>
                <w:color w:val="auto"/>
              </w:rPr>
              <w:t>Total cost of products sold</w:t>
            </w: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582,657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327,644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1,502,843</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78,197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301,688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79,714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60,392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224,715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165,677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4,068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Gain (loss) on sale of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13,732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62,938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1,357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4,694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6"/>
              </w:rPr>
              <w:t>Income from continuing operations before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12,375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58,244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4,344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22,414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8,031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35,830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Income from discontinued operations, net of tax</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6,128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16,045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14,159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37,350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37,796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37,271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20" w:type="dxa"/>
            <w:vAlign w:val="bottom"/>
            <w:gridSpan w:val="4"/>
          </w:tcPr>
          <w:p>
            <w:pPr>
              <w:ind w:left="20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38,959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38,198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38,955</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38,087</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48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98"/>
              </w:rPr>
              <w:t>CONSOLIDATED STATEMENTS OF CASH FLOWS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35,830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41,220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33,205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Gain on disposition of equipment centers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gridSpan w:val="6"/>
            <w:shd w:val="clear" w:color="auto" w:fill="CCEEFF"/>
          </w:tcPr>
          <w:p>
            <w:pPr>
              <w:ind w:left="600"/>
              <w:spacing w:after="0" w:line="201" w:lineRule="exact"/>
              <w:rPr>
                <w:sz w:val="20"/>
                <w:szCs w:val="20"/>
                <w:color w:val="auto"/>
              </w:rPr>
            </w:pPr>
            <w:r>
              <w:rPr>
                <w:rFonts w:ascii="Arial" w:cs="Arial" w:eastAsia="Arial" w:hAnsi="Arial"/>
                <w:sz w:val="18"/>
                <w:szCs w:val="18"/>
                <w:color w:val="auto"/>
              </w:rPr>
              <w:t>Stock-based compensation expense related to stock options and employee stock</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4,756</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Provision (benefit) for deferred income tax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16,560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Excess tax benefits from stock-based compensation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Change in accounts receivable,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(29,536)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inventories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(161,532)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Change in prepaid expenses and other,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8,813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trade accounts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600"/>
              <w:spacing w:after="0"/>
              <w:rPr>
                <w:sz w:val="20"/>
                <w:szCs w:val="20"/>
                <w:color w:val="auto"/>
              </w:rPr>
            </w:pPr>
            <w:r>
              <w:rPr>
                <w:rFonts w:ascii="Arial" w:cs="Arial" w:eastAsia="Arial" w:hAnsi="Arial"/>
                <w:sz w:val="18"/>
                <w:szCs w:val="18"/>
                <w:color w:val="auto"/>
              </w:rPr>
              <w:t>Change in accrued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18,580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24,149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(50,497)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10,526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Business acquisitions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Proceeds from disposition of equipment centers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26,234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Change in other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(149,976)</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(52,847)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Draws on floor plan notes payable,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186,347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58,297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(52,214)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(41,834)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gridSpan w:val="6"/>
          </w:tcPr>
          <w:p>
            <w:pPr>
              <w:ind w:left="200"/>
              <w:spacing w:after="0" w:line="201" w:lineRule="exact"/>
              <w:rPr>
                <w:sz w:val="20"/>
                <w:szCs w:val="20"/>
                <w:color w:val="auto"/>
              </w:rPr>
            </w:pPr>
            <w:r>
              <w:rPr>
                <w:rFonts w:ascii="Arial" w:cs="Arial" w:eastAsia="Arial" w:hAnsi="Arial"/>
                <w:sz w:val="18"/>
                <w:szCs w:val="18"/>
                <w:color w:val="auto"/>
                <w:w w:val="96"/>
              </w:rPr>
              <w:t>Proceeds from issuance of shares relating to employee stock options and employee stock</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gridSpan w:val="6"/>
          </w:tcPr>
          <w:p>
            <w:pPr>
              <w:ind w:left="40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2,965</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214,742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58,403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14,269</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168,976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40" w:type="dxa"/>
            <w:vAlign w:val="bottom"/>
            <w:gridSpan w:val="6"/>
            <w:vMerge w:val="continue"/>
          </w:tcPr>
          <w:p>
            <w:pPr>
              <w:spacing w:after="0"/>
              <w:rPr>
                <w:sz w:val="24"/>
                <w:szCs w:val="24"/>
                <w:color w:val="auto"/>
              </w:rPr>
            </w:pP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183,245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150,902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20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gridSpan w:val="6"/>
            <w:vMerge w:val="restart"/>
          </w:tcPr>
          <w:p>
            <w:pPr>
              <w:ind w:left="400"/>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Noncash 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gridSpan w:val="6"/>
          </w:tcPr>
          <w:p>
            <w:pPr>
              <w:ind w:left="400"/>
              <w:spacing w:after="0"/>
              <w:rPr>
                <w:sz w:val="20"/>
                <w:szCs w:val="20"/>
                <w:color w:val="auto"/>
              </w:rPr>
            </w:pPr>
            <w:r>
              <w:rPr>
                <w:rFonts w:ascii="Arial" w:cs="Arial" w:eastAsia="Arial" w:hAnsi="Arial"/>
                <w:sz w:val="18"/>
                <w:szCs w:val="18"/>
                <w:color w:val="auto"/>
              </w:rPr>
              <w:t>Note receivable related to disposition of equipment centers</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Assets acquired under capital leases</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503"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503"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2010. Results of operations for interim periods are not necessarily indicative of results that may be expected for any other interim periods or the full fiscal year.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August 2011, the Company determined that the SAP enterprise software and SAP dealership management system were ready for their intended use, placed them in service and began amortization of the capitalized costs of the software. The total capitalized costs of $42.5 million are recorded on the Consolidated Balance Sheet in Other Assets, net of accumulated amortization of $0.5 million. The SAP software will be amortized over a period of 15 years. The Company is currently operating several Rush Truck Centers in Texas and a majority of its leasing operations on the SAP enterprise software and SAP dealership management system. The Company plans to convert all of its Rush Truck Centers and leasing operations to the SAP enterprise software and SAP dealership management system over the next three years.</w:t>
      </w:r>
    </w:p>
    <w:p>
      <w:pPr>
        <w:spacing w:after="0" w:line="14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the discontinuance of operations by certain manufacturers the Company represents,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that its reporting unit is its operating segment, the Truck segment, which is the level at which segment management regularly reviews operating results and makes resource allocation decisions. The Construction Equipment segment is no longer reported as a separate business segment because the Company sold its John Deere construction equipment business in the third quarter of 2010. See Note 11 for further discussion of the sale of the construction equipment business.</w:t>
      </w:r>
    </w:p>
    <w:p>
      <w:pPr>
        <w:spacing w:after="0" w:line="142"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and liabilities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6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No impairment write down was required in the fourth quarter of 2010. However, the Company cannot predict the occurrence of certain events that might adversely affect the reported value of goodwill in the future.</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2011:</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150,388</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Acquisition of Asbury Automotive Atlanta, L.L.C.(See Note 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24,824</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Heintzelman’s Truck Center (See Note 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7"/>
        </w:trPr>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176,329</w:t>
            </w: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 Commitments and Contingencies</w:t>
      </w:r>
    </w:p>
    <w:p>
      <w:pPr>
        <w:spacing w:after="0" w:line="189"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commercial vehicles.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3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 Earnings Per Share</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920" w:type="dxa"/>
            <w:vAlign w:val="bottom"/>
            <w:gridSpan w:val="8"/>
          </w:tcPr>
          <w:p>
            <w:pPr>
              <w:ind w:left="160"/>
              <w:spacing w:after="0"/>
              <w:rPr>
                <w:sz w:val="20"/>
                <w:szCs w:val="20"/>
                <w:color w:val="auto"/>
              </w:rPr>
            </w:pPr>
            <w:r>
              <w:rPr>
                <w:rFonts w:ascii="Arial" w:cs="Arial" w:eastAsia="Arial" w:hAnsi="Arial"/>
                <w:sz w:val="18"/>
                <w:szCs w:val="18"/>
                <w:color w:val="auto"/>
                <w:w w:val="94"/>
              </w:rPr>
              <w:t>Three Months Ended September 30,</w:t>
            </w:r>
          </w:p>
        </w:tc>
        <w:tc>
          <w:tcPr>
            <w:tcW w:w="2760" w:type="dxa"/>
            <w:vAlign w:val="bottom"/>
            <w:gridSpan w:val="8"/>
          </w:tcPr>
          <w:p>
            <w:pPr>
              <w:ind w:left="18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200"/>
              <w:spacing w:after="0" w:line="201" w:lineRule="exact"/>
              <w:rPr>
                <w:sz w:val="20"/>
                <w:szCs w:val="20"/>
                <w:color w:val="auto"/>
              </w:rPr>
            </w:pPr>
            <w:r>
              <w:rPr>
                <w:rFonts w:ascii="Arial" w:cs="Arial" w:eastAsia="Arial" w:hAnsi="Arial"/>
                <w:sz w:val="18"/>
                <w:szCs w:val="18"/>
                <w:color w:val="auto"/>
                <w:w w:val="92"/>
              </w:rPr>
              <w:t>Numerator for basic and diluted earnings per share,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00"/>
              <w:spacing w:after="0"/>
              <w:rPr>
                <w:sz w:val="20"/>
                <w:szCs w:val="20"/>
                <w:color w:val="auto"/>
              </w:rPr>
            </w:pPr>
            <w:r>
              <w:rPr>
                <w:rFonts w:ascii="Arial" w:cs="Arial" w:eastAsia="Arial" w:hAnsi="Arial"/>
                <w:sz w:val="18"/>
                <w:szCs w:val="18"/>
                <w:color w:val="auto"/>
                <w:w w:val="97"/>
              </w:rPr>
              <w:t>income from continuing operations available to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0"/>
              <w:spacing w:after="0"/>
              <w:rPr>
                <w:sz w:val="20"/>
                <w:szCs w:val="20"/>
                <w:color w:val="auto"/>
              </w:rPr>
            </w:pPr>
            <w:r>
              <w:rPr>
                <w:rFonts w:ascii="Arial" w:cs="Arial" w:eastAsia="Arial" w:hAnsi="Arial"/>
                <w:sz w:val="18"/>
                <w:szCs w:val="18"/>
                <w:color w:val="auto"/>
              </w:rPr>
              <w:t>common shareholders</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16,045,000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8,031,000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35,830,000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15,369,000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400"/>
              <w:spacing w:after="0" w:line="201" w:lineRule="exact"/>
              <w:rPr>
                <w:sz w:val="20"/>
                <w:szCs w:val="20"/>
                <w:color w:val="auto"/>
              </w:rPr>
            </w:pPr>
            <w:r>
              <w:rPr>
                <w:rFonts w:ascii="Arial" w:cs="Arial" w:eastAsia="Arial" w:hAnsi="Arial"/>
                <w:sz w:val="18"/>
                <w:szCs w:val="18"/>
                <w:color w:val="auto"/>
              </w:rPr>
              <w:t>Denominator for basic earnings per share,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600"/>
              <w:spacing w:after="0"/>
              <w:rPr>
                <w:sz w:val="20"/>
                <w:szCs w:val="20"/>
                <w:color w:val="auto"/>
              </w:rPr>
            </w:pPr>
            <w:r>
              <w:rPr>
                <w:rFonts w:ascii="Arial" w:cs="Arial" w:eastAsia="Arial" w:hAnsi="Arial"/>
                <w:sz w:val="18"/>
                <w:szCs w:val="18"/>
                <w:color w:val="auto"/>
                <w:w w:val="91"/>
              </w:rPr>
              <w:t>adjusted weighted average shares outstanding</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37,932,300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37,349,899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37,796,072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37,271,416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400"/>
              <w:spacing w:after="0" w:line="201" w:lineRule="exact"/>
              <w:rPr>
                <w:sz w:val="20"/>
                <w:szCs w:val="20"/>
                <w:color w:val="auto"/>
              </w:rPr>
            </w:pPr>
            <w:r>
              <w:rPr>
                <w:rFonts w:ascii="Arial" w:cs="Arial" w:eastAsia="Arial" w:hAnsi="Arial"/>
                <w:sz w:val="18"/>
                <w:szCs w:val="18"/>
                <w:color w:val="auto"/>
              </w:rPr>
              <w:t>Employee and director stock options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600"/>
              <w:spacing w:after="0"/>
              <w:rPr>
                <w:sz w:val="20"/>
                <w:szCs w:val="20"/>
                <w:color w:val="auto"/>
              </w:rPr>
            </w:pPr>
            <w:r>
              <w:rPr>
                <w:rFonts w:ascii="Arial" w:cs="Arial" w:eastAsia="Arial" w:hAnsi="Arial"/>
                <w:sz w:val="18"/>
                <w:szCs w:val="18"/>
                <w:color w:val="auto"/>
              </w:rPr>
              <w:t>restricted share awards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1,026,598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848,479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1,159,396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815,593</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Denominator for diluted earnings per share,</w:t>
            </w: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1"/>
              </w:rPr>
              <w:t>adjusted weighted average shares outstanding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assumed conversions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38,958,898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38,198,378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38,955,468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38,087,009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Basic earnings per common share from continuing</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0.95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common share and common</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equivalents from continuing operations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Options to purchase shares of common stock that were outstanding for the three months and nine months ended September 30, 2011 and 2010 that were not included in the computation of diluted earnings per share because the effect would have been anti-dilutive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40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Nine months Ended</w:t>
            </w:r>
          </w:p>
        </w:tc>
      </w:tr>
      <w:tr>
        <w:trPr>
          <w:trHeight w:val="210"/>
        </w:trPr>
        <w:tc>
          <w:tcPr>
            <w:tcW w:w="4580" w:type="dxa"/>
            <w:vAlign w:val="bottom"/>
          </w:tcPr>
          <w:p>
            <w:pPr>
              <w:spacing w:after="0"/>
              <w:rPr>
                <w:sz w:val="18"/>
                <w:szCs w:val="18"/>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3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684,645</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990,330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536,100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985,830</w:t>
            </w: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$0.9 million for the three months ended September 30, 2011, and $0.7 million for the three months ended September 30, 2010. Stock-based compensation expense, included in selling, general and administrative expense, for the nine months ended September 30, 2011, was $4.8 million and for the nine months ended September 30, 2010, was $3.6 million. As of September 30, 2011, there was $8.3 million of total unrecognized compensation cost related to non-vested share-based compensation arrangements to be recognized over a weighted-average period of 3.3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September 30, 2011. The carrying value of current assets and current liabilities approximates the fair value due to the short maturity of these items.</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4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24"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As of September 30, 2011, the Company held auction rate securities with underlying tax-exempt municipal bonds that mature in 2030 that have a fair value of $6.6 million and a cost basis of $7.6 million. These bonds have credit wrap insurance and a credit rating of Aa3 by Moody’s.</w:t>
      </w:r>
    </w:p>
    <w:p>
      <w:pPr>
        <w:spacing w:after="0" w:line="15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September 30, 2011, the Company has valued these investments at fair value. The Company used observable inputs to determine fair value, including consideration of broker quotes, the overall quality of the underlying municipality, the credit quality of the insurance company, and observable transactions. Accordingly, the Company has considered this fair value to be a Level 2 valuation under ASC 820-10, “Fair Value Measurements and Disclosures.” In the second quarter of 2011, the Company recorded a pre-tax impairment charge of $1.0 million on these investments. The Company believes that the impairment is temporary and has recognized the impairment in accumulated other comprehensive loss.</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table below presents disclosures about the financial instruments measured at fair value on a recurring basis in the Company’s financial statements as of September 30, 2011 and December 31, 2010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8"/>
                <w:szCs w:val="18"/>
                <w:b w:val="1"/>
                <w:bCs w:val="1"/>
                <w:color w:val="auto"/>
              </w:rPr>
              <w:t>At September 30, 2011</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5"/>
              </w:rPr>
              <w:t>Cost Basis</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Fair Value Estimated Using</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left="130"/>
              <w:spacing w:after="0" w:line="191" w:lineRule="exact"/>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16"/>
                <w:szCs w:val="16"/>
                <w:color w:val="auto"/>
              </w:rPr>
            </w:pPr>
          </w:p>
        </w:tc>
        <w:tc>
          <w:tcPr>
            <w:tcW w:w="7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7,575</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At December 31, 2010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5"/>
              </w:rPr>
              <w:t>Cost Basis</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Fair Value Estimated Using</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left="130"/>
              <w:spacing w:after="0" w:line="191" w:lineRule="exact"/>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16"/>
                <w:szCs w:val="16"/>
                <w:color w:val="auto"/>
              </w:rPr>
            </w:pPr>
          </w:p>
        </w:tc>
        <w:tc>
          <w:tcPr>
            <w:tcW w:w="7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7,575</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 Agreements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has entered into swap agreements to hedge against the potential impact of increases in interest rates on its floating-rate real estate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At September 30, 2011,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 The Company’s interest rate swaps qualify for cash flow hedge accounting treatment. Unrealized gains or losses are recorded in accumulated other comprehensive loss. Realized gains and losses will be recognized in interest expense, if they occur. Amounts to be received or paid under the contracts will be recognized as interest expense over the life of the contracts. There was no ineffectiveness for these swaps during the quarters ended September 30, 2010 and September 30, 2011.</w:t>
      </w:r>
    </w:p>
    <w:p>
      <w:pPr>
        <w:spacing w:after="0" w:line="15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$2.1 million as of September 30, 2011. The carrying value of these swaps is included in Other Long-Term Liabilities on the accompanying Consolidated Balance Sheet as of September 30, 2011.</w:t>
      </w:r>
    </w:p>
    <w:p>
      <w:pPr>
        <w:spacing w:after="0" w:line="14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As of September 30, 2011, the Company was party to derivative financial instruments as described in the following table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Fixed</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Notional</w:t>
            </w: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Interest</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Agreement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Rate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28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2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5.075%</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4,536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7,847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1,517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6,109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5,616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864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8,352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2,894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Fair values of derivative instruments are on the accompanying Consolidated Balance Sheet as of September 30, 2011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w w:val="96"/>
              </w:rPr>
              <w:t>Derivatives Designated as</w:t>
            </w:r>
          </w:p>
        </w:tc>
        <w:tc>
          <w:tcPr>
            <w:tcW w:w="220" w:type="dxa"/>
            <w:vAlign w:val="bottom"/>
          </w:tcPr>
          <w:p>
            <w:pPr>
              <w:spacing w:after="0"/>
              <w:rPr>
                <w:sz w:val="20"/>
                <w:szCs w:val="20"/>
                <w:color w:val="auto"/>
              </w:rPr>
            </w:pPr>
          </w:p>
        </w:tc>
        <w:tc>
          <w:tcPr>
            <w:tcW w:w="3200" w:type="dxa"/>
            <w:vAlign w:val="bottom"/>
            <w:gridSpan w:val="4"/>
          </w:tcPr>
          <w:p>
            <w:pPr>
              <w:ind w:left="860"/>
              <w:spacing w:after="0"/>
              <w:rPr>
                <w:sz w:val="20"/>
                <w:szCs w:val="20"/>
                <w:color w:val="auto"/>
              </w:rPr>
            </w:pPr>
            <w:r>
              <w:rPr>
                <w:rFonts w:ascii="Arial" w:cs="Arial" w:eastAsia="Arial" w:hAnsi="Arial"/>
                <w:sz w:val="18"/>
                <w:szCs w:val="18"/>
                <w:b w:val="1"/>
                <w:bCs w:val="1"/>
                <w:color w:val="auto"/>
              </w:rPr>
              <w:t>Asset Derivatives</w:t>
            </w:r>
          </w:p>
        </w:tc>
        <w:tc>
          <w:tcPr>
            <w:tcW w:w="160" w:type="dxa"/>
            <w:vAlign w:val="bottom"/>
          </w:tcPr>
          <w:p>
            <w:pPr>
              <w:spacing w:after="0"/>
              <w:rPr>
                <w:sz w:val="20"/>
                <w:szCs w:val="20"/>
                <w:color w:val="auto"/>
              </w:rPr>
            </w:pPr>
          </w:p>
        </w:tc>
        <w:tc>
          <w:tcPr>
            <w:tcW w:w="2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Liability Derivatives</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180" w:type="dxa"/>
            <w:vAlign w:val="bottom"/>
          </w:tcPr>
          <w:p>
            <w:pPr>
              <w:spacing w:after="0"/>
              <w:rPr>
                <w:sz w:val="20"/>
                <w:szCs w:val="20"/>
                <w:color w:val="auto"/>
              </w:rPr>
            </w:pPr>
            <w:r>
              <w:rPr>
                <w:rFonts w:ascii="Arial" w:cs="Arial" w:eastAsia="Arial" w:hAnsi="Arial"/>
                <w:sz w:val="18"/>
                <w:szCs w:val="18"/>
                <w:b w:val="1"/>
                <w:bCs w:val="1"/>
                <w:color w:val="auto"/>
              </w:rPr>
              <w:t>Hedging Instruments</w:t>
            </w:r>
          </w:p>
        </w:tc>
        <w:tc>
          <w:tcPr>
            <w:tcW w:w="220" w:type="dxa"/>
            <w:vAlign w:val="bottom"/>
          </w:tcPr>
          <w:p>
            <w:pPr>
              <w:spacing w:after="0"/>
              <w:rPr>
                <w:sz w:val="18"/>
                <w:szCs w:val="18"/>
                <w:color w:val="auto"/>
              </w:rPr>
            </w:pPr>
          </w:p>
        </w:tc>
        <w:tc>
          <w:tcPr>
            <w:tcW w:w="21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7"/>
              </w:rPr>
              <w:t>Balance Sheet Location</w:t>
            </w:r>
          </w:p>
        </w:tc>
        <w:tc>
          <w:tcPr>
            <w:tcW w:w="9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Balance Sheet Location</w:t>
            </w:r>
          </w:p>
        </w:tc>
        <w:tc>
          <w:tcPr>
            <w:tcW w:w="9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8"/>
                <w:szCs w:val="18"/>
                <w:color w:val="auto"/>
              </w:rPr>
            </w:pPr>
          </w:p>
        </w:tc>
      </w:tr>
      <w:tr>
        <w:trPr>
          <w:trHeight w:val="210"/>
        </w:trPr>
        <w:tc>
          <w:tcPr>
            <w:tcW w:w="2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r>
      <w:tr>
        <w:trPr>
          <w:trHeight w:val="405"/>
        </w:trPr>
        <w:tc>
          <w:tcPr>
            <w:tcW w:w="2180" w:type="dxa"/>
            <w:vAlign w:val="bottom"/>
          </w:tcPr>
          <w:p>
            <w:pPr>
              <w:spacing w:after="0"/>
              <w:rPr>
                <w:sz w:val="20"/>
                <w:szCs w:val="20"/>
                <w:color w:val="auto"/>
              </w:rPr>
            </w:pPr>
            <w:r>
              <w:rPr>
                <w:rFonts w:ascii="Arial" w:cs="Arial" w:eastAsia="Arial" w:hAnsi="Arial"/>
                <w:sz w:val="18"/>
                <w:szCs w:val="18"/>
                <w:b w:val="1"/>
                <w:bCs w:val="1"/>
                <w:color w:val="auto"/>
                <w:w w:val="99"/>
              </w:rPr>
              <w:t>7 — Segment Information</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1"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3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Construction Equipment segment is no longer reported as a separate business segment because the Company sold the assets of its John Deere construction equipment business. See Note 11 for further discussion of the sale of the construction equipment business.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evaluates performance based on income before income taxes not including extraordinary items.</w:t>
      </w:r>
    </w:p>
    <w:p>
      <w:pPr>
        <w:spacing w:after="0" w:line="185"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The Company accounted for intersegment sales and transfers as if the sales or transfers were to third parties, that is, at current market prices. There were no material intersegment sales during the quarters or nine months ended September 30, 2011 and 2010.</w:t>
      </w:r>
    </w:p>
    <w:p>
      <w:pPr>
        <w:spacing w:after="0" w:line="8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September 30, 2011 and 2010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Truck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Segment</w:t>
            </w:r>
          </w:p>
        </w:tc>
        <w:tc>
          <w:tcPr>
            <w:tcW w:w="1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All Other</w:t>
            </w:r>
          </w:p>
        </w:tc>
        <w:tc>
          <w:tcPr>
            <w:tcW w:w="16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Totals</w:t>
            </w:r>
          </w:p>
        </w:tc>
      </w:tr>
      <w:tr>
        <w:trPr>
          <w:trHeight w:val="210"/>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September 30, 2011</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691,469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4,976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696,445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26,434</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Segment assets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1,459,161</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26,017</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1,485,178</w:t>
            </w:r>
          </w:p>
        </w:tc>
      </w:tr>
      <w:tr>
        <w:trPr>
          <w:trHeight w:val="202"/>
        </w:trPr>
        <w:tc>
          <w:tcPr>
            <w:tcW w:w="5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2011</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1,791,099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13,432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1,804,531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59,481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58,244</w:t>
            </w:r>
          </w:p>
        </w:tc>
      </w:tr>
      <w:tr>
        <w:trPr>
          <w:trHeight w:val="432"/>
        </w:trPr>
        <w:tc>
          <w:tcPr>
            <w:tcW w:w="502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September 30, 2010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401,890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12,838</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12,375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1,112,454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1,144,724</w:t>
            </w:r>
          </w:p>
        </w:tc>
      </w:tr>
      <w:tr>
        <w:trPr>
          <w:trHeight w:val="432"/>
        </w:trPr>
        <w:tc>
          <w:tcPr>
            <w:tcW w:w="502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2010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1,023,321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1,034,968</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25,185</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24,411</w:t>
            </w:r>
          </w:p>
        </w:tc>
      </w:tr>
    </w:tbl>
    <w:p>
      <w:pPr>
        <w:spacing w:after="0" w:line="16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retail tire company, an insurance agency and a guest ranch operation. None of those segments has ever met any of the quantitative thresholds for determining reportable segments.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 Income Taxes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included accruals for unrecognized income tax benefits totaling $1.5 million as a component of accrued liabilities as of September 30, 2011, and December 31, 2010. The unrecognized tax benefits of $1.5 million at September 30, 2011, if recognized, would impact the Company’s effective tax rate. An unfavorable settlement would require a charge to income tax expense and a favorable resolution would be recognized as a reduction to income tax expense. As of September 30, 2011, the Company has accrued interest of $130,000 related to unrecognized tax benefits in the current provision for income taxes. No amounts were accrued for penalties.</w:t>
      </w:r>
    </w:p>
    <w:p>
      <w:pPr>
        <w:spacing w:after="0" w:line="153"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does not anticipate a significant change in the amount of unrecognized tax benefits in the next 12 months. As of September 30, 2011, the tax years ended December 31, 2008 through 2011 remained subject to audit by federal tax authorities and the tax years ended December 31, 2006 through 2011, remained subject to audit by various state tax authorities.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 Acquisitions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acquisitions were considered business combinations accounted for under ASC 805 “Business Combinations.” Pro forma information is not included in accordance with ASC 805 since no acquisitions were considered material individually or in the aggregate.</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March 14, 2011, the Company acquired certain assets of Asbury Automotive Atlanta L.L.C., a subsidiary of Asbury Automotive Group, Inc., which operates commercial truck and bus dealerships in the metro Atlanta area under the “Nalley Motor Trucks” name. The acquisition includes the International, Hino, Isuzu, UD, IC Bus and Workhorse franchises in metro Atlanta, dealership locations in Atlanta and Doraville and a collision center in Atlanta.</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These locations are operating as Rush Truck Centers and offer commercial vehicles manufactured by International, Hino, Isuzu, UD, IC Bus and Workhorse Custom Chassis in addition to parts, service, body shop, financing and insurance capabilities. The transaction was valued at approximately $55.3 million, with the purchase price paid in cash. The operations of Nalley Motor Trucks are included in the accompanying consolidated financial statements from the date of the acquisition. The preliminary purchase price was allocated based on the fair values of the assets at the date of acquisition as follows (in thousands):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March 31,</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w w:val="93"/>
              </w:rPr>
              <w:t>September 30,</w:t>
            </w:r>
          </w:p>
        </w:tc>
      </w:tr>
      <w:tr>
        <w:trPr>
          <w:trHeight w:val="230"/>
        </w:trPr>
        <w:tc>
          <w:tcPr>
            <w:tcW w:w="5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Adjustment</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11,841</w:t>
            </w:r>
          </w:p>
        </w:tc>
        <w:tc>
          <w:tcPr>
            <w:tcW w:w="38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(1,970)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24,824</w:t>
            </w: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92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55,287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55,287</w:t>
            </w: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As the values of these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The adjustment to the purchase price allocation in the second quarter relates to the finalization of real estate appraisals for property acquired. All of the goodwill acquired in the Nalley Motor Trucks acquisition will be amortized over 15 years for tax purposes.</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February 21, 2011, the Company acquired certain assets of Heintzelman’s Truck Center, which consisted of a Ford commercial vehicle dealership in Orlando, Florida. The Company is operating the facility as a full-service Rush Truck Center offering Ford trucks, parts, service, leasing, financing and insurance. The transaction was valued at approximately $4.7 million, with the purchase price paid in cash. The operations of Heintzelman’s Truck Center are included in the accompanying consolidated financial statements from the date of the acquisition. The preliminary purchase price was allocated based on the fair values of the assets at the date of acquisition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23"/>
        </w:trPr>
        <w:tc>
          <w:tcPr>
            <w:tcW w:w="86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r>
      <w:tr>
        <w:trPr>
          <w:trHeight w:val="20"/>
        </w:trPr>
        <w:tc>
          <w:tcPr>
            <w:tcW w:w="8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All of the goodwill acquired in the Heintzelman’s Truck Center acquisition will be amortized over 15 years for tax purposes.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 Comprehensive Income</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provides a reconciliation of net income to comprehensive income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cash flow swaps, net of tax</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r>
      <w:tr>
        <w:trPr>
          <w:trHeight w:val="202"/>
        </w:trPr>
        <w:tc>
          <w:tcPr>
            <w:tcW w:w="4320" w:type="dxa"/>
            <w:vAlign w:val="bottom"/>
          </w:tcPr>
          <w:p>
            <w:pPr>
              <w:ind w:left="200"/>
              <w:spacing w:after="0" w:line="201" w:lineRule="exact"/>
              <w:rPr>
                <w:sz w:val="20"/>
                <w:szCs w:val="20"/>
                <w:color w:val="auto"/>
              </w:rPr>
            </w:pPr>
            <w:r>
              <w:rPr>
                <w:rFonts w:ascii="Arial" w:cs="Arial" w:eastAsia="Arial" w:hAnsi="Arial"/>
                <w:sz w:val="18"/>
                <w:szCs w:val="18"/>
                <w:color w:val="auto"/>
                <w:w w:val="96"/>
              </w:rPr>
              <w:t>Unrealized loss on available-for-sale securities, net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20" w:type="dxa"/>
            <w:vAlign w:val="bottom"/>
          </w:tcPr>
          <w:p>
            <w:pPr>
              <w:ind w:left="400"/>
              <w:spacing w:after="0"/>
              <w:rPr>
                <w:sz w:val="20"/>
                <w:szCs w:val="20"/>
                <w:color w:val="auto"/>
              </w:rPr>
            </w:pPr>
            <w:r>
              <w:rPr>
                <w:rFonts w:ascii="Arial" w:cs="Arial" w:eastAsia="Arial" w:hAnsi="Arial"/>
                <w:sz w:val="18"/>
                <w:szCs w:val="18"/>
                <w:color w:val="auto"/>
              </w:rPr>
              <w:t>tax</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21,404</w:t>
            </w: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 Discontinued Operations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results of operations of the construction equipment business have been classified as discontinued operations in the Company’s consolidated statements of income, and excluded from business segment information.</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ind w:right="55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25,772</w:t>
            </w: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Results of operations from discontinued operations before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Gain on disposition</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10,091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10,091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20"/>
                <w:szCs w:val="20"/>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common share from discontinued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net of tax</w:t>
            </w:r>
          </w:p>
        </w:tc>
        <w:tc>
          <w:tcPr>
            <w:tcW w:w="920" w:type="dxa"/>
            <w:vAlign w:val="bottom"/>
            <w:gridSpan w:val="2"/>
            <w:shd w:val="clear" w:color="auto" w:fill="CCEEFF"/>
          </w:tcPr>
          <w:p>
            <w:pPr>
              <w:jc w:val="right"/>
              <w:ind w:right="55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w w:val="98"/>
              </w:rPr>
              <w:t>Diluted earnings per common share and common share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equivalents from discontinued operations, net of tax</w:t>
            </w:r>
          </w:p>
        </w:tc>
        <w:tc>
          <w:tcPr>
            <w:tcW w:w="920" w:type="dxa"/>
            <w:vAlign w:val="bottom"/>
            <w:gridSpan w:val="2"/>
          </w:tcPr>
          <w:p>
            <w:pPr>
              <w:jc w:val="right"/>
              <w:ind w:right="554"/>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2010, future supply and demand for our products and services, general economic conditions, market conditions in the new and used commercial vehicle markets, our relationships with key customers and manufacturers we represent, the interest rate environment, governmental regulation and supervision, seasonality, product introductions and acceptance,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5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2" w:lineRule="exact"/>
        <w:rPr>
          <w:sz w:val="20"/>
          <w:szCs w:val="20"/>
          <w:color w:val="auto"/>
        </w:rPr>
      </w:pPr>
    </w:p>
    <w:p>
      <w:pPr>
        <w:jc w:val="both"/>
        <w:ind w:left="340" w:right="159"/>
        <w:spacing w:after="0" w:line="243"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General Motors Corporation. Hino</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UD Truck North America, Ltd. Isuzu</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Caterpillar, Inc. PacLease</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Cummins Intellectual Property, Inc. Eaton</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Eaton Corporation. Arvin Meritor</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Meritor Technology, Inc. JPMorgan Chase</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JP Morgan Chase &amp; Co. SAP</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Navistar International Transportation Corp. Blue Bird</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Blue Bird Investment Corporation. Autocar</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Shem, LLC. IC Bus</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IC Bus, LLC. Collins Bus Corporation</w:t>
      </w:r>
      <w:r>
        <w:rPr>
          <w:rFonts w:ascii="Arial" w:cs="Arial" w:eastAsia="Arial" w:hAnsi="Arial"/>
          <w:sz w:val="15"/>
          <w:szCs w:val="15"/>
          <w:i w:val="1"/>
          <w:iCs w:val="1"/>
          <w:color w:val="auto"/>
        </w:rPr>
        <w:t>®</w:t>
      </w:r>
      <w:r>
        <w:rPr>
          <w:rFonts w:ascii="Arial" w:cs="Arial" w:eastAsia="Arial" w:hAnsi="Arial"/>
          <w:sz w:val="17"/>
          <w:szCs w:val="17"/>
          <w:i w:val="1"/>
          <w:iCs w:val="1"/>
          <w:color w:val="auto"/>
        </w:rPr>
        <w:t xml:space="preserve"> is a registered trademark of Collins Bus Corporation. Fuso</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Mitsubishi Fuso Truck and Bus Corporation. Workhorse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is a registered trademark of Workhorse Custom Chassis, LLC.</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54"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is a full-service, integrated retailer of commercial vehicles and related services. The Truck Segment operates a regional network of commercial vehicle dealerships under the name “Rush Truck Centers.” Rush Truck Centers sell and provide aftermarket services to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Company’s Rush Truck Centers are principally located in high traffic areas throughout the United States. Since commencing operations as a Peterbilt heavy-duty truck dealer in 1966, the Company has grown to operate 65 Rush Truck Centers in Alabama, Arizona, California, Colorado, Florida, Georgia, Idaho, New Mexico, North Carolina, Oklahoma, Oregon, Tennessee, Texas and Utah.</w:t>
      </w:r>
    </w:p>
    <w:p>
      <w:pPr>
        <w:spacing w:after="0" w:line="12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goal is to provide our customers with custom solutions to improve their businesses utilizing a wide array of products and services through our integrated dealer network. We intend to continue to implement our business strategy, reinforce customer loyalty and remain a market leader by continuing to grow our network of Rush Truck Centers as we extend our geographic focus through strategic acquisitions of new locations and expansions of our existing facilities and product lines.</w:t>
      </w:r>
    </w:p>
    <w:p>
      <w:pPr>
        <w:spacing w:after="0" w:line="13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Construction Equipment Segment will no longer be reported as a separate business segment because the Company sold its John Deere construction equipment business in September 2010. Operating results of the Construction Equipment Segment have been classified as discontinued operations in the financial statements and related discussion and analysis below.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83"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51"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14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Accruals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66"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Income Taxes</w:t>
      </w:r>
    </w:p>
    <w:p>
      <w:pPr>
        <w:spacing w:after="0" w:line="18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5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4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Expense</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2011 and 2010.</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28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September 30,</w:t>
            </w:r>
          </w:p>
        </w:tc>
        <w:tc>
          <w:tcPr>
            <w:tcW w:w="2520" w:type="dxa"/>
            <w:vAlign w:val="bottom"/>
            <w:gridSpan w:val="4"/>
          </w:tcPr>
          <w:p>
            <w:pPr>
              <w:ind w:left="6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61.3%</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68.3%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Lease and rental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of products sold:</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56.4</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Parts and service sales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16.1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Total cost of products sold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4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60" w:type="dxa"/>
            <w:vAlign w:val="bottom"/>
          </w:tcPr>
          <w:p>
            <w:pPr>
              <w:spacing w:after="0"/>
              <w:rPr>
                <w:sz w:val="20"/>
                <w:szCs w:val="20"/>
                <w:color w:val="auto"/>
              </w:rPr>
            </w:pP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79"/>
              </w:rPr>
              <w:t>83.3</w:t>
            </w: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14.9</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12.4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4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8600" w:type="dxa"/>
            <w:vAlign w:val="bottom"/>
            <w:gridSpan w:val="7"/>
          </w:tcPr>
          <w:p>
            <w:pPr>
              <w:ind w:left="38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82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8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September 30,</w:t>
            </w:r>
          </w:p>
        </w:tc>
        <w:tc>
          <w:tcPr>
            <w:tcW w:w="25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27.7%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62.2</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67.6</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Lease and rental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360" w:type="dxa"/>
            <w:vAlign w:val="bottom"/>
          </w:tcPr>
          <w:p>
            <w:pPr>
              <w:spacing w:after="0"/>
              <w:rPr>
                <w:sz w:val="18"/>
                <w:szCs w:val="18"/>
                <w:color w:val="auto"/>
              </w:rPr>
            </w:pPr>
          </w:p>
        </w:tc>
      </w:tr>
      <w:tr>
        <w:trPr>
          <w:trHeight w:val="804"/>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rate (revenue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4"/>
              </w:rPr>
              <w:t>Nine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2010</w:t>
            </w:r>
          </w:p>
        </w:tc>
        <w:tc>
          <w:tcPr>
            <w:tcW w:w="4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4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1,283</w:t>
            </w: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6,180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3,065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797.5%</w:t>
            </w:r>
          </w:p>
        </w:tc>
      </w:tr>
      <w:tr>
        <w:trPr>
          <w:trHeight w:val="27"/>
        </w:trPr>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vehicle unit sales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5,186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Used vehicles</w:t>
            </w:r>
          </w:p>
        </w:tc>
        <w:tc>
          <w:tcPr>
            <w:tcW w:w="14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899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2,474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163.8</w:t>
            </w: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798.2</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386.6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713.8%</w:t>
            </w:r>
          </w:p>
        </w:tc>
      </w:tr>
      <w:tr>
        <w:trPr>
          <w:trHeight w:val="27"/>
        </w:trPr>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vehicle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521.6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Used vehicle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51.8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37.4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145.5</w:t>
            </w:r>
          </w:p>
        </w:tc>
        <w:tc>
          <w:tcPr>
            <w:tcW w:w="4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97.5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w:t>
            </w:r>
          </w:p>
        </w:tc>
      </w:tr>
      <w:tr>
        <w:trPr>
          <w:trHeight w:val="432"/>
        </w:trPr>
        <w:tc>
          <w:tcPr>
            <w:tcW w:w="2760" w:type="dxa"/>
            <w:vAlign w:val="bottom"/>
          </w:tcPr>
          <w:p>
            <w:pPr>
              <w:spacing w:after="0"/>
              <w:rPr>
                <w:sz w:val="20"/>
                <w:szCs w:val="20"/>
                <w:color w:val="auto"/>
              </w:rPr>
            </w:pPr>
            <w:r>
              <w:rPr>
                <w:rFonts w:ascii="Arial" w:cs="Arial" w:eastAsia="Arial" w:hAnsi="Arial"/>
                <w:sz w:val="18"/>
                <w:szCs w:val="18"/>
                <w:b w:val="1"/>
                <w:bCs w:val="1"/>
                <w:color w:val="auto"/>
              </w:rPr>
              <w:t>Absorption rate:</w:t>
            </w:r>
          </w:p>
        </w:tc>
        <w:tc>
          <w:tcPr>
            <w:tcW w:w="1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115.8%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109.1%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103.9%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bl>
    <w:p>
      <w:pPr>
        <w:spacing w:after="0" w:line="107"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sales of truck bodies, trailers and other new equipment.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Absorption Rate</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Management uses several performance metrics to evaluate the performance of its commercial vehicle 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115.8% absorption rate for the third quarter of 2011 and a 112.8% absorption rate for the nine months ended September 30, 2011.</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2011 Compared to Three Months Ended September 30, 2010</w:t>
      </w:r>
    </w:p>
    <w:p>
      <w:pPr>
        <w:spacing w:after="0" w:line="189"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achieved the highest quarterly pre-tax income in the Company’s history during the three months ended September 30, 2011. These record results validate the Company’s efforts to build an organization with a diversified earnings base that is less dependent on the highly cyclical Class 8 truck sales market. For 15 years, the Company has worked to position itself as the premier service solutions provider to the commercial vehicle industry rather than simply a retailer of Class 8 trucks. To accomplish this, the Company focused on expanding its capabilities in less cyclical aftermarket operations, broadening the depth of its commercial vehicle product offerings and expanding its network of Rush Truck Centers.</w:t>
      </w:r>
    </w:p>
    <w:p>
      <w:pPr>
        <w:spacing w:after="0" w:line="13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Once primarily focused on Peterbilt Class 8 truck sales, the Company’s commercial vehicle product line now includes medium-duty and light duty trucks, buses and vocational specialty vehicles such as oilfield vehicles, refuse trucks, tow trucks and truck-mounted cranes. The expansion of the Company’s commercial vehicle product offering has allowed the Company to expand the aftermarket services it provides to a more diverse customer base. The Company’s aftermarket capabilities now include a wide range of products and services, including a fleet of mobile service units, mobile technicians who staff customers’ facilities, a proprietary line of parts and accessories, new diagnostic and analysis capabilities, factory certified service for alternative fuel vehicles and assembly service for specialized bodies and equipment. The Company has invested in facilities, equipment and training to enable it to offer a wider range of higher margin aftermarket products and services to its broader customer base.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has a proven track record of growth through acquisitions and additions of dealerships within its current areas of responsibility. Acquisitions and growth within the Company’s existing areas of responsibility have created geographic diversity that allows it to withstand regional economic downturns and expand service capabilities that better match the footprint of its customer base. Subsidiaries of the Company recently entered into definitive purchase agreements to acquire certain assets of West Texas Peterbilt, which has five locations in West Texas, and Peck Road Ford in Whittier, California. Both acquisitions are scheduled to close in the fourth quarter. The acquisition of West Texas Peterbilt will expand the Company’s representation of Peterbilt in Texas to include the entire state.</w:t>
      </w:r>
    </w:p>
    <w:p>
      <w:pPr>
        <w:spacing w:after="0" w:line="16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also continues to invest in improvements to its existing network of Rush Truck Centers. The Company will relocate its dealerships in Ft. Worth, Texas and Orlando, Florida by the end of 2011, and will relocate its Phoenix, Arizona dealership in early 2012. In the fourth quarter, the Company will also open a new Rush Bus Center in Houston to allow it to better serve its bus customers in the Houston market. The Company recently leased a 237,000 square foot facility in Houston to support demand for oilfield vehicle preparation and service, and established a new 50,000 square foot modification center in the Dallas area that will provide aftermarket services on all makes of trucks.</w:t>
      </w:r>
    </w:p>
    <w:p>
      <w:pPr>
        <w:spacing w:after="0" w:line="153"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The Company’s overall parts, service and body shop sales increased 34.2% in the third quarter of 2011 compared to the third quarter of 2010. This contributed to the Company achieving an absorption rate of 115.8% for the quarter ended September 30, 2011.</w:t>
      </w:r>
    </w:p>
    <w:p>
      <w:pPr>
        <w:spacing w:after="0" w:line="83"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increased deliveries of Class 8 trucks by 92.7% in the third quarter of 2011 compared to the third quarter of 2010. The Company and industry analysts expect a strong recovery in commercial vehicle retail sales in 2011, 2012 and 2013. A.C.T. Research Co., LLC (“A.C.T. Research”), a truck industry data and forecasting service provider, currently predicts U.S. retail sales of Class 8 trucks of approximately 172,200 units in 2011, 214,000 units in 2012, and 245,000 units in 2013, compared to 110,109 units in 2010.</w:t>
      </w:r>
    </w:p>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increased deliveries of new medium-duty vehicles by 119.5% in the third quarter of 2011, compared to the third quarter of last year. A.C.T. Research currently predicts U.S. retail sales of Class 4, 5, 6, and 7 medium-duty commercial vehicles of approximately 144,000 units in 2011, a 24.2% increase from the number of units sold in 2010, 163,000 units in 2012, and 188,000 in 2013.</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Revenues increased $290.6 million, or 71.6%, in the third quarter of 2011, compared to the third quarter of 2010. Sales of new and used commercial vehicles increased $239.0 million, or 96.2%, in the third quarter of 2011, compared to the third quarter of 2010. Our parts, service and body shop revenues increased 34.2% in the third quarter of 2011 compared to 2010. Demand for commercial vehicles has increased as general economic conditions in the United States have improved and credit is being made available on reasonable terms to a wider range of buyers.</w:t>
      </w:r>
    </w:p>
    <w:p>
      <w:pPr>
        <w:spacing w:after="0" w:line="16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Parts and service sales increased $46.5 million, or 34.2%, in the third quarter of 2011 compared to the third quarter of 2010. As commercial vehicle utilization remains high, the Company expects parts, service and body shop sales to continue to remain strong through 2012. The increase in parts and service sales is largely the result of continued aging of commercial vehicles in operation and strong activity by our energy sector customers. The Company expects this level of activity to continue and remains focused on expanding aftermarket product and service offerings.</w:t>
      </w:r>
    </w:p>
    <w:p>
      <w:pPr>
        <w:spacing w:after="0" w:line="14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 sold 2,472 heavy-duty trucks in the third quarter of 2011, a 92.7% increase compared to 1,283 heavy-duty trucks in the third quarter of 2010. According to A.C.T. Research, the U.S. Class 8 truck market increased 56.0% in the third quarter of 2011 compared to the third quarter of 2010. The Company’s share of the U.S. Class 8 truck retail sales market was approximately 4.3% in 2010. The Company expects its market share to range between 5.0% and 5.3% of U.S. Class 8 truck sales in 2011. This market share percentage would result in the sale of approximately 8,600 to 9,100 of Class 8 trucks in 2011 based on A.C.T. Research’s current estimate that U.S. retail sales will increase to 172,200 units in 2011. The Company’s ability to sell this many trucks may be limited by manufacturer and component suppliers’ ability to maintain or increase production over current levels to meet customer demand.</w:t>
      </w:r>
    </w:p>
    <w:p>
      <w:pPr>
        <w:spacing w:after="0" w:line="12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The Company sold 1,427 medium-duty commercial vehicles, including 253 buses, in the third quarter of 2011. This represented a 119.5% increase compared to 650 medium-duty commercial vehicles, including 137 buses, in the third quarter of 2010. Medium-duty commercial vehicle sales continued to be negatively impacted by supply issues faced by several medium-duty truck manufacturers. The Company expects these supply issues to be resolved during the fourth quarter of 2011 and, accordingly, medium-duty commercial vehicle sales to increase in the fourth quarter of 2011 and into 2012. A.C.T. Research estimates that unit sales of Class 4 through 7 commercial vehicles in the U.S. increased approximately 33.0% in the third quarter of 2011 compared to the third quarter of 2010. In 2010, the Company achieved a 2.5% share of the Class 4 through 7 commercial vehicle sales market in the U.S. As a result of acquisitions that occurred during 2010 and the first quarter of 2011, the Company expects its market share to range between 3.5% and 3.8% of U.S. Class 4 through 7 commercial vehicle sales in 2011. This market share percentage would result in the sale of approximately 5,000 to 5,500 of Class 4 through 7 commercial vehicles in 2011 based on A.C.T. Research’s current U.S. retail sales estimates of 144,000 units.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The Company sold 1,170 used commercial vehicles in the third quarter of 2011, a 30.1% increase compared to 899 used commercial vehicles in the third quarter of 2010. The Company expects to sell approximately 4,200 to 4,500 used commercial vehicles in 2011. The Company expects used commercial vehicle sales to be largely dependent upon our ability to acquire quality used commercial vehicles and maintain an adequate used commercial vehicle inventory throughout 2011.</w:t>
      </w:r>
    </w:p>
    <w:p>
      <w:pPr>
        <w:spacing w:after="0" w:line="14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Truck lease and rental revenues increased $3.2 million, or 17.4%, in the third quarter of 2011 compared to the third quarter of 2010. The increase in lease and rental revenue is consistent with management’s expectations, which are based upon the increased number of units put into service in the lease and rental fleet during 2010 and increased rental fleet utilization. The Company expects lease and rental revenue to increase 17% to 20% during 2011, compared to 2010 based on the increase of units in the lease and rental fleet and the acquisition of Lake City International in May 2010.</w:t>
      </w:r>
    </w:p>
    <w:p>
      <w:pPr>
        <w:spacing w:after="0" w:line="14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Finance and insurance revenues increased $0.7 million, or 33.0%, in the third quarter of 2011 compared to the third quarter of 2010. The increase in finance and insurance revenue is a direct result of the increase in new and used commercial vehicle sales. The Company expects finance and insurance revenue to fluctuate proportionately with the Company’s new and used commercial vehicle sales in 2011. Finance and insurance revenues have limited direct costs and, therefore, contribute a disproportionate share of the Company’s operating profits.</w:t>
      </w:r>
    </w:p>
    <w:p>
      <w:pPr>
        <w:spacing w:after="0" w:line="14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revenue increased $1.2 million in the third quarter of 2011 compared to the third quarter of 2010. Other revenue consists primarily of the gain on sale realized on commercial vehicles from the lease and rental fleet, document fees related to commercial vehicle sales, mineral royalties and purchase discounts.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Gross profit increased $35.6 million, or 45.5%, in the third quarter of 2011 compared to the third quarter of 2010. Gross profit as a percentage of sales slightly decreased to 16.3% in the third quarter of 2011 from 19.3% in the third quarter of 2010. This decrease in gross profit as a percentage of sales is primarily a result of a change in our product sales mix. Commercial vehicle sales, a lower margin revenue item, increased as a percentage of total revenue to 70.0% in 2011, from 61.3% in 2010. Parts and service revenue, a higher margin revenue item, decreased as a percentage of total revenue to 26.2% in 2011, from 33.5% in 2010.</w:t>
      </w:r>
    </w:p>
    <w:p>
      <w:pPr>
        <w:spacing w:after="0" w:line="118"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Gross margins from the Company’s parts, service and body shop operations decreased slightly to 38.7% in the third quarter of 2011 from 38.9% in the third quarter of 2010. Gross profit for the parts, service and body shop departments increased to $70.7 million in the third quarter of 2011 from $52.9 million in the third quarter of 2010. The Company expects gross margins on parts, service and body shop operations to be about 39% in 2011.</w:t>
      </w:r>
    </w:p>
    <w:p>
      <w:pPr>
        <w:spacing w:after="0" w:line="160"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Gross margins on Class 8 truck sales decreased slightly to 7.4% in the third quarter of 2011 from 7.5% in the third quarter of 2010. In 2011, the Company expects overall gross margins from Class 8 truck sales of approximately 6.5% to 7.0%.</w:t>
      </w:r>
    </w:p>
    <w:p>
      <w:pPr>
        <w:spacing w:after="0" w:line="10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Gross margins on medium-duty commercial vehicle sales decreased to 5.0% in the third quarter of 2011 from 5.9% in the third quarter of 2010. Gross margins on medium-duty commercial vehicles are difficult to forecast accurately because gross margins vary significantly depending upon the mix of fleet and non-fleet purchasers and types of medium-duty commercial vehicles sold. For 2011, the Company expects overall gross margins from medium-duty commercial vehicle sales of approximately 4.5% to 5.0%, but this will largely depend upon general economic conditions and the mix of purchasers and types of vehicles sold.</w:t>
      </w:r>
    </w:p>
    <w:p>
      <w:pPr>
        <w:spacing w:after="0" w:line="11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Gross margins on used commercial vehicle sales decreased to 9.1% in the third quarter of 2011 from 11.4% in the third quarter of 2010. The Company expects margins on used commercial vehicles to remain between 8.0% and 10.0%, but this will largely depend upon general economic conditions and the availability of quality used vehicles.</w:t>
      </w:r>
    </w:p>
    <w:p>
      <w:pPr>
        <w:spacing w:after="0" w:line="154"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Gross margins from truck lease and rental sales increased to 16.5% in the third quarter of 2011 from approximately 14.6% in the third quarter of 2010. The increase in lease and rental revenue is primarily attributable to increased utilization of vehicles in the Company’s rental fleet and increased variable revenue that is based on the miles that leased vehicles are driven. The Company expects gross margins from lease and rental sales of approximately 16.0% to 18.0%.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Selling, General and Administrative (“SG&amp;A”) expenses increased $19.3 million, or 32.0%, in the third quarter of 2011 compared to the third quarter of 2010. SG&amp;A expenses as a percentage of total revenue decreased to 11.4% in the third quarter of 2011 from 14.9% in the third quarter of 2010. SG&amp;A expenses as a percentage of total revenue have historically ranged from 10.0% to 15.0%. In general, when new and used commercial vehicle revenue decreases as a percentage of revenue, SG&amp;A expenses as a percentage of total revenue will be at, or exceed, the higher end of this range. Historically low commercial vehicle revenue during 2009 and early 2010, caused SG&amp;A expenses as a percentage of sales to rise above this range. For 2011, the Company expects SG&amp;A expenses as a percentage of total revenue to range from 11.0% to 13.0%. For 2011, the Company expects the selling portion of SG&amp;A expenses to be approximately 25% to 30% of new and used commercial vehicle gross profit. In 2011, the Company expects the general and administrative portion of SG&amp;A expenses to increase by approximately 28.0% to 33.0% primarily due to an expected increase in personnel costs related to increased parts and service business, the full year effect of acquisitions made in 2010 and the first quarter of 2011, and the reinstatement of certain employee benefits. The Company will incur ongoing additional costs of approximately $0.3 million to $0.4 million per month related to implementation of SAP software which includes monthly maintenance fees and training expenses. The SAP software was placed into service in August 2011 and the Company incurred additional costs of $0.6 million for the third quarter of 2011.</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Depreciation and amortization expense increased $1.7 million, or 41.9%, in the third quarter of 2011 compared to the third quarter of 2010. The increase in depreciation and amortization expense in the third quarter of 2011 was partially due to the acceleration of depreciation of the leasehold improvements related to the relocation of the Company’s dealership in Orlando, Florida. The Company incurred additional amortization expense of approximately $0.5 during the third quarter of 2011 related to the SAP software that was placed into service in August 2011. The Company expects that it will incur amortization expense of approximately $0.2 million per month related to the SAP software development going forward.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Net interest expense increased $0.5 million, or 39.6%, in the third quarter of 2011 compared to the third quarter of 2010. The Company’s floor plan agreement with GE Capital was modified at the end of 2010, which increased interest rates related to floor plan notes payable, however, net interest expense in 2011 will vary based on inventory levels and cash available for prepayment of floor plan financing. Interest expense will increase by an additional amount of approximately $0.1 million per month due to the fact that the Company discontinued the capitalization of interest on the costs related to the SAP software implementation when the software was placed in service in August 2011.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Income from continuing operations before income taxes increased $14.1 million in the third quarter of 2011 compared to the third quarter of 2010.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Income taxes increased $6.0 million, or 139.2%, in the third quarter of 2011, compared to the third quarter of 2010. The Company provided for taxes at a 39.3% effective rate in the third quarter of 2011 compared to an effective rate of 38.0% in the third quarter of 2010. The Company expects its effective tax rate to be approximately 39% of pretax income in 2011.</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85"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Income from discontinued operations, net of income taxes decreased $6.1 million in the third quarter of 2011 compared to the third quarter of 2010. Income from discontinued operations during 2010 included operating results and a gain of $10.1 million on the disposition for the Company’s construction equipment business, which was sold in September 2010.</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2011 Compared to Nine Months Ended September 30, 2010</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September 30, 2011, Compared to Three Months Ended September 30, 2010.”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Revenues increased $769.6 million, or 74.4%, in the first nine months of 2011, compared to the first nine months of 2010.</w:t>
      </w:r>
    </w:p>
    <w:p>
      <w:pPr>
        <w:spacing w:after="0" w:line="2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Parts and service sales increased $142.1 million, or 39.9%, in the first nine months of 2011, compared to the first nine months of 2010.</w:t>
      </w:r>
    </w:p>
    <w:p>
      <w:pPr>
        <w:spacing w:after="0" w:line="13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sold 6,180 heavy-duty trucks in the first nine months of 2011, a 101.6% increase compared to 3,065 heavy-duty trucks in the first nine months of 2010. According to A.C.T. Research, the U.S. Class 8 truck market increased 49.0% in the first nine months of 2011, compared to the first nine months of 2010.</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sold 3,758 medium-duty commercial vehicles, including 760 buses, in the first nine months of 2011, a 84.2% increase compared to 2,040 medium-duty commercial vehicles, including 340 buses in the first nine months of 2010. A.C.T. Research estimates that unit sales of Class 4 through 7 commercial vehicles in the U.S increased approximately 27.0% in the first nine months of 2011, compared to the first nine months of 2010.</w:t>
      </w:r>
    </w:p>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sold 3,434 used commercial vehicles in the first nine months of 2011, a 38.8% increase compared to 2,474 used commercial vehicles in the first nine months of 2010.</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Truck lease and rental revenues increased $12.4 million, or 25.6%, in the first nine months of 2011, compared to the first nine months of 2010.</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Finance and insurance revenues increased $2.0 million, or 33.3%, in the first nine months of 2011, compared to the first nine months of 2010.</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revenue increased $2.0 million, or 48.2%, in the first nine months of 2011, compared to the first nine months of 2010. Other revenue consists primarily of the gain on sale realized on commercial vehicles from the lease and rental fleet, document fees related to commercial vehicle sales, mineral royalties and purchase discounts.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Gross profit increased $96.2 million, or 46.9%, in the first nine months of 2011, compared to the first nine months of 2010. Gross profit as a percentage of sales decreased to 16.7% in the first nine months of 2011 from 19.8% in the first nine months of 2010.</w:t>
      </w:r>
    </w:p>
    <w:p>
      <w:pPr>
        <w:spacing w:after="0" w:line="97"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Gross margins from the Company’s parts, service and body shop operations increased to 39.0% in the first nine months of 2011, from 38.8% in the first nine months of 2010. Gross profit for the parts, service and body shop departments was $194.5 million in the first nine months of 2011, compared to $138.4 million in the first nine months of 2010.</w:t>
      </w:r>
    </w:p>
    <w:p>
      <w:pPr>
        <w:spacing w:after="0" w:line="12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Gross margins on Class 8 truck sales decreased to 6.9% in the first nine months of 2011, from 7.6% in the first nine months of 2010.</w:t>
      </w:r>
    </w:p>
    <w:p>
      <w:pPr>
        <w:spacing w:after="0" w:line="13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Gross margins on medium-duty commercial vehicle sales decreased to 4.7% in the first nine months of 2011, from 5.9% in the first nine months of 2010.</w:t>
      </w:r>
    </w:p>
    <w:p>
      <w:pPr>
        <w:spacing w:after="0" w:line="14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Gross margins on used commercial vehicle sales decreased to 9.8% in the first nine months of 2011, from 13.2% in the first nine months of 2010.</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Gross margins from truck lease and rental sales increased to 16.6% in the first nine months of 2011, from 14.6% in the first nine months of 2010.</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SG&amp;A expenses increased $59.0 million, or 35.6%, in the first nine months of 2011, compared to the first nine months of 2010.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SG&amp;A expenses as a percentage of sales was 12.5% in the first nine months of 2011 and 16.0% in the first nine months of 2010.</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Depreciation and amortization expense increased $3.2 million, or 28.4%, in the first nine months of 2011 compared to the first nine months of 2010.</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Net interest expense increased $0.6 million, or 15.9%, in the first nine months of 2011, compared to the first nine months of 2010.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Income from continuing operations before income taxes increased $33.8 million in the first nine months of 2011, compared to the first nine months of 2010.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Income taxes increased $13.4 million in the first nine months of 2011, compared to the first nine months of 2010. The Company provided for taxes at a 38.5% rate in the first nine months of 2011, compared to a rate of 39.7% in the first nine months of 2010.</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Income from discontinued operations, net of income taxes decreased $6.7 million in the first nine months of 2011, compared to the first nine months of 2010. Income from discontinued operations includes operating results and a gain of $10.1 million on the disposition for the Company’s construction equipment business which was sold in September 2010.</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or purchase of new facilities. Historically, these cash requirements have been met through the retention of profits, borrowings under our floor plan arrangements and bank financings. The Company does not expect the absence of cash flows from discontinued operations to materially affect future liquidity and capital resources. As of September 30, 2011, the Company had working capital of approximately $163.4 million, including $183.2 million in cash available to fund our operations. The Company believes that these funds are sufficient to meet our operating requirements for at least the next twelve months.</w:t>
      </w:r>
    </w:p>
    <w:p>
      <w:pPr>
        <w:spacing w:after="0" w:line="127"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September 30, 2011,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13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has a secured line of credit that provides for a maximum borrowing of $10.0 million. There were no advances outstanding under this secured line of credit at September 30, 2011, however, $7.7 million was pledged to secure various letters of credit related to self-insurance products, leaving $2.3 million available for future borrowings as of September 30, 2011.</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At September 30, 2011, the Company was in compliance with all debt covenants related to debt secured by real estate and its floor plan credit agreement. The Company does not anticipate any breach of the covenants in the foreseeable future.</w:t>
      </w:r>
    </w:p>
    <w:p>
      <w:pPr>
        <w:spacing w:after="0" w:line="144"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Titan Technology Partners implemented the SAP enterprise software and a new SAP dealership management system for the Company. The total cost of the SAP software and implementation placed in service in August 2011 was $42.5 million. The Company is currently operating several Rush Truck Centers in Texas and a majority of its leasing operations on the SAP enterprise software and SAP dealership management system. The Company plans to convert all of its Rush Truck Centers and leasing operations to the SAP enterprise software and SAP dealership management system over the next three years.</w:t>
      </w:r>
    </w:p>
    <w:p>
      <w:pPr>
        <w:spacing w:after="0" w:line="13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expects to purchase or lease trucks worth approximately $90.0 million for its leasing operations in 2011, depending on customer demand, all of which will be financed. The Company also expects to make capital expenditures for recurring items such as computers, shop tools and equipment and vehicles of approximately $3.0 million to $6.0 million during the remainder of 2011.</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currently anticipates funding its capital expenditures relating to the improvement and expansion of existing facilities and recurring expenses, as well as a portion of the construction or purchase of new facilities through its operating cash flow. The Company expects to finance 70% to 80% of the appraised value of any newly constructed or purchased facilities, which will increase the Company’s cash and cash equivalents by that amount.</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entered into agreements to purchase certain assets of Peck Road Ford in Whittier, California and West Texas Peterbilt, which has five locations in West Texas. The Company anticipates that the purchase price for the assets of Peck Road Ford and West Texas Peterbilt will be paid in cash and partially financed under the Company’s floor plan and accounts receivable financing arrangements and the incurrence of long-term debt for the real estate. The acquisitions are subject to several closing conditions and are expected to close in the fourth quarter of 2011.</w:t>
      </w:r>
    </w:p>
    <w:p>
      <w:pPr>
        <w:spacing w:after="0" w:line="14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has no other material commitments for capital expenditures as of September 30, 2011,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Cash and cash equivalents increased by $14.3 million during the nine months ended September 30, 2011, and increased by $1.8 million during the nine months ended September 30, 2010. The major components of these changes are discussed below. Cash flows from discontinued operations are included in the components of the statement of cash flows as described below.</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nine months of 2011, operating activities resulted in net cash used by operations of $50.5 million. Cash provided by operating activities was primarily impacted by the increase in inventories and accounts receivable which was offset by the increase in accounts payable and accrued expenses. Cash flows from operating activities include net income adjusted for non-cash items and the effects of changes in working capital. During the first nine months of 2010, operating activities resulted in net cash used in operations of $3.7 million. Cash used in operating activities was primarily impacted by the increase in inventories and accounts receivable which was offset by the increase in accounts payable and accrued expenses.</w:t>
      </w:r>
    </w:p>
    <w:p>
      <w:pPr>
        <w:spacing w:after="0" w:line="15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Cash flows from operating activities as adjusted for all draws on floor plan notes, except for floor plan related to inventory acquired in business acquisitions, (“Adjusted Cash Flows from Operating Activities”) was $122.6 million for the nine months ended September 30, 2011, and $54.5 million for the nine months ended September 30, 2010. Generally, all vehicle dealers finance the purchase of vehicles with floor plan borrowings. Our agreements with our floor plan provider require us to repay amounts borrowed for the purchase of such vehicles immediately after they are sold. As a result, changes in floor plan notes payable are directly linked to changes in vehicle inventory. However, as reflected in our consolidated statements of cash flows, changes in inventory are recorded as cash flows from operating activities if such inventory is procured in the normal course of business, or as cash flows from investing activities if such inventory is procured as part of a business acquisition, while all draws on floor plan notes are recorded as cash flows from financing activities.</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flows from operating activities as reported in our consolidated statement of cash flows, as if all changes in floor plan notes payable, except floor plan changes related to acquisitions, were classified as an operating activity (in thousands).</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8"/>
                <w:szCs w:val="18"/>
                <w:color w:val="auto"/>
              </w:rPr>
              <w:t>Nine Months Ended</w:t>
            </w:r>
          </w:p>
        </w:tc>
      </w:tr>
      <w:tr>
        <w:trPr>
          <w:trHeight w:val="230"/>
        </w:trPr>
        <w:tc>
          <w:tcPr>
            <w:tcW w:w="7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8"/>
                <w:szCs w:val="18"/>
                <w:color w:val="auto"/>
              </w:rPr>
              <w:t>September 30,</w:t>
            </w:r>
          </w:p>
        </w:tc>
      </w:tr>
      <w:tr>
        <w:trPr>
          <w:trHeight w:val="210"/>
        </w:trPr>
        <w:tc>
          <w:tcPr>
            <w:tcW w:w="7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 (GAAP)</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Draws on floor plan notes payable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186,347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58,297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draws on floor plan notes payable related to inventory acquired in business acquisitions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300" w:type="dxa"/>
            <w:vAlign w:val="bottom"/>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122,600</w:t>
            </w:r>
          </w:p>
        </w:tc>
        <w:tc>
          <w:tcPr>
            <w:tcW w:w="3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54,548</w:t>
            </w: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Cash flows used in investing activities consist primarily of cash used for capital expenditures and business acquisitions. During the first nine months of 2011, cash used in investing activities was $150.0 million. Capital expenditures consisted of purchases of property and equipment and improvements to our existing dealership facilities of $95.0 million. Property and equipment purchases during the first nine months of 2011 consisted of $60.0 million for additional units for rental and leasing operations, which was directly offset by borrowings of long-term debt, $17.5 million for transportation equipment and $5.5 million related to the SAP software implementation, including capitalized interest. The Company expects to purchase or lease trucks worth approximately $90.0 million for its leasing operations in 2011, depending on customer demand, all of which will be financed. Cash used in business acquisitions was $60.0 million during the first nine months of 2011 (See Note 9 - Acquisitions of Notes to Consolidated Financial Statements). During the remainder of 2011, the Company expects to make capital expenditures for recurring items such as computers, shop equipment and vehicles of approximately $3.0 million to $6.0 million.</w:t>
      </w:r>
    </w:p>
    <w:p>
      <w:pPr>
        <w:spacing w:after="0" w:line="137" w:lineRule="exact"/>
        <w:rPr>
          <w:sz w:val="20"/>
          <w:szCs w:val="20"/>
          <w:color w:val="auto"/>
        </w:rPr>
      </w:pPr>
    </w:p>
    <w:p>
      <w:pPr>
        <w:jc w:val="both"/>
        <w:ind w:left="340" w:right="179" w:firstLine="389"/>
        <w:spacing w:after="0" w:line="276" w:lineRule="auto"/>
        <w:rPr>
          <w:sz w:val="20"/>
          <w:szCs w:val="20"/>
          <w:color w:val="auto"/>
        </w:rPr>
      </w:pPr>
      <w:r>
        <w:rPr>
          <w:rFonts w:ascii="Arial" w:cs="Arial" w:eastAsia="Arial" w:hAnsi="Arial"/>
          <w:sz w:val="17"/>
          <w:szCs w:val="17"/>
          <w:color w:val="auto"/>
        </w:rPr>
        <w:t>During the first nine months of 2010, cash used in investing activities was $52.8 million. Proceeds from the disposition of the equipment centers were $26.2 million. Capital expenditures consisted of purchases of property and equipment and improvements to our existing dealership facilities of $44.6 million. Property and equipment purchases during the first nine months of 2010 consisted of $27.7 million for additional units for rental and leasing operations, which was directly offset by borrowings of long-term debt. Cash used in business acquisitions was $33.7 million during the first nine months of 2010.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Cash provided by financing activities was $214.7 million during the first nine months of 2011. The Company had borrowings of long-term debt of $86.7 million and repayments of long-term debt of $52.2 million and repayments of capital lease obligations of $10.2 million during the first nine months of 2011. The Company had net draws on floor plan notes payable of $186.3 million during the first nine months of 2011. The borrowings of long-term debt were primarily related to units for the rental and leasing operations and refinancing of real estate debt.</w:t>
      </w:r>
    </w:p>
    <w:p>
      <w:pPr>
        <w:spacing w:after="0" w:line="153"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Cash provided by financing activities was $58.4 million during the first nine months of 2010. The Company had borrowings of long-term debt of $46.3 million and repayments of long-term debt of $41.8 million during the first nine months of 2010. The Company had net draws on floor plan notes payable of $58.3 million during the first nine months of 2010. The borrowings of long-term debt were primarily related to units for the rental and leasing operations and refinancing of real estate debt.</w:t>
      </w:r>
    </w:p>
    <w:p>
      <w:pPr>
        <w:spacing w:after="0" w:line="144"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Substantially all of the Company’s commercial vehicle purchases are made on terms requiring payment within 15 days or less from the date the commercial vehicles are invoiced from the factory. We financed substantially all of the purchases of commercial vehicle inventory under our $450.0 million credit agreement with GE Capital. All principal amounts outstanding bear interest at a rate per annum equal to the sum of the LIBOR rate plus 2.95%, which is payable monthly. The credit agreement allows for prepayment of the inventory loans, up to 65% of the aggregate inventory loans outstanding, with monthly adjustments to the interest due. The Company makes monthly interest payments to GE Capital on the amount financed, but is not required to commence loan principal repayments on any vehicle until such vehicle has been financed for 12 months or is sold. On September 30, 2011, the Company had approximately $407.4 million outstanding under its credit agreement with GE Capital.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Navistar Financial Corporation offers a floor plan program that provides an interest free financing period, which varies depending on the commercial vehicle purchased. If the commercial vehicle financed by Navistar is not sold within the interest free finance period, the Company transfers the financed commercial vehicle to the GE Capital credit agreement. On September 30, 2011, the Company had approximately $16.8 million outstanding under the floor plan program with Navistar Financial Corporation.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September 30, 2011, the Company’s backlog of commercial vehicle orders was approximately $696.0 million compared to a backlog of commercial vehicle orders of approximately $217.8 million on September 30, 2010. The Company includes only confirmed orders in its backlog. The delivery time for a custom-ordered commercial vehicle varies depending on the truck specifications and demand for the particular model ordered, however, the Company expects to fill all of its backlog orders during 2011. The Company sells the majority of its new commercial vehicles by customer special order, with the remainder sold out of inventory. Orders from a number of the Company’s major fleet customers are included in the Company’s backlog as of September 30, 2011.</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Cyclicality</w:t>
      </w:r>
    </w:p>
    <w:p>
      <w:pPr>
        <w:spacing w:after="0" w:line="185"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5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3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38"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In 2010, the EPA and the U.S. Department of Transportation (DOT) announced the first national standards to reduce greenhouse gas (GHG) emissions and improve fuel efficiency of heavy-duty trucks and buses beginning in model year 2014. In 2011, the EPA and the DOT’s National Highway Traffic Safety Administration adopted standards for CO2 emissions and fuel consumption tailored to three categories of commercial vehicles: combination tractors (the main power unit portion of a tractor-trailer combined vehicle), heavy-duty pickup trucks and vans, and vocational vehicles (delivery trucks, buses and garbage truck). These new standards require that combination tractors achieve up to a 20% reduction in fuel consumption and greenhouse gas emissions by model year 2018, heavy-duty pickup trucks and vans achieve up to a 15% reduction in fuel consumption and greenhouse gas emissions by model year 2018 and vocational vehicles achieve up to a 10% reduction in fuel consumption and greenhouse gas emissions by model year 2018. Additionally, the EPA adopted standards for N2O and CH4 to ensure N2O and CH4 emissions do not increase above currently controlled levels.</w:t>
      </w:r>
    </w:p>
    <w:p>
      <w:pPr>
        <w:spacing w:after="0" w:line="168"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4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83"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September 30, 2011, the Company had floor plan borrowings and variable interest rate real estate debt of approximately $531.5 million. Assuming an increase or decrease in LIBOR of 100 basis points, annual interest expense could correspondingly increase or decrease by approximately $5.3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2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September 30, 2011, the Company has interest rate swaps with a total notional amount of $45.0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6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$183.2 million on September 30, 2011.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$1.8 million.</w:t>
      </w:r>
    </w:p>
    <w:p>
      <w:pPr>
        <w:spacing w:after="0" w:line="14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September 30, 2011,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2011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5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September 30, 2011 that has materially affected, or is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2010 Annual Report on Form 10-K (the “2010 Annual Report”) describes some of the risks and uncertainties associated with our business that have the potential to materially affect our business, financial condition or results of operations.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has been no material change in our risk factors disclosed in our 2010 Annual Report.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2011.</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third quarter of 2011.</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82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3.1</w:t>
            </w: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6"/>
              </w:rPr>
              <w:t>the Company’s Quarterly Report on Form 10-Q (File No. 000-20797) for the quarter ended June 30, 2008)</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5"/>
              </w:rPr>
              <w:t>Company’s Quarterly Report on Form 10-Q (File No. 000-20797) filed for the quarter ended June 30, 2009)</w:t>
            </w:r>
          </w:p>
        </w:tc>
      </w:tr>
      <w:tr>
        <w:trPr>
          <w:trHeight w:val="418"/>
        </w:trPr>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9"/>
              </w:rPr>
              <w:t>Certification of CEO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Sarbanes-Oxley Act of 2002.</w:t>
            </w:r>
          </w:p>
        </w:tc>
      </w:tr>
      <w:tr>
        <w:trPr>
          <w:trHeight w:val="418"/>
        </w:trPr>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9"/>
              </w:rPr>
              <w:t>Certification of CFO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Sarbanes-Oxley Act of 2002.</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Oxley Act of 2002.</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Oxley Act of 2002.</w:t>
            </w:r>
          </w:p>
        </w:tc>
      </w:tr>
    </w:tbl>
    <w:p>
      <w:pPr>
        <w:spacing w:after="0" w:line="202" w:lineRule="exact"/>
        <w:rPr>
          <w:sz w:val="20"/>
          <w:szCs w:val="20"/>
          <w:color w:val="auto"/>
        </w:rPr>
      </w:pPr>
    </w:p>
    <w:p>
      <w:pPr>
        <w:ind w:left="1880" w:right="319" w:hanging="1039"/>
        <w:spacing w:after="0" w:line="255" w:lineRule="auto"/>
        <w:tabs>
          <w:tab w:leader="none" w:pos="1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Rush Enterprises, Inc.’s Quarterly Report on Form 10-Q for the quarter ended September 30, 2011, formatted in XBRL (eXtensible Business Reporting Language): (i) Consolidated Balance Sheets as of September 30, 2011 and December 31, 2010; (ii) Consolidated Statements of Income for the three and nine months ended September 30, 2011 and 2010; (iii) Consolidated Statements of Cash Flows for the nine months ended September 30, 2011 and 2010; and (iv) Notes to Consolidated Financial Statements (tagged as blocks of text).</w:t>
      </w:r>
    </w:p>
    <w:p>
      <w:pPr>
        <w:spacing w:after="0" w:line="99" w:lineRule="exact"/>
        <w:rPr>
          <w:sz w:val="20"/>
          <w:szCs w:val="20"/>
          <w:color w:val="auto"/>
        </w:rPr>
      </w:pPr>
    </w:p>
    <w:p>
      <w:pPr>
        <w:ind w:left="340" w:right="5179" w:hanging="8"/>
        <w:spacing w:after="0" w:line="328" w:lineRule="auto"/>
        <w:tabs>
          <w:tab w:leader="none" w:pos="732"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77" w:lineRule="exact"/>
        <w:rPr>
          <w:sz w:val="20"/>
          <w:szCs w:val="20"/>
          <w:color w:val="auto"/>
        </w:rPr>
      </w:pPr>
    </w:p>
    <w:p>
      <w:pPr>
        <w:jc w:val="both"/>
        <w:ind w:left="720" w:right="159" w:hanging="388"/>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gridSpan w:val="3"/>
          </w:tcPr>
          <w:p>
            <w:pPr>
              <w:ind w:left="1320"/>
              <w:spacing w:after="0"/>
              <w:rPr>
                <w:sz w:val="20"/>
                <w:szCs w:val="20"/>
                <w:color w:val="auto"/>
              </w:rPr>
            </w:pPr>
            <w:r>
              <w:rPr>
                <w:rFonts w:ascii="Arial" w:cs="Arial" w:eastAsia="Arial" w:hAnsi="Arial"/>
                <w:sz w:val="18"/>
                <w:szCs w:val="18"/>
                <w:color w:val="auto"/>
              </w:rPr>
              <w:t>RUSH ENTERPRISES, INC.</w:t>
            </w:r>
          </w:p>
        </w:tc>
      </w:tr>
      <w:tr>
        <w:trPr>
          <w:trHeight w:val="432"/>
        </w:trPr>
        <w:tc>
          <w:tcPr>
            <w:tcW w:w="3420" w:type="dxa"/>
            <w:vAlign w:val="bottom"/>
          </w:tcPr>
          <w:p>
            <w:pPr>
              <w:ind w:left="340"/>
              <w:spacing w:after="0"/>
              <w:rPr>
                <w:sz w:val="20"/>
                <w:szCs w:val="20"/>
                <w:color w:val="auto"/>
              </w:rPr>
            </w:pPr>
            <w:r>
              <w:rPr>
                <w:rFonts w:ascii="Arial" w:cs="Arial" w:eastAsia="Arial" w:hAnsi="Arial"/>
                <w:sz w:val="18"/>
                <w:szCs w:val="18"/>
                <w:color w:val="auto"/>
              </w:rPr>
              <w:t>Date: November 9, 2011</w:t>
            </w:r>
          </w:p>
        </w:tc>
        <w:tc>
          <w:tcPr>
            <w:tcW w:w="8000" w:type="dxa"/>
            <w:vAlign w:val="bottom"/>
            <w:gridSpan w:val="3"/>
          </w:tcPr>
          <w:p>
            <w:pPr>
              <w:ind w:left="1320"/>
              <w:spacing w:after="0"/>
              <w:rPr>
                <w:sz w:val="20"/>
                <w:szCs w:val="20"/>
                <w:color w:val="auto"/>
              </w:rPr>
            </w:pPr>
            <w:r>
              <w:rPr>
                <w:rFonts w:ascii="Arial" w:cs="Arial" w:eastAsia="Arial" w:hAnsi="Arial"/>
                <w:sz w:val="18"/>
                <w:szCs w:val="18"/>
                <w:color w:val="auto"/>
              </w:rPr>
              <w:t>By: /S/ W.M. “RUSTY” RUSH</w:t>
            </w:r>
          </w:p>
        </w:tc>
      </w:tr>
      <w:tr>
        <w:trPr>
          <w:trHeight w:val="195"/>
        </w:trPr>
        <w:tc>
          <w:tcPr>
            <w:tcW w:w="3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274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420" w:type="dxa"/>
            <w:vAlign w:val="bottom"/>
          </w:tcPr>
          <w:p>
            <w:pPr>
              <w:ind w:left="340"/>
              <w:spacing w:after="0"/>
              <w:rPr>
                <w:sz w:val="20"/>
                <w:szCs w:val="20"/>
                <w:color w:val="auto"/>
              </w:rPr>
            </w:pPr>
            <w:r>
              <w:rPr>
                <w:rFonts w:ascii="Arial" w:cs="Arial" w:eastAsia="Arial" w:hAnsi="Arial"/>
                <w:sz w:val="18"/>
                <w:szCs w:val="18"/>
                <w:color w:val="auto"/>
              </w:rPr>
              <w:t>Date: November 9, 2011</w:t>
            </w:r>
          </w:p>
        </w:tc>
        <w:tc>
          <w:tcPr>
            <w:tcW w:w="8000" w:type="dxa"/>
            <w:vAlign w:val="bottom"/>
            <w:gridSpan w:val="3"/>
          </w:tcPr>
          <w:p>
            <w:pPr>
              <w:ind w:left="1320"/>
              <w:spacing w:after="0"/>
              <w:rPr>
                <w:sz w:val="20"/>
                <w:szCs w:val="20"/>
                <w:color w:val="auto"/>
              </w:rPr>
            </w:pPr>
            <w:r>
              <w:rPr>
                <w:rFonts w:ascii="Arial" w:cs="Arial" w:eastAsia="Arial" w:hAnsi="Arial"/>
                <w:sz w:val="18"/>
                <w:szCs w:val="18"/>
                <w:color w:val="auto"/>
              </w:rPr>
              <w:t>By: /S/ STEVEN L. KELLER</w:t>
            </w:r>
          </w:p>
        </w:tc>
      </w:tr>
      <w:tr>
        <w:trPr>
          <w:trHeight w:val="195"/>
        </w:trPr>
        <w:tc>
          <w:tcPr>
            <w:tcW w:w="3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274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83"/>
        </w:trPr>
        <w:tc>
          <w:tcPr>
            <w:tcW w:w="3420" w:type="dxa"/>
            <w:vAlign w:val="bottom"/>
          </w:tcPr>
          <w:p>
            <w:pPr>
              <w:spacing w:after="0"/>
              <w:rPr>
                <w:sz w:val="24"/>
                <w:szCs w:val="24"/>
                <w:color w:val="auto"/>
              </w:rPr>
            </w:pPr>
          </w:p>
        </w:tc>
        <w:tc>
          <w:tcPr>
            <w:tcW w:w="5260" w:type="dxa"/>
            <w:vAlign w:val="bottom"/>
            <w:gridSpan w:val="2"/>
          </w:tcPr>
          <w:p>
            <w:pPr>
              <w:ind w:left="1680"/>
              <w:spacing w:after="0"/>
              <w:rPr>
                <w:sz w:val="20"/>
                <w:szCs w:val="20"/>
                <w:color w:val="auto"/>
              </w:rPr>
            </w:pPr>
            <w:r>
              <w:rPr>
                <w:rFonts w:ascii="Arial" w:cs="Arial" w:eastAsia="Arial" w:hAnsi="Arial"/>
                <w:sz w:val="18"/>
                <w:szCs w:val="18"/>
                <w:color w:val="auto"/>
              </w:rPr>
              <w:t>31</w:t>
            </w:r>
          </w:p>
        </w:tc>
        <w:tc>
          <w:tcPr>
            <w:tcW w:w="2740" w:type="dxa"/>
            <w:vAlign w:val="bottom"/>
          </w:tcPr>
          <w:p>
            <w:pPr>
              <w:spacing w:after="0"/>
              <w:rPr>
                <w:sz w:val="24"/>
                <w:szCs w:val="24"/>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Table of Contents</w:t>
              </w:r>
            </w:hyperlink>
          </w:p>
        </w:tc>
        <w:tc>
          <w:tcPr>
            <w:tcW w:w="4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Pr>
          <w:p>
            <w:pPr>
              <w:ind w:left="29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5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6"/>
              </w:rPr>
              <w:t>Exhibit</w:t>
            </w:r>
          </w:p>
        </w:tc>
        <w:tc>
          <w:tcPr>
            <w:tcW w:w="4380" w:type="dxa"/>
            <w:vAlign w:val="bottom"/>
          </w:tcPr>
          <w:p>
            <w:pPr>
              <w:spacing w:after="0"/>
              <w:rPr>
                <w:sz w:val="24"/>
                <w:szCs w:val="24"/>
                <w:color w:val="auto"/>
              </w:rPr>
            </w:pPr>
          </w:p>
        </w:tc>
      </w:tr>
      <w:tr>
        <w:trPr>
          <w:trHeight w:val="234"/>
        </w:trPr>
        <w:tc>
          <w:tcPr>
            <w:tcW w:w="15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4"/>
              </w:rPr>
              <w:t>Number</w:t>
            </w:r>
          </w:p>
        </w:tc>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Exhibit Title</w:t>
            </w:r>
          </w:p>
        </w:tc>
      </w:tr>
    </w:tbl>
    <w:p>
      <w:pPr>
        <w:ind w:left="1700" w:right="319" w:hanging="895"/>
        <w:spacing w:after="0" w:line="276" w:lineRule="auto"/>
        <w:tabs>
          <w:tab w:leader="none" w:pos="1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CEO pursuant to Rules 13a-14(a) and 15d-14(a)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-301625</wp:posOffset>
            </wp:positionV>
            <wp:extent cx="6174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5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8520" w:type="dxa"/>
            <w:vAlign w:val="bottom"/>
          </w:tcPr>
          <w:p>
            <w:pPr>
              <w:ind w:left="200"/>
              <w:spacing w:after="0"/>
              <w:rPr>
                <w:sz w:val="20"/>
                <w:szCs w:val="20"/>
                <w:color w:val="auto"/>
              </w:rPr>
            </w:pPr>
            <w:r>
              <w:rPr>
                <w:rFonts w:ascii="Arial" w:cs="Arial" w:eastAsia="Arial" w:hAnsi="Arial"/>
                <w:sz w:val="18"/>
                <w:szCs w:val="18"/>
                <w:color w:val="auto"/>
                <w:w w:val="91"/>
              </w:rPr>
              <w:t>Certification of CFO pursuant to Rules 13a-14(a) and 15d-14(a) adopted pursuant to Section 302 of the Sarbanes-</w:t>
            </w:r>
          </w:p>
        </w:tc>
      </w:tr>
      <w:tr>
        <w:trPr>
          <w:trHeight w:val="230"/>
        </w:trPr>
        <w:tc>
          <w:tcPr>
            <w:tcW w:w="700" w:type="dxa"/>
            <w:vAlign w:val="bottom"/>
          </w:tcPr>
          <w:p>
            <w:pPr>
              <w:spacing w:after="0"/>
              <w:rPr>
                <w:sz w:val="20"/>
                <w:szCs w:val="20"/>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8520" w:type="dxa"/>
            <w:vAlign w:val="bottom"/>
          </w:tcPr>
          <w:p>
            <w:pPr>
              <w:ind w:left="200"/>
              <w:spacing w:after="0"/>
              <w:rPr>
                <w:sz w:val="20"/>
                <w:szCs w:val="20"/>
                <w:color w:val="auto"/>
              </w:rPr>
            </w:pPr>
            <w:r>
              <w:rPr>
                <w:rFonts w:ascii="Arial" w:cs="Arial" w:eastAsia="Arial" w:hAnsi="Arial"/>
                <w:sz w:val="18"/>
                <w:szCs w:val="18"/>
                <w:color w:val="auto"/>
                <w:w w:val="90"/>
              </w:rPr>
              <w:t>Certification of CEO pursuant to 18 U.S.C. Section 1350 as adopted pursuant to Section 906 of the Sarbanes-Oxley</w:t>
            </w:r>
          </w:p>
        </w:tc>
      </w:tr>
      <w:tr>
        <w:trPr>
          <w:trHeight w:val="230"/>
        </w:trPr>
        <w:tc>
          <w:tcPr>
            <w:tcW w:w="700" w:type="dxa"/>
            <w:vAlign w:val="bottom"/>
          </w:tcPr>
          <w:p>
            <w:pPr>
              <w:spacing w:after="0"/>
              <w:rPr>
                <w:sz w:val="20"/>
                <w:szCs w:val="20"/>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8520" w:type="dxa"/>
            <w:vAlign w:val="bottom"/>
          </w:tcPr>
          <w:p>
            <w:pPr>
              <w:ind w:left="200"/>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w:t>
            </w:r>
          </w:p>
        </w:tc>
      </w:tr>
      <w:tr>
        <w:trPr>
          <w:trHeight w:val="230"/>
        </w:trPr>
        <w:tc>
          <w:tcPr>
            <w:tcW w:w="700" w:type="dxa"/>
            <w:vAlign w:val="bottom"/>
          </w:tcPr>
          <w:p>
            <w:pPr>
              <w:spacing w:after="0"/>
              <w:rPr>
                <w:sz w:val="20"/>
                <w:szCs w:val="20"/>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Act of 2002.</w:t>
            </w:r>
          </w:p>
        </w:tc>
      </w:tr>
    </w:tbl>
    <w:p>
      <w:pPr>
        <w:spacing w:after="0" w:line="202" w:lineRule="exact"/>
        <w:rPr>
          <w:sz w:val="20"/>
          <w:szCs w:val="20"/>
          <w:color w:val="auto"/>
        </w:rPr>
      </w:pPr>
    </w:p>
    <w:p>
      <w:pPr>
        <w:ind w:left="1700" w:right="239" w:hanging="859"/>
        <w:spacing w:after="0" w:line="255" w:lineRule="auto"/>
        <w:tabs>
          <w:tab w:leader="none" w:pos="1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Rush Enterprises, Inc.’s Quarterly Report on Form 10-Q for the quarter ended September 30, 2011, formatted in XBRL (eXtensible Business Reporting Language): (i) Consolidated Balance Sheets as of September 30, 2011 and December 31, 2010; (ii) Consolidated Statements of Income for the three and nine months ended September 30, 2011 and 2010; (iii) Consolidated Statements of Cash Flows for the nine months ended September 30, 2011 and 2010; and (iv) Notes to Consolidated Financial Statements (tagged as blocks of text).</w:t>
      </w:r>
    </w:p>
    <w:p>
      <w:pPr>
        <w:spacing w:after="0" w:line="99"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jc w:val="both"/>
        <w:ind w:left="720" w:right="159" w:hanging="388"/>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05" w:right="1440" w:bottom="1440" w:gutter="0" w:footer="0" w:header="0"/>
        </w:sectPr>
      </w:pPr>
    </w:p>
    <w:bookmarkStart w:id="33" w:name="page34"/>
    <w:bookmarkEnd w:id="33"/>
    <w:p>
      <w:pPr>
        <w:jc w:val="right"/>
        <w:ind w:right="159"/>
        <w:spacing w:after="0"/>
        <w:rPr>
          <w:sz w:val="20"/>
          <w:szCs w:val="20"/>
          <w:color w:val="auto"/>
        </w:rPr>
      </w:pPr>
      <w:r>
        <w:rPr>
          <w:rFonts w:ascii="Arial" w:cs="Arial" w:eastAsia="Arial" w:hAnsi="Arial"/>
          <w:sz w:val="18"/>
          <w:szCs w:val="18"/>
          <w:u w:val="single" w:color="auto"/>
          <w:color w:val="auto"/>
        </w:rPr>
        <w:t>EXHIBIT 31.1</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W.M. “Rusty” Rush, certify that:</w:t>
      </w:r>
    </w:p>
    <w:p>
      <w:pPr>
        <w:spacing w:after="0" w:line="185" w:lineRule="exact"/>
        <w:rPr>
          <w:sz w:val="20"/>
          <w:szCs w:val="20"/>
          <w:color w:val="auto"/>
        </w:rPr>
      </w:pPr>
    </w:p>
    <w:p>
      <w:pPr>
        <w:ind w:left="188" w:hanging="188"/>
        <w:spacing w:after="0"/>
        <w:tabs>
          <w:tab w:leader="none" w:pos="188"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November 9, 2011</w:t>
            </w:r>
          </w:p>
        </w:tc>
        <w:tc>
          <w:tcPr>
            <w:tcW w:w="5200" w:type="dxa"/>
            <w:vAlign w:val="bottom"/>
            <w:gridSpan w:val="2"/>
          </w:tcPr>
          <w:p>
            <w:pPr>
              <w:ind w:left="1360"/>
              <w:spacing w:after="0"/>
              <w:rPr>
                <w:sz w:val="20"/>
                <w:szCs w:val="20"/>
                <w:color w:val="auto"/>
              </w:rPr>
            </w:pPr>
            <w:r>
              <w:rPr>
                <w:rFonts w:ascii="Arial" w:cs="Arial" w:eastAsia="Arial" w:hAnsi="Arial"/>
                <w:sz w:val="18"/>
                <w:szCs w:val="18"/>
                <w:color w:val="auto"/>
              </w:rPr>
              <w:t>By: /S/ W.M. “RUSTY” RUSH</w:t>
            </w:r>
          </w:p>
        </w:tc>
      </w:tr>
      <w:tr>
        <w:trPr>
          <w:trHeight w:val="195"/>
        </w:trPr>
        <w:tc>
          <w:tcPr>
            <w:tcW w:w="3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34" w:name="page35"/>
    <w:bookmarkEnd w:id="34"/>
    <w:p>
      <w:pPr>
        <w:jc w:val="right"/>
        <w:ind w:right="159"/>
        <w:spacing w:after="0"/>
        <w:rPr>
          <w:sz w:val="20"/>
          <w:szCs w:val="20"/>
          <w:color w:val="auto"/>
        </w:rPr>
      </w:pPr>
      <w:r>
        <w:rPr>
          <w:rFonts w:ascii="Arial" w:cs="Arial" w:eastAsia="Arial" w:hAnsi="Arial"/>
          <w:sz w:val="18"/>
          <w:szCs w:val="18"/>
          <w:u w:val="single" w:color="auto"/>
          <w:color w:val="auto"/>
        </w:rPr>
        <w:t>EXHIBIT 31.2</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Date: November 9, 2011</w:t>
            </w:r>
          </w:p>
        </w:tc>
        <w:tc>
          <w:tcPr>
            <w:tcW w:w="5280" w:type="dxa"/>
            <w:vAlign w:val="bottom"/>
            <w:gridSpan w:val="3"/>
          </w:tcPr>
          <w:p>
            <w:pPr>
              <w:ind w:left="1320"/>
              <w:spacing w:after="0"/>
              <w:rPr>
                <w:sz w:val="20"/>
                <w:szCs w:val="20"/>
                <w:color w:val="auto"/>
              </w:rPr>
            </w:pPr>
            <w:r>
              <w:rPr>
                <w:rFonts w:ascii="Arial" w:cs="Arial" w:eastAsia="Arial" w:hAnsi="Arial"/>
                <w:sz w:val="18"/>
                <w:szCs w:val="18"/>
                <w:color w:val="auto"/>
              </w:rPr>
              <w:t>By: /S/ STEVEN L. KELLER</w:t>
            </w:r>
          </w:p>
        </w:tc>
      </w:tr>
      <w:tr>
        <w:trPr>
          <w:trHeight w:val="195"/>
        </w:trPr>
        <w:tc>
          <w:tcPr>
            <w:tcW w:w="3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2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3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9887"/>
          </w:cols>
          <w:pgMar w:left="572" w:top="125" w:right="1440" w:bottom="1440" w:gutter="0" w:footer="0" w:header="0"/>
        </w:sectPr>
      </w:pPr>
    </w:p>
    <w:bookmarkStart w:id="35" w:name="page36"/>
    <w:bookmarkEnd w:id="35"/>
    <w:p>
      <w:pPr>
        <w:ind w:left="8640"/>
        <w:spacing w:after="0"/>
        <w:rPr>
          <w:sz w:val="20"/>
          <w:szCs w:val="20"/>
          <w:color w:val="auto"/>
        </w:rPr>
      </w:pPr>
      <w:r>
        <w:rPr>
          <w:rFonts w:ascii="Arial" w:cs="Arial" w:eastAsia="Arial" w:hAnsi="Arial"/>
          <w:sz w:val="17"/>
          <w:szCs w:val="17"/>
          <w:u w:val="single" w:color="auto"/>
          <w:color w:val="auto"/>
        </w:rPr>
        <w:t>EXHIBIT 32.1</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2011,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W.M. “RUSTY” RUSH</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Date: November 9, 2011</w:t>
      </w:r>
    </w:p>
    <w:p>
      <w:pPr>
        <w:spacing w:after="0" w:line="184"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5" w:right="1440" w:bottom="1440" w:gutter="0" w:footer="0" w:header="0"/>
        </w:sectPr>
      </w:pPr>
    </w:p>
    <w:bookmarkStart w:id="36" w:name="page37"/>
    <w:bookmarkEnd w:id="36"/>
    <w:p>
      <w:pPr>
        <w:ind w:left="8640"/>
        <w:spacing w:after="0"/>
        <w:rPr>
          <w:sz w:val="20"/>
          <w:szCs w:val="20"/>
          <w:color w:val="auto"/>
        </w:rPr>
      </w:pPr>
      <w:r>
        <w:rPr>
          <w:rFonts w:ascii="Arial" w:cs="Arial" w:eastAsia="Arial" w:hAnsi="Arial"/>
          <w:sz w:val="17"/>
          <w:szCs w:val="17"/>
          <w:u w:val="single" w:color="auto"/>
          <w:color w:val="auto"/>
        </w:rPr>
        <w:t>EXHIBIT 32.2</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2011,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-130810</wp:posOffset>
            </wp:positionV>
            <wp:extent cx="27101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Date: November 9, 2011</w:t>
      </w:r>
    </w:p>
    <w:p>
      <w:pPr>
        <w:spacing w:after="0" w:line="184"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2019-12-10T15:20:44Z</dcterms:created>
  <dcterms:modified xsi:type="dcterms:W3CDTF">2019-12-10T15:20:44Z</dcterms:modified>
</cp:coreProperties>
</file>