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10-K</w:t>
      </w:r>
    </w:p>
    <w:p>
      <w:pPr>
        <w:spacing w:after="0" w:line="186"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0-20797</w:t>
      </w:r>
    </w:p>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color w:val="auto"/>
        </w:rPr>
        <w:t>RUSH ENTERPRISES, INC.</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540" w:type="dxa"/>
        <w:tblCellMar>
          <w:top w:w="0" w:type="dxa"/>
          <w:left w:w="0" w:type="dxa"/>
          <w:bottom w:w="0" w:type="dxa"/>
          <w:right w:w="0" w:type="dxa"/>
        </w:tblCellMar>
      </w:tblPr>
      <w:tr>
        <w:trPr>
          <w:trHeight w:val="220"/>
        </w:trPr>
        <w:tc>
          <w:tcPr>
            <w:tcW w:w="5080" w:type="dxa"/>
            <w:vAlign w:val="bottom"/>
          </w:tcPr>
          <w:p>
            <w:pPr>
              <w:jc w:val="center"/>
              <w:ind w:right="690"/>
              <w:spacing w:after="0"/>
              <w:rPr>
                <w:sz w:val="20"/>
                <w:szCs w:val="20"/>
                <w:color w:val="auto"/>
              </w:rPr>
            </w:pPr>
            <w:r>
              <w:rPr>
                <w:rFonts w:ascii="Arial" w:cs="Arial" w:eastAsia="Arial" w:hAnsi="Arial"/>
                <w:sz w:val="18"/>
                <w:szCs w:val="18"/>
                <w:b w:val="1"/>
                <w:bCs w:val="1"/>
                <w:color w:val="auto"/>
                <w:w w:val="82"/>
              </w:rPr>
              <w:t>Texas</w:t>
            </w:r>
          </w:p>
        </w:tc>
        <w:tc>
          <w:tcPr>
            <w:tcW w:w="3380" w:type="dxa"/>
            <w:vAlign w:val="bottom"/>
          </w:tcPr>
          <w:p>
            <w:pPr>
              <w:jc w:val="right"/>
              <w:ind w:right="790"/>
              <w:spacing w:after="0"/>
              <w:rPr>
                <w:sz w:val="20"/>
                <w:szCs w:val="20"/>
                <w:color w:val="auto"/>
              </w:rPr>
            </w:pPr>
            <w:r>
              <w:rPr>
                <w:rFonts w:ascii="Arial" w:cs="Arial" w:eastAsia="Arial" w:hAnsi="Arial"/>
                <w:sz w:val="18"/>
                <w:szCs w:val="18"/>
                <w:b w:val="1"/>
                <w:bCs w:val="1"/>
                <w:color w:val="auto"/>
              </w:rPr>
              <w:t>74-1733016</w:t>
            </w:r>
          </w:p>
        </w:tc>
      </w:tr>
      <w:tr>
        <w:trPr>
          <w:trHeight w:val="230"/>
        </w:trPr>
        <w:tc>
          <w:tcPr>
            <w:tcW w:w="5080" w:type="dxa"/>
            <w:vAlign w:val="bottom"/>
          </w:tcPr>
          <w:p>
            <w:pPr>
              <w:jc w:val="center"/>
              <w:ind w:right="6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380" w:type="dxa"/>
            <w:vAlign w:val="bottom"/>
          </w:tcPr>
          <w:p>
            <w:pPr>
              <w:jc w:val="center"/>
              <w:ind w:left="6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080" w:type="dxa"/>
            <w:vAlign w:val="bottom"/>
          </w:tcPr>
          <w:p>
            <w:pPr>
              <w:jc w:val="center"/>
              <w:ind w:right="690"/>
              <w:spacing w:after="0"/>
              <w:rPr>
                <w:sz w:val="20"/>
                <w:szCs w:val="20"/>
                <w:color w:val="auto"/>
              </w:rPr>
            </w:pPr>
            <w:r>
              <w:rPr>
                <w:rFonts w:ascii="Arial" w:cs="Arial" w:eastAsia="Arial" w:hAnsi="Arial"/>
                <w:sz w:val="18"/>
                <w:szCs w:val="18"/>
                <w:b w:val="1"/>
                <w:bCs w:val="1"/>
                <w:color w:val="auto"/>
                <w:w w:val="93"/>
              </w:rPr>
              <w:t>555 IH 35 South, New Braunfels, TX</w:t>
            </w:r>
          </w:p>
        </w:tc>
        <w:tc>
          <w:tcPr>
            <w:tcW w:w="3380" w:type="dxa"/>
            <w:vAlign w:val="bottom"/>
          </w:tcPr>
          <w:p>
            <w:pPr>
              <w:jc w:val="right"/>
              <w:ind w:right="990"/>
              <w:spacing w:after="0"/>
              <w:rPr>
                <w:sz w:val="20"/>
                <w:szCs w:val="20"/>
                <w:color w:val="auto"/>
              </w:rPr>
            </w:pPr>
            <w:r>
              <w:rPr>
                <w:rFonts w:ascii="Arial" w:cs="Arial" w:eastAsia="Arial" w:hAnsi="Arial"/>
                <w:sz w:val="18"/>
                <w:szCs w:val="18"/>
                <w:b w:val="1"/>
                <w:bCs w:val="1"/>
                <w:color w:val="auto"/>
              </w:rPr>
              <w:t>78130</w:t>
            </w:r>
          </w:p>
        </w:tc>
      </w:tr>
      <w:tr>
        <w:trPr>
          <w:trHeight w:val="230"/>
        </w:trPr>
        <w:tc>
          <w:tcPr>
            <w:tcW w:w="5080" w:type="dxa"/>
            <w:vAlign w:val="bottom"/>
          </w:tcPr>
          <w:p>
            <w:pPr>
              <w:jc w:val="center"/>
              <w:ind w:right="690"/>
              <w:spacing w:after="0"/>
              <w:rPr>
                <w:sz w:val="20"/>
                <w:szCs w:val="20"/>
                <w:color w:val="auto"/>
              </w:rPr>
            </w:pPr>
            <w:r>
              <w:rPr>
                <w:rFonts w:ascii="Arial" w:cs="Arial" w:eastAsia="Arial" w:hAnsi="Arial"/>
                <w:sz w:val="18"/>
                <w:szCs w:val="18"/>
                <w:color w:val="auto"/>
                <w:w w:val="92"/>
              </w:rPr>
              <w:t>(Address of principal executive offices)</w:t>
            </w:r>
          </w:p>
        </w:tc>
        <w:tc>
          <w:tcPr>
            <w:tcW w:w="338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r>
    </w:tbl>
    <w:p>
      <w:pPr>
        <w:spacing w:after="0" w:line="15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830) 626-5200</w:t>
      </w:r>
    </w:p>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50" w:orient="portrait"/>
          <w:cols w:equalWidth="0" w:num="1">
            <w:col w:w="10219"/>
          </w:cols>
          <w:pgMar w:left="240" w:top="122" w:right="1440" w:bottom="0" w:gutter="0" w:footer="0" w:header="0"/>
        </w:sectPr>
      </w:pPr>
    </w:p>
    <w:p>
      <w:pPr>
        <w:spacing w:after="0" w:line="221"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Class A and Class B Common Stock, $.01 par value</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Title of each class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NASDAQ Global Select Market</w:t>
      </w:r>
    </w:p>
    <w:p>
      <w:pPr>
        <w:spacing w:after="0" w:line="27" w:lineRule="exact"/>
        <w:rPr>
          <w:sz w:val="20"/>
          <w:szCs w:val="20"/>
          <w:color w:val="auto"/>
        </w:rPr>
      </w:pPr>
    </w:p>
    <w:p>
      <w:pPr>
        <w:jc w:val="center"/>
        <w:ind w:right="879"/>
        <w:spacing w:after="0"/>
        <w:rPr>
          <w:sz w:val="20"/>
          <w:szCs w:val="20"/>
          <w:color w:val="auto"/>
        </w:rPr>
      </w:pPr>
      <w:r>
        <w:rPr>
          <w:rFonts w:ascii="Arial" w:cs="Arial" w:eastAsia="Arial" w:hAnsi="Arial"/>
          <w:sz w:val="16"/>
          <w:szCs w:val="16"/>
          <w:color w:val="auto"/>
        </w:rPr>
        <w:t>Name of each exchange on which registered</w:t>
      </w:r>
    </w:p>
    <w:p>
      <w:pPr>
        <w:spacing w:after="0" w:line="192" w:lineRule="exact"/>
        <w:rPr>
          <w:sz w:val="20"/>
          <w:szCs w:val="20"/>
          <w:color w:val="auto"/>
        </w:rPr>
      </w:pPr>
    </w:p>
    <w:p>
      <w:pPr>
        <w:sectPr>
          <w:pgSz w:w="11900" w:h="16850" w:orient="portrait"/>
          <w:cols w:equalWidth="0" w:num="2">
            <w:col w:w="5420" w:space="720"/>
            <w:col w:w="4079"/>
          </w:cols>
          <w:pgMar w:left="240" w:top="122" w:right="1440" w:bottom="0" w:gutter="0" w:footer="0" w:header="0"/>
          <w:type w:val="continuous"/>
        </w:sectPr>
      </w:pPr>
    </w:p>
    <w:p>
      <w:pPr>
        <w:jc w:val="center"/>
        <w:ind w:right="-18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None</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66" w:lineRule="exact"/>
        <w:rPr>
          <w:sz w:val="20"/>
          <w:szCs w:val="20"/>
          <w:color w:val="auto"/>
        </w:rPr>
      </w:pPr>
    </w:p>
    <w:p>
      <w:pPr>
        <w:ind w:left="4640"/>
        <w:spacing w:after="0" w:line="207" w:lineRule="exact"/>
        <w:tabs>
          <w:tab w:leader="none" w:pos="53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w:t>
      </w:r>
    </w:p>
    <w:p>
      <w:pPr>
        <w:spacing w:after="0" w:line="138" w:lineRule="exact"/>
        <w:rPr>
          <w:sz w:val="20"/>
          <w:szCs w:val="20"/>
          <w:color w:val="auto"/>
        </w:rPr>
      </w:pPr>
    </w:p>
    <w:p>
      <w:pPr>
        <w:jc w:val="center"/>
        <w:ind w:right="-160"/>
        <w:spacing w:after="0" w:line="207" w:lineRule="exact"/>
        <w:tabs>
          <w:tab w:leader="none" w:pos="2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0"/>
          <w:szCs w:val="20"/>
          <w:color w:val="auto"/>
        </w:rPr>
      </w:pPr>
    </w:p>
    <w:p>
      <w:pPr>
        <w:jc w:val="center"/>
        <w:ind w:right="-160"/>
        <w:spacing w:after="0" w:line="207" w:lineRule="exact"/>
        <w:tabs>
          <w:tab w:leader="none" w:pos="2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17"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54" w:lineRule="exact"/>
        <w:rPr>
          <w:sz w:val="20"/>
          <w:szCs w:val="20"/>
          <w:color w:val="auto"/>
        </w:rPr>
      </w:pPr>
    </w:p>
    <w:p>
      <w:pPr>
        <w:jc w:val="center"/>
        <w:ind w:right="-160"/>
        <w:spacing w:after="0"/>
        <w:tabs>
          <w:tab w:leader="none" w:pos="2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o</w:t>
      </w:r>
    </w:p>
    <w:p>
      <w:pPr>
        <w:spacing w:after="0" w:line="185"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4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9" w:lineRule="exact"/>
        <w:rPr>
          <w:sz w:val="20"/>
          <w:szCs w:val="20"/>
          <w:color w:val="auto"/>
        </w:rPr>
      </w:pPr>
    </w:p>
    <w:tbl>
      <w:tblPr>
        <w:tblLayout w:type="fixed"/>
        <w:tblInd w:w="380" w:type="dxa"/>
        <w:tblCellMar>
          <w:top w:w="0" w:type="dxa"/>
          <w:left w:w="0" w:type="dxa"/>
          <w:bottom w:w="0" w:type="dxa"/>
          <w:right w:w="0" w:type="dxa"/>
        </w:tblCellMar>
      </w:tblPr>
      <w:tr>
        <w:trPr>
          <w:trHeight w:val="249"/>
        </w:trPr>
        <w:tc>
          <w:tcPr>
            <w:tcW w:w="1840" w:type="dxa"/>
            <w:vAlign w:val="bottom"/>
          </w:tcPr>
          <w:p>
            <w:pPr>
              <w:jc w:val="center"/>
              <w:ind w:right="130"/>
              <w:spacing w:after="0"/>
              <w:rPr>
                <w:sz w:val="20"/>
                <w:szCs w:val="20"/>
                <w:color w:val="auto"/>
              </w:rPr>
            </w:pPr>
            <w:r>
              <w:rPr>
                <w:rFonts w:ascii="Arial" w:cs="Arial" w:eastAsia="Arial" w:hAnsi="Arial"/>
                <w:sz w:val="18"/>
                <w:szCs w:val="18"/>
                <w:color w:val="auto"/>
                <w:w w:val="90"/>
              </w:rPr>
              <w:t>Large accelerated filer</w:t>
            </w:r>
          </w:p>
        </w:tc>
        <w:tc>
          <w:tcPr>
            <w:tcW w:w="182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70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2320" w:type="dxa"/>
            <w:vAlign w:val="bottom"/>
          </w:tcPr>
          <w:p>
            <w:pPr>
              <w:ind w:left="100"/>
              <w:spacing w:after="0"/>
              <w:rPr>
                <w:sz w:val="20"/>
                <w:szCs w:val="20"/>
                <w:color w:val="auto"/>
              </w:rPr>
            </w:pPr>
            <w:r>
              <w:rPr>
                <w:rFonts w:ascii="Arial" w:cs="Arial" w:eastAsia="Arial" w:hAnsi="Arial"/>
                <w:sz w:val="18"/>
                <w:szCs w:val="18"/>
                <w:color w:val="auto"/>
                <w:w w:val="91"/>
              </w:rPr>
              <w:t>Smaller Reporting Company o</w:t>
            </w:r>
          </w:p>
        </w:tc>
        <w:tc>
          <w:tcPr>
            <w:tcW w:w="0" w:type="dxa"/>
            <w:vAlign w:val="bottom"/>
          </w:tcPr>
          <w:p>
            <w:pPr>
              <w:spacing w:after="0"/>
              <w:rPr>
                <w:sz w:val="1"/>
                <w:szCs w:val="1"/>
                <w:color w:val="auto"/>
              </w:rPr>
            </w:pPr>
          </w:p>
        </w:tc>
      </w:tr>
      <w:tr>
        <w:trPr>
          <w:trHeight w:val="230"/>
        </w:trPr>
        <w:tc>
          <w:tcPr>
            <w:tcW w:w="1840" w:type="dxa"/>
            <w:vAlign w:val="bottom"/>
          </w:tcPr>
          <w:p>
            <w:pPr>
              <w:jc w:val="center"/>
              <w:ind w:right="130"/>
              <w:spacing w:after="0"/>
              <w:rPr>
                <w:sz w:val="20"/>
                <w:szCs w:val="20"/>
                <w:color w:val="auto"/>
              </w:rPr>
            </w:pPr>
            <w:r>
              <w:rPr>
                <w:rFonts w:ascii="Arial" w:cs="Arial" w:eastAsia="Arial" w:hAnsi="Arial"/>
                <w:sz w:val="18"/>
                <w:szCs w:val="18"/>
                <w:color w:val="auto"/>
                <w:w w:val="99"/>
              </w:rPr>
              <w:t>o</w:t>
            </w:r>
          </w:p>
        </w:tc>
        <w:tc>
          <w:tcPr>
            <w:tcW w:w="1820" w:type="dxa"/>
            <w:vAlign w:val="bottom"/>
          </w:tcPr>
          <w:p>
            <w:pPr>
              <w:spacing w:after="0"/>
              <w:rPr>
                <w:sz w:val="20"/>
                <w:szCs w:val="20"/>
                <w:color w:val="auto"/>
              </w:rPr>
            </w:pPr>
          </w:p>
        </w:tc>
        <w:tc>
          <w:tcPr>
            <w:tcW w:w="3700" w:type="dxa"/>
            <w:vAlign w:val="bottom"/>
            <w:vMerge w:val="restart"/>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70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2" w:lineRule="exact"/>
        <w:rPr>
          <w:sz w:val="20"/>
          <w:szCs w:val="20"/>
          <w:color w:val="auto"/>
        </w:rPr>
      </w:pPr>
    </w:p>
    <w:p>
      <w:pPr>
        <w:ind w:left="4640"/>
        <w:spacing w:after="0" w:line="207" w:lineRule="exact"/>
        <w:tabs>
          <w:tab w:leader="none" w:pos="53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7"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The aggregate market value of common stock held by non-affiliates of the registrant as of June 30, 2010 was approximately $429,864,022 based upon the last sales price on June 30, 2010 on The NASDAQ Global Select Market</w:t>
      </w:r>
      <w:r>
        <w:rPr>
          <w:rFonts w:ascii="Arial" w:cs="Arial" w:eastAsia="Arial" w:hAnsi="Arial"/>
          <w:sz w:val="13"/>
          <w:szCs w:val="13"/>
          <w:color w:val="auto"/>
        </w:rPr>
        <w:t>SM</w:t>
      </w:r>
      <w:r>
        <w:rPr>
          <w:rFonts w:ascii="Arial" w:cs="Arial" w:eastAsia="Arial" w:hAnsi="Arial"/>
          <w:sz w:val="16"/>
          <w:szCs w:val="16"/>
          <w:color w:val="auto"/>
        </w:rPr>
        <w:t xml:space="preserve"> of $13.36 for the registrant’s Class A common stock and $11.65 for the registrant’s Class B common stock. Shares of common stock held by each executive officer and director and by each shareholder affiliated with a director or an executive officer have been excluded from this</w:t>
      </w:r>
    </w:p>
    <w:p>
      <w:pPr>
        <w:sectPr>
          <w:pgSz w:w="11900" w:h="16850" w:orient="portrait"/>
          <w:cols w:equalWidth="0" w:num="1">
            <w:col w:w="10219"/>
          </w:cols>
          <w:pgMar w:left="240" w:top="122" w:right="1440" w:bottom="0" w:gutter="0" w:footer="0" w:header="0"/>
          <w:type w:val="continuous"/>
        </w:sectPr>
      </w:pPr>
    </w:p>
    <w:bookmarkStart w:id="2" w:name="page3"/>
    <w:bookmarkEnd w:id="2"/>
    <w:p>
      <w:pPr>
        <w:jc w:val="both"/>
        <w:ind w:right="179"/>
        <w:spacing w:after="0" w:line="277" w:lineRule="auto"/>
        <w:rPr>
          <w:sz w:val="20"/>
          <w:szCs w:val="20"/>
          <w:color w:val="auto"/>
        </w:rPr>
      </w:pPr>
      <w:r>
        <w:rPr>
          <w:rFonts w:ascii="Arial" w:cs="Arial" w:eastAsia="Arial" w:hAnsi="Arial"/>
          <w:sz w:val="18"/>
          <w:szCs w:val="18"/>
          <w:color w:val="auto"/>
        </w:rPr>
        <w:t>calculation because such persons may be deemed to be affiliates. This determination of affiliate status is not necessarily a conclusive determination for other purposes.</w:t>
      </w:r>
    </w:p>
    <w:p>
      <w:pPr>
        <w:spacing w:after="0" w:line="130"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color w:val="auto"/>
        </w:rPr>
        <w:t>The registrant had 26,923,258 shares Class A common stock and 10,705,346 shares of Class B common stock outstanding on March 9, 2011.</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5" w:lineRule="exact"/>
        <w:rPr>
          <w:sz w:val="20"/>
          <w:szCs w:val="20"/>
          <w:color w:val="auto"/>
        </w:rPr>
      </w:pPr>
    </w:p>
    <w:p>
      <w:pPr>
        <w:jc w:val="both"/>
        <w:ind w:right="179"/>
        <w:spacing w:after="0" w:line="266" w:lineRule="auto"/>
        <w:rPr>
          <w:sz w:val="20"/>
          <w:szCs w:val="20"/>
          <w:color w:val="auto"/>
        </w:rPr>
      </w:pPr>
      <w:r>
        <w:rPr>
          <w:rFonts w:ascii="Arial" w:cs="Arial" w:eastAsia="Arial" w:hAnsi="Arial"/>
          <w:sz w:val="18"/>
          <w:szCs w:val="18"/>
          <w:b w:val="1"/>
          <w:bCs w:val="1"/>
          <w:color w:val="auto"/>
        </w:rPr>
        <w:t>Portions of registrant’s definitive proxy statement for the registrant’s 2011 Annual Meeting of Shareholders, to be filed with the Securities and Exchange Commission not later than April 30, 2011,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61747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790575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0" w:type="dxa"/>
            <w:vAlign w:val="bottom"/>
            <w:gridSpan w:val="18"/>
          </w:tcPr>
          <w:p>
            <w:pPr>
              <w:jc w:val="center"/>
              <w:ind w:right="2420"/>
              <w:spacing w:after="0"/>
              <w:rPr>
                <w:sz w:val="20"/>
                <w:szCs w:val="20"/>
                <w:color w:val="auto"/>
              </w:rPr>
            </w:pPr>
            <w:r>
              <w:rPr>
                <w:rFonts w:ascii="Arial" w:cs="Arial" w:eastAsia="Arial" w:hAnsi="Arial"/>
                <w:sz w:val="18"/>
                <w:szCs w:val="18"/>
                <w:b w:val="1"/>
                <w:bCs w:val="1"/>
                <w:color w:val="auto"/>
                <w:w w:val="98"/>
              </w:rPr>
              <w:t>RUSH ENTERPRISES, INC.</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gridSpan w:val="15"/>
          </w:tcPr>
          <w:p>
            <w:pPr>
              <w:jc w:val="center"/>
              <w:ind w:right="2960"/>
              <w:spacing w:after="0"/>
              <w:rPr>
                <w:sz w:val="20"/>
                <w:szCs w:val="20"/>
                <w:color w:val="auto"/>
              </w:rPr>
            </w:pPr>
            <w:r>
              <w:rPr>
                <w:rFonts w:ascii="Arial" w:cs="Arial" w:eastAsia="Arial" w:hAnsi="Arial"/>
                <w:sz w:val="18"/>
                <w:szCs w:val="18"/>
                <w:b w:val="1"/>
                <w:bCs w:val="1"/>
                <w:color w:val="auto"/>
                <w:w w:val="94"/>
              </w:rPr>
              <w:t>Index to Form 10-K</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0" w:type="dxa"/>
            <w:vAlign w:val="bottom"/>
            <w:gridSpan w:val="18"/>
          </w:tcPr>
          <w:p>
            <w:pPr>
              <w:jc w:val="center"/>
              <w:ind w:right="2400"/>
              <w:spacing w:after="0"/>
              <w:rPr>
                <w:sz w:val="20"/>
                <w:szCs w:val="20"/>
                <w:color w:val="auto"/>
              </w:rPr>
            </w:pPr>
            <w:r>
              <w:rPr>
                <w:rFonts w:ascii="Arial" w:cs="Arial" w:eastAsia="Arial" w:hAnsi="Arial"/>
                <w:sz w:val="18"/>
                <w:szCs w:val="18"/>
                <w:b w:val="1"/>
                <w:bCs w:val="1"/>
                <w:color w:val="auto"/>
                <w:w w:val="89"/>
              </w:rPr>
              <w:t>Year ended December 31, 2010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10"/>
          </w:tcPr>
          <w:p>
            <w:pPr>
              <w:jc w:val="center"/>
              <w:ind w:right="3580"/>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2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 Business</w:t>
              </w:r>
            </w:hyperlink>
          </w:p>
        </w:tc>
        <w:tc>
          <w:tcPr>
            <w:tcW w:w="460" w:type="dxa"/>
            <w:vAlign w:val="bottom"/>
            <w:tcBorders>
              <w:top w:val="single" w:sz="8" w:color="0000EE"/>
            </w:tcBorders>
            <w:gridSpan w:val="2"/>
          </w:tcPr>
          <w:p>
            <w:pPr>
              <w:spacing w:after="0"/>
              <w:rPr>
                <w:sz w:val="24"/>
                <w:szCs w:val="24"/>
                <w:color w:val="auto"/>
              </w:rPr>
            </w:pPr>
          </w:p>
        </w:tc>
        <w:tc>
          <w:tcPr>
            <w:tcW w:w="3580" w:type="dxa"/>
            <w:vAlign w:val="bottom"/>
            <w:gridSpan w:val="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line="20" w:lineRule="exact"/>
              <w:rPr>
                <w:sz w:val="1"/>
                <w:szCs w:val="1"/>
                <w:color w:val="auto"/>
              </w:rPr>
            </w:pPr>
          </w:p>
        </w:tc>
      </w:tr>
      <w:tr>
        <w:trPr>
          <w:trHeight w:val="412"/>
        </w:trPr>
        <w:tc>
          <w:tcPr>
            <w:tcW w:w="15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1A Risk Factors</w:t>
              </w:r>
            </w:hyperlink>
          </w:p>
        </w:tc>
        <w:tc>
          <w:tcPr>
            <w:tcW w:w="7120" w:type="dxa"/>
            <w:vAlign w:val="bottom"/>
            <w:gridSpan w:val="25"/>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60" w:type="dxa"/>
            <w:vAlign w:val="bottom"/>
            <w:gridSpan w:val="3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1B Unresolved Staff Comments</w:t>
              </w:r>
            </w:hyperlink>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412"/>
        </w:trPr>
        <w:tc>
          <w:tcPr>
            <w:tcW w:w="12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Item 2 Properties</w:t>
              </w:r>
            </w:hyperlink>
          </w:p>
        </w:tc>
        <w:tc>
          <w:tcPr>
            <w:tcW w:w="1420" w:type="dxa"/>
            <w:vAlign w:val="bottom"/>
            <w:tcBorders>
              <w:top w:val="single" w:sz="8" w:color="0000EE"/>
            </w:tcBorders>
            <w:gridSpan w:val="7"/>
          </w:tcPr>
          <w:p>
            <w:pPr>
              <w:spacing w:after="0"/>
              <w:rPr>
                <w:sz w:val="24"/>
                <w:szCs w:val="24"/>
                <w:color w:val="auto"/>
              </w:rPr>
            </w:pPr>
          </w:p>
        </w:tc>
        <w:tc>
          <w:tcPr>
            <w:tcW w:w="6000" w:type="dxa"/>
            <w:vAlign w:val="bottom"/>
            <w:gridSpan w:val="1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412"/>
        </w:trPr>
        <w:tc>
          <w:tcPr>
            <w:tcW w:w="8660" w:type="dxa"/>
            <w:vAlign w:val="bottom"/>
            <w:gridSpan w:val="3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 Legal Proceedings</w:t>
              </w:r>
            </w:hyperlink>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3540" w:type="dxa"/>
            <w:vAlign w:val="bottom"/>
            <w:gridSpan w:val="7"/>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60" w:type="dxa"/>
            <w:vAlign w:val="bottom"/>
            <w:gridSpan w:val="3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5 Market for Registrant’s Common Equity, Related Shareholder Matters and Issuer Purchases of Equity</w:t>
              </w:r>
            </w:hyperlink>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Securities</w:t>
              </w:r>
            </w:hyperlink>
          </w:p>
        </w:tc>
        <w:tc>
          <w:tcPr>
            <w:tcW w:w="840" w:type="dxa"/>
            <w:vAlign w:val="bottom"/>
            <w:gridSpan w:val="2"/>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line="20" w:lineRule="exact"/>
              <w:rPr>
                <w:sz w:val="1"/>
                <w:szCs w:val="1"/>
                <w:color w:val="auto"/>
              </w:rPr>
            </w:pPr>
          </w:p>
        </w:tc>
      </w:tr>
      <w:tr>
        <w:trPr>
          <w:trHeight w:val="412"/>
        </w:trPr>
        <w:tc>
          <w:tcPr>
            <w:tcW w:w="22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Item 6 Selected Financial Data</w:t>
              </w:r>
            </w:hyperlink>
          </w:p>
        </w:tc>
        <w:tc>
          <w:tcPr>
            <w:tcW w:w="6440" w:type="dxa"/>
            <w:vAlign w:val="bottom"/>
            <w:gridSpan w:val="22"/>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60" w:type="dxa"/>
            <w:vAlign w:val="bottom"/>
            <w:gridSpan w:val="3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7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412"/>
        </w:trPr>
        <w:tc>
          <w:tcPr>
            <w:tcW w:w="6960" w:type="dxa"/>
            <w:vAlign w:val="bottom"/>
            <w:tcBorders>
              <w:top w:val="single" w:sz="8" w:color="0000EE"/>
            </w:tcBorders>
            <w:gridSpan w:val="2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7A Quantitative and Qualitative Disclosures about Market Risk</w:t>
              </w:r>
            </w:hyperlink>
          </w:p>
        </w:tc>
        <w:tc>
          <w:tcPr>
            <w:tcW w:w="170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412"/>
        </w:trPr>
        <w:tc>
          <w:tcPr>
            <w:tcW w:w="38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Item 8 Financial Statements and Supplementary Data</w:t>
              </w:r>
            </w:hyperlink>
          </w:p>
        </w:tc>
        <w:tc>
          <w:tcPr>
            <w:tcW w:w="1100" w:type="dxa"/>
            <w:vAlign w:val="bottom"/>
            <w:tcBorders>
              <w:top w:val="single" w:sz="8" w:color="0000EE"/>
            </w:tcBorders>
            <w:gridSpan w:val="7"/>
          </w:tcPr>
          <w:p>
            <w:pPr>
              <w:spacing w:after="0"/>
              <w:rPr>
                <w:sz w:val="24"/>
                <w:szCs w:val="24"/>
                <w:color w:val="auto"/>
              </w:rPr>
            </w:pPr>
          </w:p>
        </w:tc>
        <w:tc>
          <w:tcPr>
            <w:tcW w:w="372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412"/>
        </w:trPr>
        <w:tc>
          <w:tcPr>
            <w:tcW w:w="8660" w:type="dxa"/>
            <w:vAlign w:val="bottom"/>
            <w:gridSpan w:val="3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9 Changes in and Disagreements with Accountants on Accounting and Financial Disclosure</w:t>
              </w:r>
            </w:hyperlink>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412"/>
        </w:trPr>
        <w:tc>
          <w:tcPr>
            <w:tcW w:w="24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Item 9A Controls and Procedures</w:t>
              </w:r>
            </w:hyperlink>
          </w:p>
        </w:tc>
        <w:tc>
          <w:tcPr>
            <w:tcW w:w="4560" w:type="dxa"/>
            <w:vAlign w:val="bottom"/>
            <w:tcBorders>
              <w:top w:val="single" w:sz="8" w:color="0000EE"/>
            </w:tcBorders>
            <w:gridSpan w:val="17"/>
          </w:tcPr>
          <w:p>
            <w:pPr>
              <w:spacing w:after="0"/>
              <w:rPr>
                <w:sz w:val="24"/>
                <w:szCs w:val="24"/>
                <w:color w:val="auto"/>
              </w:rPr>
            </w:pPr>
          </w:p>
        </w:tc>
        <w:tc>
          <w:tcPr>
            <w:tcW w:w="168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412"/>
        </w:trPr>
        <w:tc>
          <w:tcPr>
            <w:tcW w:w="8660" w:type="dxa"/>
            <w:vAlign w:val="bottom"/>
            <w:gridSpan w:val="3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9B Other Information</w:t>
              </w:r>
            </w:hyperlink>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III</w:t>
              </w:r>
            </w:hyperlink>
          </w:p>
        </w:tc>
        <w:tc>
          <w:tcPr>
            <w:tcW w:w="350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60" w:type="dxa"/>
            <w:vAlign w:val="bottom"/>
            <w:gridSpan w:val="3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10 Directors and Executive Officers of the Registrant</w:t>
              </w:r>
            </w:hyperlink>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412"/>
        </w:trPr>
        <w:tc>
          <w:tcPr>
            <w:tcW w:w="24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Item 11 Executive Compensation</w:t>
              </w:r>
            </w:hyperlink>
          </w:p>
        </w:tc>
        <w:tc>
          <w:tcPr>
            <w:tcW w:w="1800" w:type="dxa"/>
            <w:vAlign w:val="bottom"/>
            <w:tcBorders>
              <w:top w:val="single" w:sz="8" w:color="0000EE"/>
            </w:tcBorders>
            <w:gridSpan w:val="7"/>
          </w:tcPr>
          <w:p>
            <w:pPr>
              <w:spacing w:after="0"/>
              <w:rPr>
                <w:sz w:val="24"/>
                <w:szCs w:val="24"/>
                <w:color w:val="auto"/>
              </w:rPr>
            </w:pPr>
          </w:p>
        </w:tc>
        <w:tc>
          <w:tcPr>
            <w:tcW w:w="4460" w:type="dxa"/>
            <w:vAlign w:val="bottom"/>
            <w:gridSpan w:val="1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412"/>
        </w:trPr>
        <w:tc>
          <w:tcPr>
            <w:tcW w:w="8660" w:type="dxa"/>
            <w:vAlign w:val="bottom"/>
            <w:gridSpan w:val="32"/>
          </w:tcPr>
          <w:p>
            <w:pPr>
              <w:spacing w:after="0"/>
              <w:rPr>
                <w:rFonts w:ascii="Arial" w:cs="Arial" w:eastAsia="Arial" w:hAnsi="Arial"/>
                <w:sz w:val="18"/>
                <w:szCs w:val="18"/>
                <w:color w:val="0000EE"/>
                <w:w w:val="99"/>
              </w:rPr>
            </w:pPr>
            <w:hyperlink w:anchor="page78">
              <w:r>
                <w:rPr>
                  <w:rFonts w:ascii="Arial" w:cs="Arial" w:eastAsia="Arial" w:hAnsi="Arial"/>
                  <w:sz w:val="18"/>
                  <w:szCs w:val="18"/>
                  <w:color w:val="0000EE"/>
                  <w:w w:val="99"/>
                </w:rPr>
                <w:t>Item 12 Security Ownership of Certain Beneficial Owners and Management and Related Shareholder Matters</w:t>
              </w:r>
            </w:hyperlink>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412"/>
        </w:trPr>
        <w:tc>
          <w:tcPr>
            <w:tcW w:w="7880" w:type="dxa"/>
            <w:vAlign w:val="bottom"/>
            <w:tcBorders>
              <w:top w:val="single" w:sz="8" w:color="0000EE"/>
            </w:tcBorders>
            <w:gridSpan w:val="31"/>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13 Certain Relationships and Related Transactions</w:t>
              </w:r>
            </w:hyperlink>
          </w:p>
        </w:tc>
        <w:tc>
          <w:tcPr>
            <w:tcW w:w="7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412"/>
        </w:trPr>
        <w:tc>
          <w:tcPr>
            <w:tcW w:w="4000" w:type="dxa"/>
            <w:vAlign w:val="bottom"/>
            <w:tcBorders>
              <w:top w:val="single" w:sz="8" w:color="0000EE"/>
            </w:tcBorders>
            <w:gridSpan w:val="17"/>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14 Principal Accountant Fees and Services</w:t>
              </w:r>
            </w:hyperlink>
          </w:p>
        </w:tc>
        <w:tc>
          <w:tcPr>
            <w:tcW w:w="4660" w:type="dxa"/>
            <w:vAlign w:val="bottom"/>
            <w:gridSpan w:val="1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12"/>
          </w:tcPr>
          <w:p>
            <w:pPr>
              <w:jc w:val="center"/>
              <w:ind w:right="3520"/>
              <w:spacing w:after="0"/>
              <w:rPr>
                <w:rFonts w:ascii="Arial" w:cs="Arial" w:eastAsia="Arial" w:hAnsi="Arial"/>
                <w:sz w:val="18"/>
                <w:szCs w:val="18"/>
                <w:b w:val="1"/>
                <w:bCs w:val="1"/>
                <w:color w:val="0000EE"/>
                <w:w w:val="98"/>
              </w:rPr>
            </w:pPr>
            <w:hyperlink w:anchor="page79">
              <w:r>
                <w:rPr>
                  <w:rFonts w:ascii="Arial" w:cs="Arial" w:eastAsia="Arial" w:hAnsi="Arial"/>
                  <w:sz w:val="18"/>
                  <w:szCs w:val="18"/>
                  <w:b w:val="1"/>
                  <w:bCs w:val="1"/>
                  <w:color w:val="0000EE"/>
                  <w:w w:val="98"/>
                </w:rPr>
                <w:t>Part IV</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7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Item 15 Exhibits and Financial Statement Schedules</w:t>
              </w:r>
            </w:hyperlink>
          </w:p>
        </w:tc>
        <w:tc>
          <w:tcPr>
            <w:tcW w:w="820" w:type="dxa"/>
            <w:vAlign w:val="bottom"/>
            <w:gridSpan w:val="5"/>
          </w:tcPr>
          <w:p>
            <w:pPr>
              <w:spacing w:after="0"/>
              <w:rPr>
                <w:sz w:val="24"/>
                <w:szCs w:val="24"/>
                <w:color w:val="auto"/>
              </w:rPr>
            </w:pPr>
          </w:p>
        </w:tc>
        <w:tc>
          <w:tcPr>
            <w:tcW w:w="560" w:type="dxa"/>
            <w:vAlign w:val="bottom"/>
            <w:tcBorders>
              <w:top w:val="single" w:sz="8" w:color="0000EE"/>
            </w:tcBorders>
            <w:gridSpan w:val="6"/>
          </w:tcPr>
          <w:p>
            <w:pPr>
              <w:spacing w:after="0"/>
              <w:rPr>
                <w:sz w:val="24"/>
                <w:szCs w:val="24"/>
                <w:color w:val="auto"/>
              </w:rPr>
            </w:pPr>
          </w:p>
        </w:tc>
        <w:tc>
          <w:tcPr>
            <w:tcW w:w="352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9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Exhibit 10.10</w:t>
            </w:r>
          </w:p>
        </w:tc>
        <w:tc>
          <w:tcPr>
            <w:tcW w:w="7660" w:type="dxa"/>
            <w:vAlign w:val="bottom"/>
            <w:gridSpan w:val="28"/>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21.1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23.1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648335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02" w:lineRule="exact"/>
        <w:rPr>
          <w:sz w:val="20"/>
          <w:szCs w:val="20"/>
          <w:color w:val="auto"/>
        </w:rPr>
      </w:pPr>
    </w:p>
    <w:p>
      <w:pPr>
        <w:jc w:val="both"/>
        <w:ind w:left="340" w:right="159"/>
        <w:spacing w:after="0" w:line="284" w:lineRule="auto"/>
        <w:rPr>
          <w:sz w:val="20"/>
          <w:szCs w:val="20"/>
          <w:color w:val="auto"/>
        </w:rPr>
      </w:pPr>
      <w:r>
        <w:rPr>
          <w:rFonts w:ascii="Arial" w:cs="Arial" w:eastAsia="Arial" w:hAnsi="Arial"/>
          <w:sz w:val="16"/>
          <w:szCs w:val="16"/>
          <w:i w:val="1"/>
          <w:iCs w:val="1"/>
          <w:color w:val="auto"/>
        </w:rPr>
        <w:t>Certain statements contained in this Form 10-K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as well as future growth rates and margins for certain of our products and services, future demand for our products and services, competitive factors, general economic conditions, cyclicality, market conditions in the new and used commercial vehicle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3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REGARDING INCORPORATION BY REFERENCE</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i w:val="1"/>
          <w:iCs w:val="1"/>
          <w:color w:val="auto"/>
        </w:rPr>
        <w:t>The Securities and Exchange Commission (“SEC”) allows us to disclose important information to you by referring you to other documents we have filed with the SEC. The information we refer to is “incorporated by reference” into this Form 10-K. Please read that information.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REGARDING TRADEMARKS USED IN THIS FORM 10-K</w:t>
      </w:r>
    </w:p>
    <w:p>
      <w:pPr>
        <w:spacing w:after="0" w:line="189"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PACCAR, Inc. GMC</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General Motors Corporation. Hino</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Hino Motors, Ltd. UD</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UD Truck North America, Ltd. Isuzu</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Isuzu Motors Limited. John Deere</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Deere &amp; Company. Kenworth</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PACCAR, Inc. doing business as Kenworth Truck Company. Volvo</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Volvo Trademark Holding AB. Freightliner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Freightliner Corporation. Mack</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Mack Trucks, Inc. Navistar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Navistar International Corporation. Caterpillar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Caterpillar, Inc. PacLease</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PACCAR Leasing Corporation. CitiCapital</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Citicorp. Ford</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Ford Motor Company. Cummins</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Cummins Intellectual Property, Inc. Eaton</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Eaton Corporation. Arvin Meritor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Meritor Technology</w:t>
      </w:r>
      <w:r>
        <w:rPr>
          <w:rFonts w:ascii="Arial" w:cs="Arial" w:eastAsia="Arial" w:hAnsi="Arial"/>
          <w:sz w:val="17"/>
          <w:szCs w:val="17"/>
          <w:color w:val="auto"/>
        </w:rPr>
        <w:t>,</w:t>
      </w:r>
      <w:r>
        <w:rPr>
          <w:rFonts w:ascii="Arial" w:cs="Arial" w:eastAsia="Arial" w:hAnsi="Arial"/>
          <w:sz w:val="17"/>
          <w:szCs w:val="17"/>
          <w:i w:val="1"/>
          <w:iCs w:val="1"/>
          <w:color w:val="auto"/>
        </w:rPr>
        <w:t xml:space="preserve"> Inc. JPMorgan Chase</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JP Morgan Chase &amp; Co. SAP</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SAP Aktiengesellschaft. International</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Navistar International Transportation Corp. Blue Bird</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Blue Bird Investment Corporation. Autocar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Shem, LLC. IC Bus</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IC Bus, LLC. Collins Bus Corporation</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Collins Bus Corporation. Fuso</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Mitsubishi Fuso Truck and Bus Corporation. Workhorse</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Workhorse Custom Chassis, LLC.</w:t>
      </w:r>
    </w:p>
    <w:p>
      <w:pPr>
        <w:spacing w:after="0" w:line="200" w:lineRule="exact"/>
        <w:rPr>
          <w:sz w:val="20"/>
          <w:szCs w:val="20"/>
          <w:color w:val="auto"/>
        </w:rPr>
      </w:pPr>
    </w:p>
    <w:p>
      <w:pPr>
        <w:spacing w:after="0" w:line="34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89" w:lineRule="exact"/>
        <w:rPr>
          <w:sz w:val="20"/>
          <w:szCs w:val="20"/>
          <w:color w:val="auto"/>
        </w:rPr>
      </w:pPr>
    </w:p>
    <w:p>
      <w:pPr>
        <w:jc w:val="both"/>
        <w:ind w:left="340" w:right="159" w:firstLine="778"/>
        <w:spacing w:after="0" w:line="277" w:lineRule="auto"/>
        <w:rPr>
          <w:sz w:val="20"/>
          <w:szCs w:val="20"/>
          <w:color w:val="auto"/>
        </w:rPr>
      </w:pPr>
      <w:r>
        <w:rPr>
          <w:rFonts w:ascii="Arial" w:cs="Arial" w:eastAsia="Arial" w:hAnsi="Arial"/>
          <w:sz w:val="18"/>
          <w:szCs w:val="18"/>
          <w:color w:val="auto"/>
        </w:rPr>
        <w:t>References herein to “the Company,” “Rush Enterprises,” “Rush,” “we,” “our” or “us” mean Rush Enterprises, Inc., a Texas corporation, and its subsidiaries unless the context requires otherwise.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Access to Company Information</w:t>
      </w:r>
    </w:p>
    <w:p>
      <w:pPr>
        <w:spacing w:after="0" w:line="202"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color w:val="auto"/>
        </w:rPr>
        <w:t>Rush electronically files annual reports, quarterly reports, and other reports with the SEC. You may read and copy any of the materials that we have filed with the SEC at the SEC’s Public Reference Room at 100 F Street NE, NW, Washington, DC 20549. You may obtain information about the Public Reference Room by calling the SEC at 1-800-SEC-0330. Our filings are also available to you on the SEC’s website at www.sec.gov.</w:t>
      </w:r>
    </w:p>
    <w:p>
      <w:pPr>
        <w:spacing w:after="0" w:line="146"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Rush makes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Rush’s website address is www.rushenterprises.com. The information contained on our website, or on other websites linked to our website, is not part of this document.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The Company conducts business through numerous subsidiaries, all of which it wholly owns, directly or indirectly. Its principal offices are located at 555 IH 35 South, Suite 500, New Braunfels, Texas 78130.</w:t>
      </w:r>
    </w:p>
    <w:p>
      <w:pPr>
        <w:spacing w:after="0" w:line="141" w:lineRule="exact"/>
        <w:rPr>
          <w:sz w:val="20"/>
          <w:szCs w:val="20"/>
          <w:color w:val="auto"/>
        </w:rPr>
      </w:pPr>
    </w:p>
    <w:p>
      <w:pPr>
        <w:jc w:val="both"/>
        <w:ind w:left="340" w:right="159" w:firstLine="778"/>
        <w:spacing w:after="0" w:line="273" w:lineRule="auto"/>
        <w:rPr>
          <w:sz w:val="20"/>
          <w:szCs w:val="20"/>
          <w:color w:val="auto"/>
        </w:rPr>
      </w:pPr>
      <w:r>
        <w:rPr>
          <w:rFonts w:ascii="Arial" w:cs="Arial" w:eastAsia="Arial" w:hAnsi="Arial"/>
          <w:sz w:val="17"/>
          <w:szCs w:val="17"/>
          <w:color w:val="auto"/>
        </w:rPr>
        <w:t>The Company is a full-service, integrated retailer of commercial vehicles and related services. The Truck Segment operates a regional network of commercial vehicle dealerships under the name “Rush Truck Centers.” Rush Truck Centers primarily sell commercial vehicles manufactured by Peterbilt, International, Hino, UD,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and financing, leasing and rental, and insurance products.</w:t>
      </w:r>
    </w:p>
    <w:p>
      <w:pPr>
        <w:spacing w:after="0" w:line="138"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color w:val="auto"/>
        </w:rPr>
        <w:t>The Company’s Rush Truck Centers are principally located in high traffic areas throughout the United States. Since commencing operations as a Peterbilt heavy-duty truck dealer in 1966, the Company has grown to operate more than 60 Rush Truck Centers in Alabama, Arizona, California, Colorado, Florida, Georgia, Idaho, New Mexico, North Carolina, Oklahoma, Oregon, Tennessee, Texas and Utah.</w:t>
      </w:r>
    </w:p>
    <w:p>
      <w:pPr>
        <w:spacing w:after="0" w:line="160" w:lineRule="exact"/>
        <w:rPr>
          <w:sz w:val="20"/>
          <w:szCs w:val="20"/>
          <w:color w:val="auto"/>
        </w:rPr>
      </w:pPr>
    </w:p>
    <w:p>
      <w:pPr>
        <w:jc w:val="both"/>
        <w:ind w:left="340" w:right="159" w:firstLine="778"/>
        <w:spacing w:after="0" w:line="279" w:lineRule="auto"/>
        <w:rPr>
          <w:sz w:val="20"/>
          <w:szCs w:val="20"/>
          <w:color w:val="auto"/>
        </w:rPr>
      </w:pPr>
      <w:r>
        <w:rPr>
          <w:rFonts w:ascii="Arial" w:cs="Arial" w:eastAsia="Arial" w:hAnsi="Arial"/>
          <w:sz w:val="17"/>
          <w:szCs w:val="17"/>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lines.</w:t>
      </w:r>
    </w:p>
    <w:p>
      <w:pPr>
        <w:spacing w:after="0" w:line="131" w:lineRule="exact"/>
        <w:rPr>
          <w:sz w:val="20"/>
          <w:szCs w:val="20"/>
          <w:color w:val="auto"/>
        </w:rPr>
      </w:pPr>
    </w:p>
    <w:p>
      <w:pPr>
        <w:jc w:val="both"/>
        <w:ind w:left="340" w:right="159" w:firstLine="778"/>
        <w:spacing w:after="0" w:line="312" w:lineRule="auto"/>
        <w:rPr>
          <w:sz w:val="20"/>
          <w:szCs w:val="20"/>
          <w:color w:val="auto"/>
        </w:rPr>
      </w:pPr>
      <w:r>
        <w:rPr>
          <w:rFonts w:ascii="Arial" w:cs="Arial" w:eastAsia="Arial" w:hAnsi="Arial"/>
          <w:sz w:val="16"/>
          <w:szCs w:val="16"/>
          <w:color w:val="auto"/>
        </w:rPr>
        <w:t>The Construction Equipment Segment will no longer be reported as a separate business segment due to the Company’s disposition of its John Deere construction equipment business in September 2010. Operating results of the Construction Equipment Segment have been classified as discontinued operations in the financial statements and related discussion and analysis below.</w:t>
      </w:r>
    </w:p>
    <w:p>
      <w:pPr>
        <w:spacing w:after="0" w:line="106" w:lineRule="exact"/>
        <w:rPr>
          <w:sz w:val="20"/>
          <w:szCs w:val="20"/>
          <w:color w:val="auto"/>
        </w:rPr>
      </w:pPr>
    </w:p>
    <w:p>
      <w:pPr>
        <w:jc w:val="both"/>
        <w:ind w:left="340" w:right="179" w:firstLine="778"/>
        <w:spacing w:after="0" w:line="264" w:lineRule="auto"/>
        <w:rPr>
          <w:sz w:val="20"/>
          <w:szCs w:val="20"/>
          <w:color w:val="auto"/>
        </w:rPr>
      </w:pPr>
      <w:r>
        <w:rPr>
          <w:rFonts w:ascii="Arial" w:cs="Arial" w:eastAsia="Arial" w:hAnsi="Arial"/>
          <w:sz w:val="18"/>
          <w:szCs w:val="18"/>
          <w:i w:val="1"/>
          <w:iCs w:val="1"/>
          <w:color w:val="auto"/>
        </w:rPr>
        <w:t xml:space="preserve">Rush Truck Centers. </w:t>
      </w:r>
      <w:r>
        <w:rPr>
          <w:rFonts w:ascii="Arial" w:cs="Arial" w:eastAsia="Arial" w:hAnsi="Arial"/>
          <w:sz w:val="18"/>
          <w:szCs w:val="18"/>
          <w:color w:val="auto"/>
        </w:rPr>
        <w:t>Our Rush Truck Centers are located in Alabama, Arizona, California, Colorado, Florida, Georgia,</w:t>
      </w:r>
      <w:r>
        <w:rPr>
          <w:rFonts w:ascii="Arial" w:cs="Arial" w:eastAsia="Arial" w:hAnsi="Arial"/>
          <w:sz w:val="18"/>
          <w:szCs w:val="18"/>
          <w:i w:val="1"/>
          <w:iCs w:val="1"/>
          <w:color w:val="auto"/>
        </w:rPr>
        <w:t xml:space="preserve"> </w:t>
      </w:r>
      <w:r>
        <w:rPr>
          <w:rFonts w:ascii="Arial" w:cs="Arial" w:eastAsia="Arial" w:hAnsi="Arial"/>
          <w:sz w:val="18"/>
          <w:szCs w:val="18"/>
          <w:color w:val="auto"/>
        </w:rPr>
        <w:t>Idaho, New Mexico, North Carolina, Oklahoma, Oregon, Tennessee, Texas and Utah. The following chart reflects our franchises and parts, service and body shop operations by location.</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b w:val="1"/>
                <w:bCs w:val="1"/>
                <w:color w:val="auto"/>
              </w:rPr>
              <w:t>Rush Truck Center</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Heavy-Duty</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2"/>
              </w:rPr>
              <w:t>Medium-Duty and Bus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8"/>
              </w:rPr>
              <w:t>Body</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3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Franchise(s)</w:t>
            </w:r>
          </w:p>
        </w:tc>
        <w:tc>
          <w:tcPr>
            <w:tcW w:w="30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Franchise(s)</w:t>
            </w:r>
          </w:p>
        </w:tc>
        <w:tc>
          <w:tcPr>
            <w:tcW w:w="30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Parts</w:t>
            </w:r>
          </w:p>
        </w:tc>
        <w:tc>
          <w:tcPr>
            <w:tcW w:w="30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30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Shop</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Alabama:</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Mobile</w:t>
            </w:r>
          </w:p>
        </w:tc>
        <w:tc>
          <w:tcPr>
            <w:tcW w:w="3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3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Arizona:</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Flagstaff</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Phoenix</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 Hino</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Tucson</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3"/>
              </w:rPr>
              <w:t>Peterbilt, Hino</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Yuma</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California:</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Escondido</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 Hino</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Fontana Heavy-Duty</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Fontana Medium-Duty</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 Hino, Isuzu, UD</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Pico Rivera</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San Diego</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 Hino</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San Luis Obispo</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Sylmar</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UD</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Colorado:</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Denver Heavy-Duty</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Denver Medium-Duty</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1"/>
              </w:rPr>
              <w:t>Ford, Isuzu</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Greeley</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Pueblo</w:t>
            </w:r>
          </w:p>
        </w:tc>
        <w:tc>
          <w:tcPr>
            <w:tcW w:w="3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3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Florida:</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Haines City</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1"/>
              </w:rPr>
              <w:t>Peterbilt, Diamond Coach</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Jacksonville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Peterbilt, Hino, Diamond Coach</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Orlando</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Isuzu</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Orlando</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Ford</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Tampa</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1"/>
              </w:rPr>
              <w:t>Peterbilt, Diamond Coach</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Winter Garden</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Peterbilt, Isuzu, UD, Diamond Coach</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Georgia:</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Atlanta</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Hino, Isuzu, UD</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Idaho:</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Boise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 IC Bus, Autocar, Kalmar</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Heyburn</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Idaho Falls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 IC Bus, Kalmar</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Lewiston</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Twin Falls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New Mexico:</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Albuquerque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Las Cruces</w:t>
            </w:r>
          </w:p>
        </w:tc>
        <w:tc>
          <w:tcPr>
            <w:tcW w:w="3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3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80" w:type="dxa"/>
            <w:vAlign w:val="bottom"/>
            <w:gridSpan w:val="2"/>
          </w:tcPr>
          <w:p>
            <w:pPr>
              <w:jc w:val="right"/>
              <w:ind w:right="195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Rush Truck Center</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Heavy-Duty</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2"/>
              </w:rPr>
              <w:t>Medium-Duty and Bus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8"/>
              </w:rPr>
              <w:t>Body</w:t>
            </w:r>
          </w:p>
        </w:tc>
      </w:tr>
      <w:tr>
        <w:trPr>
          <w:trHeight w:val="234"/>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3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Franchise(s)</w:t>
            </w:r>
          </w:p>
        </w:tc>
        <w:tc>
          <w:tcPr>
            <w:tcW w:w="30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Franchise(s)</w:t>
            </w:r>
          </w:p>
        </w:tc>
        <w:tc>
          <w:tcPr>
            <w:tcW w:w="30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Parts</w:t>
            </w:r>
          </w:p>
        </w:tc>
        <w:tc>
          <w:tcPr>
            <w:tcW w:w="30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30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Shop</w:t>
            </w:r>
          </w:p>
        </w:tc>
      </w:tr>
      <w:tr>
        <w:trPr>
          <w:trHeight w:val="210"/>
        </w:trPr>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North Carolina:</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240" w:type="dxa"/>
            <w:vAlign w:val="bottom"/>
          </w:tcPr>
          <w:p>
            <w:pPr>
              <w:ind w:left="200"/>
              <w:spacing w:after="0"/>
              <w:rPr>
                <w:sz w:val="20"/>
                <w:szCs w:val="20"/>
                <w:color w:val="auto"/>
              </w:rPr>
            </w:pPr>
            <w:r>
              <w:rPr>
                <w:rFonts w:ascii="Arial" w:cs="Arial" w:eastAsia="Arial" w:hAnsi="Arial"/>
                <w:sz w:val="18"/>
                <w:szCs w:val="18"/>
                <w:color w:val="auto"/>
              </w:rPr>
              <w:t>Charlotte</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Peterbilt, Hino, Isuzu</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Charlotte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International, Workhorse</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432"/>
        </w:trPr>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Oklahoma:</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Ardmore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240" w:type="dxa"/>
            <w:vAlign w:val="bottom"/>
          </w:tcPr>
          <w:p>
            <w:pPr>
              <w:ind w:left="200"/>
              <w:spacing w:after="0"/>
              <w:rPr>
                <w:sz w:val="20"/>
                <w:szCs w:val="20"/>
                <w:color w:val="auto"/>
              </w:rPr>
            </w:pPr>
            <w:r>
              <w:rPr>
                <w:rFonts w:ascii="Arial" w:cs="Arial" w:eastAsia="Arial" w:hAnsi="Arial"/>
                <w:sz w:val="18"/>
                <w:szCs w:val="18"/>
                <w:color w:val="auto"/>
              </w:rPr>
              <w:t>Oklahoma City</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1"/>
              </w:rPr>
              <w:t>Peterbilt, Hino, Ford, Isuzu</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Tulsa</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 Hino</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432"/>
        </w:trPr>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Oregon:</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Ontario</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432"/>
        </w:trPr>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Tennessee:</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Nashville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432"/>
        </w:trPr>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Texas: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Abilene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Alice</w:t>
            </w:r>
          </w:p>
        </w:tc>
        <w:tc>
          <w:tcPr>
            <w:tcW w:w="3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17"/>
                <w:szCs w:val="17"/>
                <w:color w:val="auto"/>
              </w:rPr>
            </w:pPr>
          </w:p>
        </w:tc>
        <w:tc>
          <w:tcPr>
            <w:tcW w:w="2980" w:type="dxa"/>
            <w:vAlign w:val="bottom"/>
          </w:tcPr>
          <w:p>
            <w:pPr>
              <w:jc w:val="center"/>
              <w:spacing w:after="0" w:line="201" w:lineRule="exact"/>
              <w:rPr>
                <w:sz w:val="20"/>
                <w:szCs w:val="20"/>
                <w:color w:val="auto"/>
              </w:rPr>
            </w:pPr>
            <w:r>
              <w:rPr>
                <w:rFonts w:ascii="Arial" w:cs="Arial" w:eastAsia="Arial" w:hAnsi="Arial"/>
                <w:sz w:val="18"/>
                <w:szCs w:val="18"/>
                <w:color w:val="auto"/>
                <w:w w:val="93"/>
              </w:rPr>
              <w:t>Peterbilt, Blue Bird, Elkhart, Diamond</w:t>
            </w:r>
          </w:p>
        </w:tc>
        <w:tc>
          <w:tcPr>
            <w:tcW w:w="3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7"/>
                <w:szCs w:val="17"/>
                <w:color w:val="auto"/>
              </w:rPr>
            </w:pP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Coach</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2"/>
        </w:trPr>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Austin</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7"/>
                <w:szCs w:val="17"/>
                <w:color w:val="auto"/>
              </w:rPr>
            </w:pPr>
          </w:p>
        </w:tc>
        <w:tc>
          <w:tcPr>
            <w:tcW w:w="2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Peterbilt, Hino, Isuzu, UD, Blue Bird,</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2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Elkhart, Diamond Coach</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02"/>
        </w:trPr>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Dallas Heavy-Duty</w:t>
            </w:r>
          </w:p>
        </w:tc>
        <w:tc>
          <w:tcPr>
            <w:tcW w:w="3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17"/>
                <w:szCs w:val="17"/>
                <w:color w:val="auto"/>
              </w:rPr>
            </w:pPr>
          </w:p>
        </w:tc>
        <w:tc>
          <w:tcPr>
            <w:tcW w:w="2980" w:type="dxa"/>
            <w:vAlign w:val="bottom"/>
          </w:tcPr>
          <w:p>
            <w:pPr>
              <w:jc w:val="center"/>
              <w:spacing w:after="0" w:line="201" w:lineRule="exact"/>
              <w:rPr>
                <w:sz w:val="20"/>
                <w:szCs w:val="20"/>
                <w:color w:val="auto"/>
              </w:rPr>
            </w:pPr>
            <w:r>
              <w:rPr>
                <w:rFonts w:ascii="Arial" w:cs="Arial" w:eastAsia="Arial" w:hAnsi="Arial"/>
                <w:sz w:val="18"/>
                <w:szCs w:val="18"/>
                <w:color w:val="auto"/>
                <w:w w:val="93"/>
              </w:rPr>
              <w:t>Peterbilt, Blue Bird, Elkhart, Diamond</w:t>
            </w:r>
          </w:p>
        </w:tc>
        <w:tc>
          <w:tcPr>
            <w:tcW w:w="3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7"/>
                <w:szCs w:val="17"/>
                <w:color w:val="auto"/>
              </w:rPr>
            </w:pP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r>
      <w:tr>
        <w:trPr>
          <w:trHeight w:val="230"/>
        </w:trPr>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Coach</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2"/>
        </w:trPr>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Dallas Medium-Duty</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None</w:t>
            </w:r>
          </w:p>
        </w:tc>
        <w:tc>
          <w:tcPr>
            <w:tcW w:w="300" w:type="dxa"/>
            <w:vAlign w:val="bottom"/>
            <w:shd w:val="clear" w:color="auto" w:fill="CCEEFF"/>
          </w:tcPr>
          <w:p>
            <w:pPr>
              <w:spacing w:after="0"/>
              <w:rPr>
                <w:sz w:val="17"/>
                <w:szCs w:val="17"/>
                <w:color w:val="auto"/>
              </w:rPr>
            </w:pPr>
          </w:p>
        </w:tc>
        <w:tc>
          <w:tcPr>
            <w:tcW w:w="2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Peterbilt, Hino, UD, Blue Bird, Elkhart</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2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Diamond Coach</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16"/>
        </w:trPr>
        <w:tc>
          <w:tcPr>
            <w:tcW w:w="2240" w:type="dxa"/>
            <w:vAlign w:val="bottom"/>
          </w:tcPr>
          <w:p>
            <w:pPr>
              <w:ind w:left="200"/>
              <w:spacing w:after="0"/>
              <w:rPr>
                <w:sz w:val="20"/>
                <w:szCs w:val="20"/>
                <w:color w:val="auto"/>
              </w:rPr>
            </w:pPr>
            <w:r>
              <w:rPr>
                <w:rFonts w:ascii="Arial" w:cs="Arial" w:eastAsia="Arial" w:hAnsi="Arial"/>
                <w:sz w:val="18"/>
                <w:szCs w:val="18"/>
                <w:color w:val="auto"/>
              </w:rPr>
              <w:t>Dallas</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1"/>
              </w:rPr>
              <w:t>Ford, Isuzu</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 Paso</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Peterbilt, Hino, Isuzu</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02"/>
        </w:trPr>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Fort Worth</w:t>
            </w:r>
          </w:p>
        </w:tc>
        <w:tc>
          <w:tcPr>
            <w:tcW w:w="3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17"/>
                <w:szCs w:val="17"/>
                <w:color w:val="auto"/>
              </w:rPr>
            </w:pPr>
          </w:p>
        </w:tc>
        <w:tc>
          <w:tcPr>
            <w:tcW w:w="2980" w:type="dxa"/>
            <w:vAlign w:val="bottom"/>
          </w:tcPr>
          <w:p>
            <w:pPr>
              <w:jc w:val="center"/>
              <w:spacing w:after="0" w:line="201" w:lineRule="exact"/>
              <w:rPr>
                <w:sz w:val="20"/>
                <w:szCs w:val="20"/>
                <w:color w:val="auto"/>
              </w:rPr>
            </w:pPr>
            <w:r>
              <w:rPr>
                <w:rFonts w:ascii="Arial" w:cs="Arial" w:eastAsia="Arial" w:hAnsi="Arial"/>
                <w:sz w:val="18"/>
                <w:szCs w:val="18"/>
                <w:color w:val="auto"/>
                <w:w w:val="94"/>
              </w:rPr>
              <w:t>Peterbilt, UD, Blue Bird, Elkhart,</w:t>
            </w:r>
          </w:p>
        </w:tc>
        <w:tc>
          <w:tcPr>
            <w:tcW w:w="3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7"/>
                <w:szCs w:val="17"/>
                <w:color w:val="auto"/>
              </w:rPr>
            </w:pP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1"/>
              </w:rPr>
              <w:t>Diamond Coach</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2"/>
        </w:trPr>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Houston</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7"/>
                <w:szCs w:val="17"/>
                <w:color w:val="auto"/>
              </w:rPr>
            </w:pPr>
          </w:p>
        </w:tc>
        <w:tc>
          <w:tcPr>
            <w:tcW w:w="2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Peterbilt, Hino, Blue Bird, Elkhart,</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r>
      <w:tr>
        <w:trPr>
          <w:trHeight w:val="230"/>
        </w:trPr>
        <w:tc>
          <w:tcPr>
            <w:tcW w:w="2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Diamond Coach</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02"/>
        </w:trPr>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Laredo</w:t>
            </w:r>
          </w:p>
        </w:tc>
        <w:tc>
          <w:tcPr>
            <w:tcW w:w="3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17"/>
                <w:szCs w:val="17"/>
                <w:color w:val="auto"/>
              </w:rPr>
            </w:pPr>
          </w:p>
        </w:tc>
        <w:tc>
          <w:tcPr>
            <w:tcW w:w="2980" w:type="dxa"/>
            <w:vAlign w:val="bottom"/>
          </w:tcPr>
          <w:p>
            <w:pPr>
              <w:jc w:val="center"/>
              <w:spacing w:after="0" w:line="201" w:lineRule="exact"/>
              <w:rPr>
                <w:sz w:val="20"/>
                <w:szCs w:val="20"/>
                <w:color w:val="auto"/>
              </w:rPr>
            </w:pPr>
            <w:r>
              <w:rPr>
                <w:rFonts w:ascii="Arial" w:cs="Arial" w:eastAsia="Arial" w:hAnsi="Arial"/>
                <w:sz w:val="18"/>
                <w:szCs w:val="18"/>
                <w:color w:val="auto"/>
                <w:w w:val="93"/>
              </w:rPr>
              <w:t>Peterbilt, Blue Bird, Elkhart, Diamond</w:t>
            </w:r>
          </w:p>
        </w:tc>
        <w:tc>
          <w:tcPr>
            <w:tcW w:w="3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7"/>
                <w:szCs w:val="17"/>
                <w:color w:val="auto"/>
              </w:rPr>
            </w:pP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r>
      <w:tr>
        <w:trPr>
          <w:trHeight w:val="230"/>
        </w:trPr>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Coach</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2"/>
        </w:trPr>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Lufkin</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7"/>
                <w:szCs w:val="17"/>
                <w:color w:val="auto"/>
              </w:rPr>
            </w:pPr>
          </w:p>
        </w:tc>
        <w:tc>
          <w:tcPr>
            <w:tcW w:w="2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Peterbilt, Blue Bird, Elkhart, Diamond</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r>
      <w:tr>
        <w:trPr>
          <w:trHeight w:val="230"/>
        </w:trPr>
        <w:tc>
          <w:tcPr>
            <w:tcW w:w="2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Coach</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02"/>
        </w:trPr>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Pharr</w:t>
            </w:r>
          </w:p>
        </w:tc>
        <w:tc>
          <w:tcPr>
            <w:tcW w:w="3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17"/>
                <w:szCs w:val="17"/>
                <w:color w:val="auto"/>
              </w:rPr>
            </w:pPr>
          </w:p>
        </w:tc>
        <w:tc>
          <w:tcPr>
            <w:tcW w:w="2980" w:type="dxa"/>
            <w:vAlign w:val="bottom"/>
          </w:tcPr>
          <w:p>
            <w:pPr>
              <w:jc w:val="center"/>
              <w:spacing w:after="0" w:line="201" w:lineRule="exact"/>
              <w:rPr>
                <w:sz w:val="20"/>
                <w:szCs w:val="20"/>
                <w:color w:val="auto"/>
              </w:rPr>
            </w:pPr>
            <w:r>
              <w:rPr>
                <w:rFonts w:ascii="Arial" w:cs="Arial" w:eastAsia="Arial" w:hAnsi="Arial"/>
                <w:sz w:val="18"/>
                <w:szCs w:val="18"/>
                <w:color w:val="auto"/>
                <w:w w:val="94"/>
              </w:rPr>
              <w:t>Peterbilt, Hino, Blue Bird, Elkhart,</w:t>
            </w:r>
          </w:p>
        </w:tc>
        <w:tc>
          <w:tcPr>
            <w:tcW w:w="3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7"/>
                <w:szCs w:val="17"/>
                <w:color w:val="auto"/>
              </w:rPr>
            </w:pP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r>
      <w:tr>
        <w:trPr>
          <w:trHeight w:val="230"/>
        </w:trPr>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1"/>
              </w:rPr>
              <w:t>Diamond Coach</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2"/>
        </w:trPr>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San Antonio</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7"/>
                <w:szCs w:val="17"/>
                <w:color w:val="auto"/>
              </w:rPr>
            </w:pPr>
          </w:p>
        </w:tc>
        <w:tc>
          <w:tcPr>
            <w:tcW w:w="2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Peterbilt, Hino, Blue Bird, Elkhart,</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r>
      <w:tr>
        <w:trPr>
          <w:trHeight w:val="230"/>
        </w:trPr>
        <w:tc>
          <w:tcPr>
            <w:tcW w:w="2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Diamond Coach</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02"/>
        </w:trPr>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Sealy</w:t>
            </w:r>
          </w:p>
        </w:tc>
        <w:tc>
          <w:tcPr>
            <w:tcW w:w="3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17"/>
                <w:szCs w:val="17"/>
                <w:color w:val="auto"/>
              </w:rPr>
            </w:pPr>
          </w:p>
        </w:tc>
        <w:tc>
          <w:tcPr>
            <w:tcW w:w="2980" w:type="dxa"/>
            <w:vAlign w:val="bottom"/>
          </w:tcPr>
          <w:p>
            <w:pPr>
              <w:jc w:val="center"/>
              <w:spacing w:after="0" w:line="201" w:lineRule="exact"/>
              <w:rPr>
                <w:sz w:val="20"/>
                <w:szCs w:val="20"/>
                <w:color w:val="auto"/>
              </w:rPr>
            </w:pPr>
            <w:r>
              <w:rPr>
                <w:rFonts w:ascii="Arial" w:cs="Arial" w:eastAsia="Arial" w:hAnsi="Arial"/>
                <w:sz w:val="18"/>
                <w:szCs w:val="18"/>
                <w:color w:val="auto"/>
                <w:w w:val="92"/>
              </w:rPr>
              <w:t>Peterbilt, Isuzu, Blue Bird, Elkhart,</w:t>
            </w:r>
          </w:p>
        </w:tc>
        <w:tc>
          <w:tcPr>
            <w:tcW w:w="3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7"/>
                <w:szCs w:val="17"/>
                <w:color w:val="auto"/>
              </w:rPr>
            </w:pP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1"/>
              </w:rPr>
              <w:t>Diamond Coach</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2"/>
        </w:trPr>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Texarkana</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7"/>
                <w:szCs w:val="17"/>
                <w:color w:val="auto"/>
              </w:rPr>
            </w:pPr>
          </w:p>
        </w:tc>
        <w:tc>
          <w:tcPr>
            <w:tcW w:w="2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Peterbilt, Hino, Isuzu, Blue Bird,</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2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Elkhart, Diamond Coach</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02"/>
        </w:trPr>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Tyler</w:t>
            </w:r>
          </w:p>
        </w:tc>
        <w:tc>
          <w:tcPr>
            <w:tcW w:w="3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3"/>
              </w:rPr>
              <w:t>Peterbilt</w:t>
            </w:r>
          </w:p>
        </w:tc>
        <w:tc>
          <w:tcPr>
            <w:tcW w:w="300" w:type="dxa"/>
            <w:vAlign w:val="bottom"/>
          </w:tcPr>
          <w:p>
            <w:pPr>
              <w:spacing w:after="0"/>
              <w:rPr>
                <w:sz w:val="17"/>
                <w:szCs w:val="17"/>
                <w:color w:val="auto"/>
              </w:rPr>
            </w:pPr>
          </w:p>
        </w:tc>
        <w:tc>
          <w:tcPr>
            <w:tcW w:w="2980" w:type="dxa"/>
            <w:vAlign w:val="bottom"/>
          </w:tcPr>
          <w:p>
            <w:pPr>
              <w:jc w:val="center"/>
              <w:spacing w:after="0" w:line="201" w:lineRule="exact"/>
              <w:rPr>
                <w:sz w:val="20"/>
                <w:szCs w:val="20"/>
                <w:color w:val="auto"/>
              </w:rPr>
            </w:pPr>
            <w:r>
              <w:rPr>
                <w:rFonts w:ascii="Arial" w:cs="Arial" w:eastAsia="Arial" w:hAnsi="Arial"/>
                <w:sz w:val="18"/>
                <w:szCs w:val="18"/>
                <w:color w:val="auto"/>
                <w:w w:val="93"/>
              </w:rPr>
              <w:t>Peterbilt, Blue Bird, Elkhart, Diamond</w:t>
            </w:r>
          </w:p>
        </w:tc>
        <w:tc>
          <w:tcPr>
            <w:tcW w:w="3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7"/>
                <w:szCs w:val="17"/>
                <w:color w:val="auto"/>
              </w:rPr>
            </w:pP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Coach</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2"/>
        </w:trPr>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Waco</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7"/>
                <w:szCs w:val="17"/>
                <w:color w:val="auto"/>
              </w:rPr>
            </w:pPr>
          </w:p>
        </w:tc>
        <w:tc>
          <w:tcPr>
            <w:tcW w:w="2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Peterbilt, Hino, Isuzu, Blue Bird,</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2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Elkhart, Diamond Coach</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432"/>
        </w:trPr>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Utah:</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Helper</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240" w:type="dxa"/>
            <w:vAlign w:val="bottom"/>
          </w:tcPr>
          <w:p>
            <w:pPr>
              <w:ind w:left="200"/>
              <w:spacing w:after="0"/>
              <w:rPr>
                <w:sz w:val="20"/>
                <w:szCs w:val="20"/>
                <w:color w:val="auto"/>
              </w:rPr>
            </w:pPr>
            <w:r>
              <w:rPr>
                <w:rFonts w:ascii="Arial" w:cs="Arial" w:eastAsia="Arial" w:hAnsi="Arial"/>
                <w:sz w:val="18"/>
                <w:szCs w:val="18"/>
                <w:color w:val="auto"/>
              </w:rPr>
              <w:t>Farr West</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3"/>
              </w:rPr>
              <w:t>International, IC Bus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Salt Lake City</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International</w:t>
            </w:r>
          </w:p>
        </w:tc>
        <w:tc>
          <w:tcPr>
            <w:tcW w:w="300" w:type="dxa"/>
            <w:vAlign w:val="bottom"/>
            <w:shd w:val="clear" w:color="auto" w:fill="CCEEFF"/>
          </w:tcPr>
          <w:p>
            <w:pPr>
              <w:spacing w:after="0"/>
              <w:rPr>
                <w:sz w:val="17"/>
                <w:szCs w:val="17"/>
                <w:color w:val="auto"/>
              </w:rPr>
            </w:pPr>
          </w:p>
        </w:tc>
        <w:tc>
          <w:tcPr>
            <w:tcW w:w="2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International, IC Bus, Autocar,</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r>
      <w:tr>
        <w:trPr>
          <w:trHeight w:val="230"/>
        </w:trPr>
        <w:tc>
          <w:tcPr>
            <w:tcW w:w="2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Mitsubishi Fuso, Workhorse</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16"/>
        </w:trPr>
        <w:tc>
          <w:tcPr>
            <w:tcW w:w="2240" w:type="dxa"/>
            <w:vAlign w:val="bottom"/>
          </w:tcPr>
          <w:p>
            <w:pPr>
              <w:ind w:left="200"/>
              <w:spacing w:after="0"/>
              <w:rPr>
                <w:sz w:val="20"/>
                <w:szCs w:val="20"/>
                <w:color w:val="auto"/>
              </w:rPr>
            </w:pPr>
            <w:r>
              <w:rPr>
                <w:rFonts w:ascii="Arial" w:cs="Arial" w:eastAsia="Arial" w:hAnsi="Arial"/>
                <w:sz w:val="18"/>
                <w:szCs w:val="18"/>
                <w:color w:val="auto"/>
              </w:rPr>
              <w:t>Springville</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3"/>
              </w:rPr>
              <w:t>International, Mitsubishi Fuso</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 George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3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International, Mitsubishi Fuso</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778"/>
        <w:spacing w:after="0" w:line="286" w:lineRule="auto"/>
        <w:rPr>
          <w:sz w:val="20"/>
          <w:szCs w:val="20"/>
          <w:color w:val="auto"/>
        </w:rPr>
      </w:pPr>
      <w:r>
        <w:rPr>
          <w:rFonts w:ascii="Arial" w:cs="Arial" w:eastAsia="Arial" w:hAnsi="Arial"/>
          <w:sz w:val="17"/>
          <w:szCs w:val="17"/>
          <w:i w:val="1"/>
          <w:iCs w:val="1"/>
          <w:color w:val="auto"/>
        </w:rPr>
        <w:t xml:space="preserve">Leasing and Rental Services. </w:t>
      </w:r>
      <w:r>
        <w:rPr>
          <w:rFonts w:ascii="Arial" w:cs="Arial" w:eastAsia="Arial" w:hAnsi="Arial"/>
          <w:sz w:val="17"/>
          <w:szCs w:val="17"/>
          <w:color w:val="auto"/>
        </w:rPr>
        <w:t>Through certain of our Rush Truck Centers and several stand-alone Rush Truck Leasing</w:t>
      </w:r>
      <w:r>
        <w:rPr>
          <w:rFonts w:ascii="Arial" w:cs="Arial" w:eastAsia="Arial" w:hAnsi="Arial"/>
          <w:sz w:val="17"/>
          <w:szCs w:val="17"/>
          <w:i w:val="1"/>
          <w:iCs w:val="1"/>
          <w:color w:val="auto"/>
        </w:rPr>
        <w:t xml:space="preserve"> </w:t>
      </w:r>
      <w:r>
        <w:rPr>
          <w:rFonts w:ascii="Arial" w:cs="Arial" w:eastAsia="Arial" w:hAnsi="Arial"/>
          <w:sz w:val="17"/>
          <w:szCs w:val="17"/>
          <w:color w:val="auto"/>
        </w:rPr>
        <w:t>Centers, we provide a broad line of product selections for lease or rent, including Class 4, Class 5, Class 6, Class 7 and Class 8 trucks, heavy-duty cranes and refuse haulers. Our lease and rental fleets are offered on a daily, monthly or long-term basis.</w:t>
      </w:r>
    </w:p>
    <w:p>
      <w:pPr>
        <w:spacing w:after="0" w:line="139"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i w:val="1"/>
          <w:iCs w:val="1"/>
          <w:color w:val="auto"/>
        </w:rPr>
        <w:t xml:space="preserve">Financial and Insurance Products. </w:t>
      </w:r>
      <w:r>
        <w:rPr>
          <w:rFonts w:ascii="Arial" w:cs="Arial" w:eastAsia="Arial" w:hAnsi="Arial"/>
          <w:sz w:val="18"/>
          <w:szCs w:val="18"/>
          <w:color w:val="auto"/>
        </w:rPr>
        <w:t>At our dealerships we offer third-party financing to assist customers in purchasing new</w:t>
      </w:r>
      <w:r>
        <w:rPr>
          <w:rFonts w:ascii="Arial" w:cs="Arial" w:eastAsia="Arial" w:hAnsi="Arial"/>
          <w:sz w:val="18"/>
          <w:szCs w:val="18"/>
          <w:i w:val="1"/>
          <w:iCs w:val="1"/>
          <w:color w:val="auto"/>
        </w:rPr>
        <w:t xml:space="preserve"> </w:t>
      </w:r>
      <w:r>
        <w:rPr>
          <w:rFonts w:ascii="Arial" w:cs="Arial" w:eastAsia="Arial" w:hAnsi="Arial"/>
          <w:sz w:val="18"/>
          <w:szCs w:val="18"/>
          <w:color w:val="auto"/>
        </w:rPr>
        <w:t>and used commercial vehicles. Additionally, we sell, as agent, a complete line of property and casualty insurance, including collision and liability insurance on commercial vehicles, cargo insurance and credit life insurance.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Industry</w:t>
      </w:r>
    </w:p>
    <w:p>
      <w:pPr>
        <w:spacing w:after="0" w:line="189" w:lineRule="exact"/>
        <w:rPr>
          <w:sz w:val="20"/>
          <w:szCs w:val="20"/>
          <w:color w:val="auto"/>
        </w:rPr>
      </w:pPr>
    </w:p>
    <w:p>
      <w:pPr>
        <w:jc w:val="both"/>
        <w:ind w:left="340" w:right="179" w:firstLine="778"/>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Industry” for a description of our industry and the markets in which we operate.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Strategy</w:t>
      </w:r>
    </w:p>
    <w:p>
      <w:pPr>
        <w:spacing w:after="0" w:line="189" w:lineRule="exact"/>
        <w:rPr>
          <w:sz w:val="20"/>
          <w:szCs w:val="20"/>
          <w:color w:val="auto"/>
        </w:rPr>
      </w:pPr>
    </w:p>
    <w:p>
      <w:pPr>
        <w:jc w:val="both"/>
        <w:ind w:left="340" w:right="159" w:firstLine="778"/>
        <w:spacing w:after="0" w:line="277" w:lineRule="auto"/>
        <w:rPr>
          <w:sz w:val="20"/>
          <w:szCs w:val="20"/>
          <w:color w:val="auto"/>
        </w:rPr>
      </w:pPr>
      <w:r>
        <w:rPr>
          <w:rFonts w:ascii="Arial" w:cs="Arial" w:eastAsia="Arial" w:hAnsi="Arial"/>
          <w:sz w:val="18"/>
          <w:szCs w:val="18"/>
          <w:i w:val="1"/>
          <w:iCs w:val="1"/>
          <w:color w:val="auto"/>
        </w:rPr>
        <w:t xml:space="preserve">Operating Strategy. </w:t>
      </w:r>
      <w:r>
        <w:rPr>
          <w:rFonts w:ascii="Arial" w:cs="Arial" w:eastAsia="Arial" w:hAnsi="Arial"/>
          <w:sz w:val="18"/>
          <w:szCs w:val="18"/>
          <w:color w:val="auto"/>
        </w:rPr>
        <w:t>Our strategy is to operate an integrated dealer network that provides complementary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Our strategy includes the following key elements:</w:t>
      </w:r>
    </w:p>
    <w:p>
      <w:pPr>
        <w:spacing w:after="0" w:line="130" w:lineRule="exact"/>
        <w:rPr>
          <w:sz w:val="20"/>
          <w:szCs w:val="20"/>
          <w:color w:val="auto"/>
        </w:rPr>
      </w:pPr>
    </w:p>
    <w:p>
      <w:pPr>
        <w:jc w:val="both"/>
        <w:ind w:left="1480" w:right="159" w:hanging="378"/>
        <w:spacing w:after="0" w:line="255" w:lineRule="auto"/>
        <w:tabs>
          <w:tab w:leader="none" w:pos="1480" w:val="left"/>
        </w:tabs>
        <w:numPr>
          <w:ilvl w:val="0"/>
          <w:numId w:val="1"/>
        </w:numPr>
        <w:rPr>
          <w:rFonts w:ascii="Arial" w:cs="Arial" w:eastAsia="Arial" w:hAnsi="Arial"/>
          <w:sz w:val="18"/>
          <w:szCs w:val="18"/>
          <w:b w:val="1"/>
          <w:bCs w:val="1"/>
          <w:color w:val="auto"/>
        </w:rPr>
      </w:pPr>
      <w:r>
        <w:rPr>
          <w:rFonts w:ascii="Arial" w:cs="Arial" w:eastAsia="Arial" w:hAnsi="Arial"/>
          <w:sz w:val="18"/>
          <w:szCs w:val="18"/>
          <w:u w:val="single" w:color="auto"/>
          <w:color w:val="auto"/>
        </w:rPr>
        <w:t>One-Stop Centers</w:t>
      </w:r>
      <w:r>
        <w:rPr>
          <w:rFonts w:ascii="Arial" w:cs="Arial" w:eastAsia="Arial" w:hAnsi="Arial"/>
          <w:sz w:val="18"/>
          <w:szCs w:val="18"/>
          <w:color w:val="auto"/>
        </w:rPr>
        <w:t>. We have developed our commercial vehicle dealerships as “one-stop centers” where, at one convenient location, our customers can do the following: purchase new and used commercial vehicles; finance, lease or rent commercial vehicles; purchase aftermarket parts and accessories; and have service performed by certified technicians. We believe that this full-service strategy also helps to mitigate cyclical economic fluctuations because the parts and service sales at our dealerships generally tend to be less volatile than our new and used commercial vehicle sales.</w:t>
      </w:r>
    </w:p>
    <w:p>
      <w:pPr>
        <w:spacing w:after="0" w:line="166" w:lineRule="exact"/>
        <w:rPr>
          <w:rFonts w:ascii="Arial" w:cs="Arial" w:eastAsia="Arial" w:hAnsi="Arial"/>
          <w:sz w:val="18"/>
          <w:szCs w:val="18"/>
          <w:b w:val="1"/>
          <w:bCs w:val="1"/>
          <w:color w:val="auto"/>
        </w:rPr>
      </w:pPr>
    </w:p>
    <w:p>
      <w:pPr>
        <w:jc w:val="both"/>
        <w:ind w:left="1480" w:right="179" w:hanging="378"/>
        <w:spacing w:after="0" w:line="264" w:lineRule="auto"/>
        <w:tabs>
          <w:tab w:leader="none" w:pos="1480" w:val="left"/>
        </w:tabs>
        <w:numPr>
          <w:ilvl w:val="0"/>
          <w:numId w:val="1"/>
        </w:numPr>
        <w:rPr>
          <w:rFonts w:ascii="Arial" w:cs="Arial" w:eastAsia="Arial" w:hAnsi="Arial"/>
          <w:sz w:val="18"/>
          <w:szCs w:val="18"/>
          <w:b w:val="1"/>
          <w:bCs w:val="1"/>
          <w:color w:val="auto"/>
        </w:rPr>
      </w:pPr>
      <w:r>
        <w:rPr>
          <w:rFonts w:ascii="Arial" w:cs="Arial" w:eastAsia="Arial" w:hAnsi="Arial"/>
          <w:sz w:val="18"/>
          <w:szCs w:val="18"/>
          <w:u w:val="single" w:color="auto"/>
          <w:color w:val="auto"/>
        </w:rPr>
        <w:t>Branding Program</w:t>
      </w:r>
      <w:r>
        <w:rPr>
          <w:rFonts w:ascii="Arial" w:cs="Arial" w:eastAsia="Arial" w:hAnsi="Arial"/>
          <w:sz w:val="18"/>
          <w:szCs w:val="18"/>
          <w:color w:val="auto"/>
        </w:rPr>
        <w:t>. We employ a branding program for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40" w:lineRule="exact"/>
        <w:rPr>
          <w:rFonts w:ascii="Arial" w:cs="Arial" w:eastAsia="Arial" w:hAnsi="Arial"/>
          <w:sz w:val="18"/>
          <w:szCs w:val="18"/>
          <w:b w:val="1"/>
          <w:bCs w:val="1"/>
          <w:color w:val="auto"/>
        </w:rPr>
      </w:pPr>
    </w:p>
    <w:p>
      <w:pPr>
        <w:jc w:val="both"/>
        <w:ind w:left="1480" w:right="159" w:hanging="378"/>
        <w:spacing w:after="0" w:line="255" w:lineRule="auto"/>
        <w:tabs>
          <w:tab w:leader="none" w:pos="1480" w:val="left"/>
        </w:tabs>
        <w:numPr>
          <w:ilvl w:val="0"/>
          <w:numId w:val="1"/>
        </w:numPr>
        <w:rPr>
          <w:rFonts w:ascii="Arial" w:cs="Arial" w:eastAsia="Arial" w:hAnsi="Arial"/>
          <w:sz w:val="18"/>
          <w:szCs w:val="18"/>
          <w:b w:val="1"/>
          <w:bCs w:val="1"/>
          <w:color w:val="auto"/>
        </w:rPr>
      </w:pPr>
      <w:r>
        <w:rPr>
          <w:rFonts w:ascii="Arial" w:cs="Arial" w:eastAsia="Arial" w:hAnsi="Arial"/>
          <w:sz w:val="18"/>
          <w:szCs w:val="18"/>
          <w:u w:val="single" w:color="auto"/>
          <w:color w:val="auto"/>
        </w:rPr>
        <w:t>Management by Dealership Units</w:t>
      </w:r>
      <w:r>
        <w:rPr>
          <w:rFonts w:ascii="Arial" w:cs="Arial" w:eastAsia="Arial" w:hAnsi="Arial"/>
          <w:sz w:val="18"/>
          <w:szCs w:val="18"/>
          <w:color w:val="auto"/>
        </w:rPr>
        <w:t>. At each of our dealerships, we operate one or more of the following departments: new sales, used sales, financial services, parts, service or body shop. Our general managers measure and manage the operations of each of our dealerships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w:t>
      </w:r>
    </w:p>
    <w:p>
      <w:pPr>
        <w:spacing w:after="0" w:line="152" w:lineRule="exact"/>
        <w:rPr>
          <w:rFonts w:ascii="Arial" w:cs="Arial" w:eastAsia="Arial" w:hAnsi="Arial"/>
          <w:sz w:val="18"/>
          <w:szCs w:val="18"/>
          <w:b w:val="1"/>
          <w:bCs w:val="1"/>
          <w:color w:val="auto"/>
        </w:rPr>
      </w:pPr>
    </w:p>
    <w:p>
      <w:pPr>
        <w:jc w:val="both"/>
        <w:ind w:left="1480" w:right="159" w:hanging="378"/>
        <w:spacing w:after="0" w:line="272" w:lineRule="auto"/>
        <w:tabs>
          <w:tab w:leader="none" w:pos="1480" w:val="left"/>
        </w:tabs>
        <w:numPr>
          <w:ilvl w:val="0"/>
          <w:numId w:val="1"/>
        </w:numPr>
        <w:rPr>
          <w:rFonts w:ascii="Arial" w:cs="Arial" w:eastAsia="Arial" w:hAnsi="Arial"/>
          <w:sz w:val="17"/>
          <w:szCs w:val="17"/>
          <w:b w:val="1"/>
          <w:bCs w:val="1"/>
          <w:color w:val="auto"/>
        </w:rPr>
      </w:pPr>
      <w:r>
        <w:rPr>
          <w:rFonts w:ascii="Arial" w:cs="Arial" w:eastAsia="Arial" w:hAnsi="Arial"/>
          <w:sz w:val="17"/>
          <w:szCs w:val="17"/>
          <w:u w:val="single" w:color="auto"/>
          <w:color w:val="auto"/>
        </w:rPr>
        <w:t>Integrated Management Information Systems</w:t>
      </w:r>
      <w:r>
        <w:rPr>
          <w:rFonts w:ascii="Arial" w:cs="Arial" w:eastAsia="Arial" w:hAnsi="Arial"/>
          <w:sz w:val="17"/>
          <w:szCs w:val="17"/>
          <w:color w:val="auto"/>
        </w:rPr>
        <w:t>. In order to efficiently operate separate departments within each dealership, we rely upon our management information systems to determine and monitor appropriate inventory levels and product mix at each Rush Truck Center. Our parts reordering system assists each Rush Truck Center in maintaining the proper inventory levels and typically permits inventory delivery to each location, or directly to customers, within 24 hours from the time the order is placed. In addition, by actively monitoring market conditions, assessing product and expansion strategies and remaining abreast of changes within the market, we are able to proactively address market-by-market changes by realigning and, if necessary, adding product lines and models.</w:t>
      </w:r>
    </w:p>
    <w:p>
      <w:pPr>
        <w:spacing w:after="0" w:line="151"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i w:val="1"/>
          <w:iCs w:val="1"/>
          <w:color w:val="auto"/>
        </w:rPr>
        <w:t xml:space="preserve">Growth Strategy. </w:t>
      </w:r>
      <w:r>
        <w:rPr>
          <w:rFonts w:ascii="Arial" w:cs="Arial" w:eastAsia="Arial" w:hAnsi="Arial"/>
          <w:sz w:val="18"/>
          <w:szCs w:val="18"/>
          <w:color w:val="auto"/>
        </w:rPr>
        <w:t>Through our expansion and acquisition initiatives, we have grown to operate a large, multistate, full-service network of commercial vehicle dealerships. As described below, we intend to continue to grow our business internally and through acquisitions by expanding into new geographic areas, expanding our product offerings and opening new dealerships in existing markets.</w:t>
      </w:r>
    </w:p>
    <w:p>
      <w:pPr>
        <w:spacing w:after="0" w:line="146" w:lineRule="exact"/>
        <w:rPr>
          <w:sz w:val="20"/>
          <w:szCs w:val="20"/>
          <w:color w:val="auto"/>
        </w:rPr>
      </w:pPr>
    </w:p>
    <w:p>
      <w:pPr>
        <w:jc w:val="both"/>
        <w:ind w:left="1480" w:right="159" w:hanging="378"/>
        <w:spacing w:after="0" w:line="293" w:lineRule="auto"/>
        <w:tabs>
          <w:tab w:leader="none" w:pos="1480" w:val="left"/>
        </w:tabs>
        <w:numPr>
          <w:ilvl w:val="0"/>
          <w:numId w:val="2"/>
        </w:numPr>
        <w:rPr>
          <w:rFonts w:ascii="Arial" w:cs="Arial" w:eastAsia="Arial" w:hAnsi="Arial"/>
          <w:sz w:val="16"/>
          <w:szCs w:val="16"/>
          <w:b w:val="1"/>
          <w:bCs w:val="1"/>
          <w:color w:val="auto"/>
        </w:rPr>
      </w:pPr>
      <w:r>
        <w:rPr>
          <w:rFonts w:ascii="Arial" w:cs="Arial" w:eastAsia="Arial" w:hAnsi="Arial"/>
          <w:sz w:val="16"/>
          <w:szCs w:val="16"/>
          <w:u w:val="single" w:color="auto"/>
          <w:color w:val="auto"/>
        </w:rPr>
        <w:t>Expansion Into New Geographic Areas.</w:t>
      </w:r>
      <w:r>
        <w:rPr>
          <w:rFonts w:ascii="Arial" w:cs="Arial" w:eastAsia="Arial" w:hAnsi="Arial"/>
          <w:sz w:val="16"/>
          <w:szCs w:val="16"/>
          <w:color w:val="auto"/>
        </w:rPr>
        <w:t xml:space="preserve"> We plan to continue to expand our dealership network by acquiring additional dealerships in geographic areas contiguous to our current operations. We have successfully expanded our presence from our Texas base into a coast-to-coast network of Rush Truck Centers. We believe the geographic diversity of our Rush Truck Center network has significantly expanded our customer base while reducing the effects of local economic cycles. Geographic diversification supports the sale of commercial vehicles and parts by allowing us to allocate our inventory among the geographic regions we serve based on market demand within these regions.</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jc w:val="both"/>
        <w:ind w:left="1480" w:right="179" w:hanging="378"/>
        <w:spacing w:after="0" w:line="264" w:lineRule="auto"/>
        <w:tabs>
          <w:tab w:leader="none" w:pos="1480" w:val="left"/>
        </w:tabs>
        <w:numPr>
          <w:ilvl w:val="0"/>
          <w:numId w:val="3"/>
        </w:numPr>
        <w:rPr>
          <w:rFonts w:ascii="Arial" w:cs="Arial" w:eastAsia="Arial" w:hAnsi="Arial"/>
          <w:sz w:val="18"/>
          <w:szCs w:val="18"/>
          <w:b w:val="1"/>
          <w:bCs w:val="1"/>
          <w:color w:val="auto"/>
        </w:rPr>
      </w:pPr>
      <w:r>
        <w:rPr>
          <w:rFonts w:ascii="Arial" w:cs="Arial" w:eastAsia="Arial" w:hAnsi="Arial"/>
          <w:sz w:val="18"/>
          <w:szCs w:val="18"/>
          <w:u w:val="single" w:color="auto"/>
          <w:color w:val="auto"/>
        </w:rPr>
        <w:t>Expansion of Product Offerings.</w:t>
      </w:r>
      <w:r>
        <w:rPr>
          <w:rFonts w:ascii="Arial" w:cs="Arial" w:eastAsia="Arial" w:hAnsi="Arial"/>
          <w:sz w:val="18"/>
          <w:szCs w:val="18"/>
          <w:color w:val="auto"/>
        </w:rPr>
        <w:t xml:space="preserve"> We intend to continue to expand our product lines within our dealerships by adding product categories that are both complementary to our existing product lines and well suited to our operating model such as truck mounted cranes, refuse vehicles and towing vehicles.</w:t>
      </w:r>
    </w:p>
    <w:p>
      <w:pPr>
        <w:spacing w:after="0" w:line="140" w:lineRule="exact"/>
        <w:rPr>
          <w:rFonts w:ascii="Arial" w:cs="Arial" w:eastAsia="Arial" w:hAnsi="Arial"/>
          <w:sz w:val="18"/>
          <w:szCs w:val="18"/>
          <w:b w:val="1"/>
          <w:bCs w:val="1"/>
          <w:color w:val="auto"/>
        </w:rPr>
      </w:pPr>
    </w:p>
    <w:p>
      <w:pPr>
        <w:ind w:left="1480" w:right="17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believe that there are many additional product and service offerings that would complement our primary product lines. We expect any product category expansion that we pursue to satisfy our requirements that:</w:t>
      </w:r>
    </w:p>
    <w:p>
      <w:pPr>
        <w:spacing w:after="0" w:line="129" w:lineRule="exact"/>
        <w:rPr>
          <w:rFonts w:ascii="Arial" w:cs="Arial" w:eastAsia="Arial" w:hAnsi="Arial"/>
          <w:sz w:val="18"/>
          <w:szCs w:val="18"/>
          <w:b w:val="1"/>
          <w:bCs w:val="1"/>
          <w:color w:val="auto"/>
        </w:rPr>
      </w:pPr>
    </w:p>
    <w:p>
      <w:pPr>
        <w:ind w:left="2260" w:hanging="375"/>
        <w:spacing w:after="0"/>
        <w:tabs>
          <w:tab w:leader="none" w:pos="22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the products serve a commercial customer base;</w:t>
      </w:r>
    </w:p>
    <w:p>
      <w:pPr>
        <w:spacing w:after="0" w:line="198" w:lineRule="exact"/>
        <w:rPr>
          <w:rFonts w:ascii="Arial" w:cs="Arial" w:eastAsia="Arial" w:hAnsi="Arial"/>
          <w:sz w:val="18"/>
          <w:szCs w:val="18"/>
          <w:b w:val="1"/>
          <w:bCs w:val="1"/>
          <w:color w:val="auto"/>
        </w:rPr>
      </w:pPr>
    </w:p>
    <w:p>
      <w:pPr>
        <w:ind w:left="2260" w:right="179" w:hanging="375"/>
        <w:spacing w:after="0" w:line="277" w:lineRule="auto"/>
        <w:tabs>
          <w:tab w:leader="none" w:pos="22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the products provide opportunities for incremental income through related aftermarket sales, service or financing; and</w:t>
      </w:r>
    </w:p>
    <w:p>
      <w:pPr>
        <w:spacing w:after="0" w:line="129" w:lineRule="exact"/>
        <w:rPr>
          <w:rFonts w:ascii="Arial" w:cs="Arial" w:eastAsia="Arial" w:hAnsi="Arial"/>
          <w:sz w:val="18"/>
          <w:szCs w:val="18"/>
          <w:b w:val="1"/>
          <w:bCs w:val="1"/>
          <w:color w:val="auto"/>
        </w:rPr>
      </w:pPr>
    </w:p>
    <w:p>
      <w:pPr>
        <w:ind w:left="2260" w:hanging="375"/>
        <w:spacing w:after="0"/>
        <w:tabs>
          <w:tab w:leader="none" w:pos="2260" w:val="left"/>
        </w:tabs>
        <w:numPr>
          <w:ilvl w:val="1"/>
          <w:numId w:val="3"/>
        </w:numPr>
        <w:rPr>
          <w:rFonts w:ascii="Arial" w:cs="Arial" w:eastAsia="Arial" w:hAnsi="Arial"/>
          <w:sz w:val="17"/>
          <w:szCs w:val="17"/>
          <w:b w:val="1"/>
          <w:bCs w:val="1"/>
          <w:color w:val="auto"/>
        </w:rPr>
      </w:pPr>
      <w:r>
        <w:rPr>
          <w:rFonts w:ascii="Arial" w:cs="Arial" w:eastAsia="Arial" w:hAnsi="Arial"/>
          <w:sz w:val="17"/>
          <w:szCs w:val="17"/>
          <w:color w:val="auto"/>
        </w:rPr>
        <w:t>Rush operating controls can be implemented to enhance the financial performance of the business.</w:t>
      </w:r>
    </w:p>
    <w:p>
      <w:pPr>
        <w:spacing w:after="0" w:line="196" w:lineRule="exact"/>
        <w:rPr>
          <w:rFonts w:ascii="Arial" w:cs="Arial" w:eastAsia="Arial" w:hAnsi="Arial"/>
          <w:sz w:val="17"/>
          <w:szCs w:val="17"/>
          <w:b w:val="1"/>
          <w:bCs w:val="1"/>
          <w:color w:val="auto"/>
        </w:rPr>
      </w:pPr>
    </w:p>
    <w:p>
      <w:pPr>
        <w:jc w:val="both"/>
        <w:ind w:left="1480" w:right="159" w:hanging="378"/>
        <w:spacing w:after="0" w:line="290" w:lineRule="auto"/>
        <w:tabs>
          <w:tab w:leader="none" w:pos="1480" w:val="left"/>
        </w:tabs>
        <w:numPr>
          <w:ilvl w:val="0"/>
          <w:numId w:val="3"/>
        </w:numPr>
        <w:rPr>
          <w:rFonts w:ascii="Arial" w:cs="Arial" w:eastAsia="Arial" w:hAnsi="Arial"/>
          <w:sz w:val="16"/>
          <w:szCs w:val="16"/>
          <w:b w:val="1"/>
          <w:bCs w:val="1"/>
          <w:color w:val="auto"/>
        </w:rPr>
      </w:pPr>
      <w:r>
        <w:rPr>
          <w:rFonts w:ascii="Arial" w:cs="Arial" w:eastAsia="Arial" w:hAnsi="Arial"/>
          <w:sz w:val="16"/>
          <w:szCs w:val="16"/>
          <w:u w:val="single" w:color="auto"/>
          <w:color w:val="auto"/>
        </w:rPr>
        <w:t>Open New Rush Truck Centers in Existing Areas of Operation.</w:t>
      </w:r>
      <w:r>
        <w:rPr>
          <w:rFonts w:ascii="Arial" w:cs="Arial" w:eastAsia="Arial" w:hAnsi="Arial"/>
          <w:sz w:val="16"/>
          <w:szCs w:val="16"/>
          <w:color w:val="auto"/>
        </w:rPr>
        <w:t xml:space="preserve"> We continually evaluate opportunities to increase our market share by adding new Rush Truck Centers to underserved markets within our current areas of operation. The introduction of additional Rush Truck Centers enables us to enhance revenues from our existing customer base as well as increase the awareness of the “Rush” brand name for new customers. In identifying new areas for expansion, we analyze the market’s level of new truck registrations, customer buying and leasing trends and the existence of competing franchises. We also assess the potential performance of a parts and service center. After a market has been strategically reviewed, we survey the region for a well-situated location. Whether we acquire existing dealerships or open a new dealership, we introduce our branding program and implement our integrated management system.</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 of Our Dealerships</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We manage our dealerships as described below.</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Rush Truck Centers</w:t>
      </w:r>
    </w:p>
    <w:p>
      <w:pPr>
        <w:spacing w:after="0" w:line="198"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Our Rush Truck Centers are responsible for sales of new and used commercial vehicles, as well as related parts 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services.</w:t>
      </w:r>
    </w:p>
    <w:p>
      <w:pPr>
        <w:spacing w:after="0" w:line="170"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u w:val="single" w:color="auto"/>
          <w:color w:val="auto"/>
        </w:rPr>
        <w:t>New Truck Sales</w:t>
      </w:r>
      <w:r>
        <w:rPr>
          <w:rFonts w:ascii="Arial" w:cs="Arial" w:eastAsia="Arial" w:hAnsi="Arial"/>
          <w:sz w:val="18"/>
          <w:szCs w:val="18"/>
          <w:color w:val="auto"/>
        </w:rPr>
        <w:t>. New heavy-duty truck sales represent the largest portion of our revenue, accounting for approximately $595.4 million, or 39.7%, of our total revenues in 2010. New Class 8 heavy-duty Peterbilt truck sales accounted for approximately 70.3% of our new truck revenues for 2010.</w:t>
      </w:r>
    </w:p>
    <w:p>
      <w:pPr>
        <w:spacing w:after="0" w:line="141" w:lineRule="exact"/>
        <w:rPr>
          <w:sz w:val="20"/>
          <w:szCs w:val="20"/>
          <w:color w:val="auto"/>
        </w:rPr>
      </w:pPr>
    </w:p>
    <w:p>
      <w:pPr>
        <w:jc w:val="both"/>
        <w:ind w:left="340" w:right="159" w:firstLine="778"/>
        <w:spacing w:after="0" w:line="271" w:lineRule="auto"/>
        <w:rPr>
          <w:sz w:val="20"/>
          <w:szCs w:val="20"/>
          <w:color w:val="auto"/>
        </w:rPr>
      </w:pPr>
      <w:r>
        <w:rPr>
          <w:rFonts w:ascii="Arial" w:cs="Arial" w:eastAsia="Arial" w:hAnsi="Arial"/>
          <w:sz w:val="17"/>
          <w:szCs w:val="17"/>
          <w:color w:val="auto"/>
        </w:rPr>
        <w:t xml:space="preserve">Our Rush Truck Centers that sell new and used Class 8 heavy-duty trucks also sell medium-duty commercial vehicles. Certain Rush Truck Centers sell medium-duty trucks manufactured by Peterbilt, Hino, Isuzu, Ford, International, Mitsubishi Fuso or UD and buses manufactured by Blue Bird, Diamond Coach, IC BUS and Elkhart (see Part I, Item 1, “General — </w:t>
      </w:r>
      <w:r>
        <w:rPr>
          <w:rFonts w:ascii="Arial" w:cs="Arial" w:eastAsia="Arial" w:hAnsi="Arial"/>
          <w:sz w:val="17"/>
          <w:szCs w:val="17"/>
          <w:i w:val="1"/>
          <w:iCs w:val="1"/>
          <w:color w:val="auto"/>
        </w:rPr>
        <w:t>Rush Truck Centers</w:t>
      </w:r>
      <w:r>
        <w:rPr>
          <w:rFonts w:ascii="Arial" w:cs="Arial" w:eastAsia="Arial" w:hAnsi="Arial"/>
          <w:sz w:val="17"/>
          <w:szCs w:val="17"/>
          <w:color w:val="auto"/>
        </w:rPr>
        <w:t>” for information on which brands we sell at each Rush Truck Center). New medium-duty commercial vehicle sales, excluding new bus sales, accounted for approximately $148.8 million, or 9.9% of our total revenues for 2010, and 18.9% of our new commercial vehicles revenues for 2010. Our customers use heavy- and medium-duty trucks to haul various materials, including general freight, petroleum, wood products, refuse and construction materials. New bus sales accounted for approximately $41.3 million, or 2.8% of our total revenues for 2010, and 5.24% of our new truck revenues for 2010.</w:t>
      </w:r>
    </w:p>
    <w:p>
      <w:pPr>
        <w:spacing w:after="0" w:line="200" w:lineRule="exact"/>
        <w:rPr>
          <w:sz w:val="20"/>
          <w:szCs w:val="20"/>
          <w:color w:val="auto"/>
        </w:rPr>
      </w:pPr>
    </w:p>
    <w:p>
      <w:pPr>
        <w:spacing w:after="0" w:line="3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778"/>
        <w:spacing w:after="0" w:line="272" w:lineRule="auto"/>
        <w:rPr>
          <w:sz w:val="20"/>
          <w:szCs w:val="20"/>
          <w:color w:val="auto"/>
        </w:rPr>
      </w:pPr>
      <w:r>
        <w:rPr>
          <w:rFonts w:ascii="Arial" w:cs="Arial" w:eastAsia="Arial" w:hAnsi="Arial"/>
          <w:sz w:val="17"/>
          <w:szCs w:val="17"/>
          <w:color w:val="auto"/>
        </w:rPr>
        <w:t>A significant portion of our new truck sales are to fleet customers (customers who purchase more than five trucks in any 12-month period). Because of the size of our Rush Truck Center network, our strong relationships with our fleet customers and our ability to handle large quantities of used truck trade-ins, we are able to successfully market and sell to fleet customers nationwide. We believe that we have a competitive advantage over most other dealers in that we can absorb multi-unit trade-ins often associated with fleet sales and effectively disperse the used trucks for resale throughout our dealership network. We believe that our attention to customer service and our broad range of trucking services, including our ability to offer commercial vehicle financing and insurance to our customers, has resulted in a high level of customer loyalty.</w:t>
      </w:r>
    </w:p>
    <w:p>
      <w:pPr>
        <w:spacing w:after="0" w:line="151" w:lineRule="exact"/>
        <w:rPr>
          <w:sz w:val="20"/>
          <w:szCs w:val="20"/>
          <w:color w:val="auto"/>
        </w:rPr>
      </w:pPr>
    </w:p>
    <w:p>
      <w:pPr>
        <w:jc w:val="both"/>
        <w:ind w:left="340" w:right="159" w:firstLine="778"/>
        <w:spacing w:after="0" w:line="255" w:lineRule="auto"/>
        <w:rPr>
          <w:sz w:val="20"/>
          <w:szCs w:val="20"/>
          <w:color w:val="auto"/>
        </w:rPr>
      </w:pPr>
      <w:r>
        <w:rPr>
          <w:rFonts w:ascii="Arial" w:cs="Arial" w:eastAsia="Arial" w:hAnsi="Arial"/>
          <w:sz w:val="18"/>
          <w:szCs w:val="18"/>
          <w:u w:val="single" w:color="auto"/>
          <w:color w:val="auto"/>
        </w:rPr>
        <w:t>Used Commercial Vehicle Sales</w:t>
      </w:r>
      <w:r>
        <w:rPr>
          <w:rFonts w:ascii="Arial" w:cs="Arial" w:eastAsia="Arial" w:hAnsi="Arial"/>
          <w:sz w:val="18"/>
          <w:szCs w:val="18"/>
          <w:color w:val="auto"/>
        </w:rPr>
        <w:t>. Used commercial vehicle sales accounted for approximately $139.0 million, or 9.3%, of our total revenues for 2010. We sell used commercial vehicles at most of our Rush Truck Centers. We believe that we are well positioned to market used commercial vehicles due to our ability to recondition them for resale utilizing the parts and service departments of our Rush Truck Centers and our ability to move used commercial vehicles between Rush Truck Centers to satisfy customer demand. The majority of our used commercial vehicle inventory consists of commercial vehicles taken as trade-ins from new customers, but we supplement our used commercial vehicle inventory by purchasing used commercial vehicles from third parties for resale.</w:t>
      </w:r>
    </w:p>
    <w:p>
      <w:pPr>
        <w:spacing w:after="0" w:line="149" w:lineRule="exact"/>
        <w:rPr>
          <w:sz w:val="20"/>
          <w:szCs w:val="20"/>
          <w:color w:val="auto"/>
        </w:rPr>
      </w:pPr>
    </w:p>
    <w:p>
      <w:pPr>
        <w:jc w:val="both"/>
        <w:ind w:left="340" w:right="159" w:firstLine="778"/>
        <w:spacing w:after="0" w:line="270" w:lineRule="auto"/>
        <w:rPr>
          <w:sz w:val="20"/>
          <w:szCs w:val="20"/>
          <w:color w:val="auto"/>
        </w:rPr>
      </w:pPr>
      <w:r>
        <w:rPr>
          <w:rFonts w:ascii="Arial" w:cs="Arial" w:eastAsia="Arial" w:hAnsi="Arial"/>
          <w:sz w:val="17"/>
          <w:szCs w:val="17"/>
          <w:u w:val="single" w:color="auto"/>
          <w:color w:val="auto"/>
        </w:rPr>
        <w:t>Commercial Vehicle Parts and Service</w:t>
      </w:r>
      <w:r>
        <w:rPr>
          <w:rFonts w:ascii="Arial" w:cs="Arial" w:eastAsia="Arial" w:hAnsi="Arial"/>
          <w:sz w:val="17"/>
          <w:szCs w:val="17"/>
          <w:color w:val="auto"/>
        </w:rPr>
        <w:t>. Commercial vehicle related parts and service revenues accounted for approximately $489.3 million, or 32.7%, of our total revenues for 2010. The parts business enhances our sales and service functions and is a source of recurring revenue. Rush Truck Centers carry a wide variety of commercial vehicle parts in inventory. Certain Rush Truck Centers also feature fully equipped service and body shop facilities, the combination and configuration of which varies by location, capable of handling a broad range of repairs on most makes and classes of commercial vehicles. Each Rush Truck Center is a warranty service center for the commercial vehicle manufacturers represented at that location and most are also authorized service centers for other manufacturers, including, Caterpillar, Cummins, Eaton and Arvin Meritor. We have more than 1,000 service and body shop bays, including 24 paint booths, throughout our Rush Truck Center network. We also have field service trucks and technicians who make on-site repairs at our customers’ locations.</w:t>
      </w:r>
    </w:p>
    <w:p>
      <w:pPr>
        <w:spacing w:after="0" w:line="141"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color w:val="auto"/>
        </w:rPr>
        <w:t>We perform both warranty and non-warranty service work on commercial vehicles. The cost of warranty work is generally reimbursed by the applicable manufacturer at retail commercial rates. A majority of the service technicians at our Rush Truck Centers have been certified by various vehicle component manufacturers.</w:t>
      </w:r>
    </w:p>
    <w:p>
      <w:pPr>
        <w:spacing w:after="0" w:line="154" w:lineRule="exact"/>
        <w:rPr>
          <w:sz w:val="20"/>
          <w:szCs w:val="20"/>
          <w:color w:val="auto"/>
        </w:rPr>
      </w:pPr>
    </w:p>
    <w:p>
      <w:pPr>
        <w:jc w:val="both"/>
        <w:ind w:left="340" w:right="179" w:firstLine="778"/>
        <w:spacing w:after="0" w:line="264" w:lineRule="auto"/>
        <w:rPr>
          <w:sz w:val="20"/>
          <w:szCs w:val="20"/>
          <w:color w:val="auto"/>
        </w:rPr>
      </w:pPr>
      <w:r>
        <w:rPr>
          <w:rFonts w:ascii="Arial" w:cs="Arial" w:eastAsia="Arial" w:hAnsi="Arial"/>
          <w:sz w:val="18"/>
          <w:szCs w:val="18"/>
          <w:color w:val="auto"/>
        </w:rPr>
        <w:t>As part of our leasing and rental operations, we enter into contracts with customers to provide full-service maintenance on their trucks. We had 825 units under contract maintenance as of December 31, 2010, and 667 units under contract maintenance as of December 31, 2009.</w:t>
      </w:r>
    </w:p>
    <w:p>
      <w:pPr>
        <w:spacing w:after="0" w:line="141" w:lineRule="exact"/>
        <w:rPr>
          <w:sz w:val="20"/>
          <w:szCs w:val="20"/>
          <w:color w:val="auto"/>
        </w:rPr>
      </w:pPr>
    </w:p>
    <w:p>
      <w:pPr>
        <w:jc w:val="both"/>
        <w:ind w:left="340" w:right="159" w:firstLine="778"/>
        <w:spacing w:after="0" w:line="253" w:lineRule="auto"/>
        <w:rPr>
          <w:sz w:val="20"/>
          <w:szCs w:val="20"/>
          <w:color w:val="auto"/>
        </w:rPr>
      </w:pPr>
      <w:r>
        <w:rPr>
          <w:rFonts w:ascii="Arial" w:cs="Arial" w:eastAsia="Arial" w:hAnsi="Arial"/>
          <w:sz w:val="18"/>
          <w:szCs w:val="18"/>
          <w:u w:val="single" w:color="auto"/>
          <w:color w:val="auto"/>
        </w:rPr>
        <w:t>Truck Leasing and Rental</w:t>
      </w:r>
      <w:r>
        <w:rPr>
          <w:rFonts w:ascii="Arial" w:cs="Arial" w:eastAsia="Arial" w:hAnsi="Arial"/>
          <w:sz w:val="18"/>
          <w:szCs w:val="18"/>
          <w:color w:val="auto"/>
        </w:rPr>
        <w:t>. Truck leasing and rental revenues accounted for approximately $67.4 million, or 4.5%, of our total revenues for 2010. At our Rush Truck Leasing locations, we engage in full-service truck leasing under the PacLease and Idealease trade names. Leasing and rental customers contribute to additional parts sales and service work at Rush Truck Centers because most of our leases require service and maintenance for the leased trucks to be performed at our facilities (or at facilities outside our service area, as we direct). Rented trucks are also generally serviced at our facilities. We had 2,984 units in our lease and rental fleet as of December 31, 2010 compared to 2,366 units as of December 31, 2009. Generally, we sell trucks that have been retired from our lease and rental fleet through the used sales operations at our Rush Truck Centers. Historically, we have realized gains on the sale of used lease trucks in excess of the cost of the purchase option contained in our leases or the book value of trucks owned by the Company.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and Insurance Products</w:t>
      </w:r>
    </w:p>
    <w:p>
      <w:pPr>
        <w:spacing w:after="0" w:line="198" w:lineRule="exact"/>
        <w:rPr>
          <w:sz w:val="20"/>
          <w:szCs w:val="20"/>
          <w:color w:val="auto"/>
        </w:rPr>
      </w:pPr>
    </w:p>
    <w:p>
      <w:pPr>
        <w:jc w:val="both"/>
        <w:ind w:left="340" w:right="159" w:firstLine="778"/>
        <w:spacing w:after="0" w:line="302" w:lineRule="auto"/>
        <w:rPr>
          <w:sz w:val="20"/>
          <w:szCs w:val="20"/>
          <w:color w:val="auto"/>
        </w:rPr>
      </w:pPr>
      <w:r>
        <w:rPr>
          <w:rFonts w:ascii="Arial" w:cs="Arial" w:eastAsia="Arial" w:hAnsi="Arial"/>
          <w:sz w:val="16"/>
          <w:szCs w:val="16"/>
          <w:color w:val="auto"/>
        </w:rPr>
        <w:t>We sell, as agent, a complete line of property and casualty insurance to our commercial vehicle customers and other truck owners. Our agency is licensed to sell truck liability, collision and comprehensive, workers’ compensation, cargo, credit life and occupational accident insurance coverage. We serve as sales representatives for a number of leading insurance companies including the Great American Insurance Companies, Sentry Insurance and Hartford Insurance Group. Our renewal rate in 2010 was 80%.</w:t>
      </w:r>
    </w:p>
    <w:p>
      <w:pPr>
        <w:spacing w:after="0" w:line="114" w:lineRule="exact"/>
        <w:rPr>
          <w:sz w:val="20"/>
          <w:szCs w:val="20"/>
          <w:color w:val="auto"/>
        </w:rPr>
      </w:pPr>
    </w:p>
    <w:p>
      <w:pPr>
        <w:jc w:val="both"/>
        <w:ind w:left="340" w:right="159" w:firstLine="778"/>
        <w:spacing w:after="0" w:line="279" w:lineRule="auto"/>
        <w:rPr>
          <w:sz w:val="20"/>
          <w:szCs w:val="20"/>
          <w:color w:val="auto"/>
        </w:rPr>
      </w:pPr>
      <w:r>
        <w:rPr>
          <w:rFonts w:ascii="Arial" w:cs="Arial" w:eastAsia="Arial" w:hAnsi="Arial"/>
          <w:sz w:val="17"/>
          <w:szCs w:val="17"/>
          <w:color w:val="auto"/>
        </w:rPr>
        <w:t>Rush Truck Centers have personnel responsible for arranging third-party financing for our product offerings. We also have licensed insurance agents at a number of our dealerships who arrange insurance for our customers. The sale of financial and insurance products accounted for approximately $7.9 million, or 0.5%, of our total revenue for 2010. Finance and insurance revenues have minimal direct costs and, therefore, contribute a disproportionate share of our operating profits.</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778"/>
        <w:spacing w:after="0" w:line="270" w:lineRule="auto"/>
        <w:rPr>
          <w:sz w:val="20"/>
          <w:szCs w:val="20"/>
          <w:color w:val="auto"/>
        </w:rPr>
      </w:pPr>
      <w:r>
        <w:rPr>
          <w:rFonts w:ascii="Arial" w:cs="Arial" w:eastAsia="Arial" w:hAnsi="Arial"/>
          <w:sz w:val="17"/>
          <w:szCs w:val="17"/>
          <w:u w:val="single" w:color="auto"/>
          <w:color w:val="auto"/>
        </w:rPr>
        <w:t>New and Used Commercial Vehicle Financing</w:t>
      </w:r>
      <w:r>
        <w:rPr>
          <w:rFonts w:ascii="Arial" w:cs="Arial" w:eastAsia="Arial" w:hAnsi="Arial"/>
          <w:sz w:val="17"/>
          <w:szCs w:val="17"/>
          <w:color w:val="auto"/>
        </w:rPr>
        <w:t>. We arranged customer financing through various commercial lending sources for approximately 24% of our new and used commercial vehicle sales in 2010 and approximately 22% in 2009. Generally, commercial vehicle finance contracts are memorialized through the use of installment contracts, which are secured by the commercial vehicles financed, and require a down payment of 10% to 30% of the selling price of the financed commercial vehicle, with the remaining balance financed over a two to five-year period. The majority of finance contracts are sold to third parties without recourse to the Company. The Company’s recourse liability related to finance contracts sold with recourse to the Company ranges from 5% to 100% of the outstanding amount of each note initiated on behalf of the finance company (see “Management’s Discussion and Analysis of Financial Condition and Results of Operations — Critical Accounting Policies”). The Company provides an allowance for repossession losses and early repayment penalties.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jc w:val="both"/>
        <w:ind w:left="340" w:right="159" w:firstLine="778"/>
        <w:spacing w:after="0" w:line="255" w:lineRule="auto"/>
        <w:rPr>
          <w:sz w:val="20"/>
          <w:szCs w:val="20"/>
          <w:color w:val="auto"/>
        </w:rPr>
      </w:pPr>
      <w:r>
        <w:rPr>
          <w:rFonts w:ascii="Arial" w:cs="Arial" w:eastAsia="Arial" w:hAnsi="Arial"/>
          <w:sz w:val="18"/>
          <w:szCs w:val="18"/>
          <w:color w:val="auto"/>
        </w:rPr>
        <w:t>Our established expansion and acquisition strategy and long history of operations in the commercial vehicle business have resulted in a strong customer base that is diverse in terms of geography, industry and scale of operations. Rush Truck Centers’ customers include owner operators, regional and national truck fleets, corporations and local governments. During 2010, no single customer of our Rush Truck Centers accounted for more than 10% of our total commercial vehicle sales by dollar volume. We generally promote our products and related services through direct customer contact by our sales personnel, advertisements in trade magazines and attendance at industry shows.</w:t>
      </w:r>
    </w:p>
    <w:p>
      <w:pPr>
        <w:spacing w:after="0" w:line="153" w:lineRule="exact"/>
        <w:rPr>
          <w:sz w:val="20"/>
          <w:szCs w:val="20"/>
          <w:color w:val="auto"/>
        </w:rPr>
      </w:pPr>
    </w:p>
    <w:p>
      <w:pPr>
        <w:jc w:val="both"/>
        <w:ind w:left="340" w:right="179" w:firstLine="778"/>
        <w:spacing w:after="0" w:line="279" w:lineRule="auto"/>
        <w:rPr>
          <w:sz w:val="20"/>
          <w:szCs w:val="20"/>
          <w:color w:val="auto"/>
        </w:rPr>
      </w:pPr>
      <w:r>
        <w:rPr>
          <w:rFonts w:ascii="Arial" w:cs="Arial" w:eastAsia="Arial" w:hAnsi="Arial"/>
          <w:sz w:val="17"/>
          <w:szCs w:val="17"/>
          <w:color w:val="auto"/>
        </w:rPr>
        <w:t>We believe that the consistently reliable service received by our customers, our longevity and our geographic diversity have resulted in increased market recognition of the “Rush” brand name and have served to reinforce customer loyalty. In an effort to enhance our name recognition and to communicate the standardized high level of quality products and services provided at our Rush Truck Centers, we implement our “Rush” brand name concept at each of our dealerships.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Facility Management</w:t>
      </w:r>
    </w:p>
    <w:p>
      <w:pPr>
        <w:spacing w:after="0" w:line="189" w:lineRule="exact"/>
        <w:rPr>
          <w:sz w:val="20"/>
          <w:szCs w:val="20"/>
          <w:color w:val="auto"/>
        </w:rPr>
      </w:pPr>
    </w:p>
    <w:p>
      <w:pPr>
        <w:jc w:val="both"/>
        <w:ind w:left="340" w:right="159" w:firstLine="778"/>
        <w:spacing w:after="0" w:line="271" w:lineRule="auto"/>
        <w:rPr>
          <w:sz w:val="20"/>
          <w:szCs w:val="20"/>
          <w:color w:val="auto"/>
        </w:rPr>
      </w:pPr>
      <w:r>
        <w:rPr>
          <w:rFonts w:ascii="Arial" w:cs="Arial" w:eastAsia="Arial" w:hAnsi="Arial"/>
          <w:sz w:val="17"/>
          <w:szCs w:val="17"/>
          <w:i w:val="1"/>
          <w:iCs w:val="1"/>
          <w:color w:val="auto"/>
        </w:rPr>
        <w:t xml:space="preserve">Personnel. </w:t>
      </w:r>
      <w:r>
        <w:rPr>
          <w:rFonts w:ascii="Arial" w:cs="Arial" w:eastAsia="Arial" w:hAnsi="Arial"/>
          <w:sz w:val="17"/>
          <w:szCs w:val="17"/>
          <w:color w:val="auto"/>
        </w:rPr>
        <w:t>Each Rush Truck Center is typically managed by a general manager who oversees the operations, personnel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financial performance of the location, subject to the direction of a regional manager and personnel at our corporate office. Additionally, each Rush Truck Center is typically staffed by a sales manager, parts manager, service manager, sales representatives, parts employees, and other service and make-ready employees, as appropriate, given the services offered. The sales staff of each Rush Truck Center is compensated on a salary plus commission basis, with a high percentage of their compensation consisting of commission, while managers receive a combination of salary and performance bonus, with a high percentage of their compensation consisting of the performance bonus. We believe that our employees are among the highest paid in their respective industry, which enables us to attract and retain qualified personnel.</w:t>
      </w:r>
    </w:p>
    <w:p>
      <w:pPr>
        <w:spacing w:after="0" w:line="138" w:lineRule="exact"/>
        <w:rPr>
          <w:sz w:val="20"/>
          <w:szCs w:val="20"/>
          <w:color w:val="auto"/>
        </w:rPr>
      </w:pPr>
    </w:p>
    <w:p>
      <w:pPr>
        <w:jc w:val="both"/>
        <w:ind w:left="340" w:right="159" w:firstLine="778"/>
        <w:spacing w:after="0" w:line="302" w:lineRule="auto"/>
        <w:rPr>
          <w:sz w:val="20"/>
          <w:szCs w:val="20"/>
          <w:color w:val="auto"/>
        </w:rPr>
      </w:pPr>
      <w:r>
        <w:rPr>
          <w:rFonts w:ascii="Arial" w:cs="Arial" w:eastAsia="Arial" w:hAnsi="Arial"/>
          <w:sz w:val="16"/>
          <w:szCs w:val="16"/>
          <w:color w:val="auto"/>
        </w:rPr>
        <w:t>On an annual basis, regional managers work with general managers to prepare detailed monthly profit and loss forecasts based upon historical information and projected trends. A portion of each regional manager’s and general manager’s performance bonus is based upon whether they meet or exceed their operating plans. During the year, general managers regularly review their facility’s progress with their regional manager and senior management and make appropriate adjustments as needed.</w:t>
      </w:r>
    </w:p>
    <w:p>
      <w:pPr>
        <w:spacing w:after="0" w:line="127" w:lineRule="exact"/>
        <w:rPr>
          <w:sz w:val="20"/>
          <w:szCs w:val="20"/>
          <w:color w:val="auto"/>
        </w:rPr>
      </w:pPr>
    </w:p>
    <w:p>
      <w:pPr>
        <w:jc w:val="both"/>
        <w:ind w:left="340" w:right="159" w:firstLine="778"/>
        <w:spacing w:after="0" w:line="302" w:lineRule="auto"/>
        <w:rPr>
          <w:sz w:val="20"/>
          <w:szCs w:val="20"/>
          <w:color w:val="auto"/>
        </w:rPr>
      </w:pPr>
      <w:r>
        <w:rPr>
          <w:rFonts w:ascii="Arial" w:cs="Arial" w:eastAsia="Arial" w:hAnsi="Arial"/>
          <w:sz w:val="16"/>
          <w:szCs w:val="16"/>
          <w:color w:val="auto"/>
        </w:rPr>
        <w:t>We have been successful in retaining our senior management, regional managers and general managers. To promote communication and efficiency in operating standards, regional managers and members of senior management attend company-wide strategy sessions each year. In addition, management personnel attend various industry sponsored leadership and management seminars and receive continuing education on the products we distribute, marketing strategies and management information systems.</w:t>
      </w:r>
    </w:p>
    <w:p>
      <w:pPr>
        <w:spacing w:after="0" w:line="114" w:lineRule="exact"/>
        <w:rPr>
          <w:sz w:val="20"/>
          <w:szCs w:val="20"/>
          <w:color w:val="auto"/>
        </w:rPr>
      </w:pPr>
    </w:p>
    <w:p>
      <w:pPr>
        <w:jc w:val="both"/>
        <w:ind w:left="340" w:right="159" w:firstLine="778"/>
        <w:spacing w:after="0" w:line="272" w:lineRule="auto"/>
        <w:rPr>
          <w:sz w:val="20"/>
          <w:szCs w:val="20"/>
          <w:color w:val="auto"/>
        </w:rPr>
      </w:pPr>
      <w:r>
        <w:rPr>
          <w:rFonts w:ascii="Arial" w:cs="Arial" w:eastAsia="Arial" w:hAnsi="Arial"/>
          <w:sz w:val="17"/>
          <w:szCs w:val="17"/>
          <w:color w:val="auto"/>
        </w:rPr>
        <w:t>Members of senior management and regional managers regularly travel to each Rush Truck Center to provide on-site management and support. Each Rush Truck Center is audited regularly for compliance with corporate policies and procedures. These routine unannounced internal audits, objectively measure dealership performance with respect to corporate expectations in the management and administration of sales, commercial vehicle inventory, parts inventory, parts sales, service sales, body shop sales, corporate policy compliance, human resources compliance, and environmental and safety compliance matters. The Company has instituted succession planning pursuant to which employees in each Rush Truck Center are groomed as assistant managers to assume management responsibilities in existing and future dealerships.</w:t>
      </w:r>
    </w:p>
    <w:p>
      <w:pPr>
        <w:spacing w:after="0" w:line="200" w:lineRule="exact"/>
        <w:rPr>
          <w:sz w:val="20"/>
          <w:szCs w:val="20"/>
          <w:color w:val="auto"/>
        </w:rPr>
      </w:pPr>
    </w:p>
    <w:p>
      <w:pPr>
        <w:spacing w:after="0" w:line="3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778"/>
        <w:spacing w:after="0" w:line="291" w:lineRule="auto"/>
        <w:rPr>
          <w:sz w:val="20"/>
          <w:szCs w:val="20"/>
          <w:color w:val="auto"/>
        </w:rPr>
      </w:pPr>
      <w:r>
        <w:rPr>
          <w:rFonts w:ascii="Arial" w:cs="Arial" w:eastAsia="Arial" w:hAnsi="Arial"/>
          <w:sz w:val="16"/>
          <w:szCs w:val="16"/>
          <w:i w:val="1"/>
          <w:iCs w:val="1"/>
          <w:color w:val="auto"/>
        </w:rPr>
        <w:t xml:space="preserve">Purchasing and Suppliers. </w:t>
      </w:r>
      <w:r>
        <w:rPr>
          <w:rFonts w:ascii="Arial" w:cs="Arial" w:eastAsia="Arial" w:hAnsi="Arial"/>
          <w:sz w:val="16"/>
          <w:szCs w:val="16"/>
          <w:color w:val="auto"/>
        </w:rPr>
        <w:t>We believe that pricing is an important element of our marketing strategy. Because of our size,</w:t>
      </w:r>
      <w:r>
        <w:rPr>
          <w:rFonts w:ascii="Arial" w:cs="Arial" w:eastAsia="Arial" w:hAnsi="Arial"/>
          <w:sz w:val="16"/>
          <w:szCs w:val="16"/>
          <w:i w:val="1"/>
          <w:iCs w:val="1"/>
          <w:color w:val="auto"/>
        </w:rPr>
        <w:t xml:space="preserve"> </w:t>
      </w:r>
      <w:r>
        <w:rPr>
          <w:rFonts w:ascii="Arial" w:cs="Arial" w:eastAsia="Arial" w:hAnsi="Arial"/>
          <w:sz w:val="16"/>
          <w:szCs w:val="16"/>
          <w:color w:val="auto"/>
        </w:rPr>
        <w:t>our Rush Truck Centers benefit from volume purchases at favorable prices that permit them to achieve a competitive pricing position in the industry. We purchase our commercial vehicle inventory and proprietary parts and accessories directly from the applicable vehicle manufacturer. All other manufacturers’ parts and accessories, including those of Caterpillar, Cummins and other component manufacturers, are purchased through wholesale distributors, which buy such products for resale to the Company and other dealers. Most purchasing commitments are negotiated by personnel at our corporate headquarters. Historically, we have been able to negotiate favorable pricing levels and terms, which enable us to offer competitive prices for our products.</w:t>
      </w:r>
    </w:p>
    <w:p>
      <w:pPr>
        <w:spacing w:after="0" w:line="140" w:lineRule="exact"/>
        <w:rPr>
          <w:sz w:val="20"/>
          <w:szCs w:val="20"/>
          <w:color w:val="auto"/>
        </w:rPr>
      </w:pPr>
    </w:p>
    <w:p>
      <w:pPr>
        <w:jc w:val="both"/>
        <w:ind w:left="340" w:right="159" w:firstLine="778"/>
        <w:spacing w:after="0" w:line="297" w:lineRule="auto"/>
        <w:rPr>
          <w:sz w:val="20"/>
          <w:szCs w:val="20"/>
          <w:color w:val="auto"/>
        </w:rPr>
      </w:pPr>
      <w:r>
        <w:rPr>
          <w:rFonts w:ascii="Arial" w:cs="Arial" w:eastAsia="Arial" w:hAnsi="Arial"/>
          <w:sz w:val="16"/>
          <w:szCs w:val="16"/>
          <w:i w:val="1"/>
          <w:iCs w:val="1"/>
          <w:color w:val="auto"/>
        </w:rPr>
        <w:t xml:space="preserve">Management Information Systems. </w:t>
      </w:r>
      <w:r>
        <w:rPr>
          <w:rFonts w:ascii="Arial" w:cs="Arial" w:eastAsia="Arial" w:hAnsi="Arial"/>
          <w:sz w:val="16"/>
          <w:szCs w:val="16"/>
          <w:color w:val="auto"/>
        </w:rPr>
        <w:t>We utilize our management information systems to monitor the inventory level of</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vehicles and parts at each of our dealerships. From information assimilated from management information systems, management has developed a model reflecting historic sales levels of different product lines. This model enables management to identify the appropriate level and combination of inventory and forms the basis of our operating plan. Our management information systems and databases are also used to monitor market conditions and sales information and assess product and expansion strategies.</w:t>
      </w:r>
    </w:p>
    <w:p>
      <w:pPr>
        <w:spacing w:after="0" w:line="118"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color w:val="auto"/>
        </w:rPr>
        <w:t>Information received from manufacturers, industry analysts and industry contacts allows us to determine market share statistics and gross volume sales numbers for our products as well as those of competitors. This information impacts ongoing operations because management remains aware of changes within the markets we service and is able to react accordingly by realigning product lines and by adding new product lines and models.</w:t>
      </w:r>
    </w:p>
    <w:p>
      <w:pPr>
        <w:spacing w:after="0" w:line="146" w:lineRule="exact"/>
        <w:rPr>
          <w:sz w:val="20"/>
          <w:szCs w:val="20"/>
          <w:color w:val="auto"/>
        </w:rPr>
      </w:pPr>
    </w:p>
    <w:p>
      <w:pPr>
        <w:jc w:val="both"/>
        <w:ind w:left="340" w:right="159" w:firstLine="778"/>
        <w:spacing w:after="0" w:line="272" w:lineRule="auto"/>
        <w:rPr>
          <w:sz w:val="20"/>
          <w:szCs w:val="20"/>
          <w:color w:val="auto"/>
        </w:rPr>
      </w:pPr>
      <w:r>
        <w:rPr>
          <w:rFonts w:ascii="Arial" w:cs="Arial" w:eastAsia="Arial" w:hAnsi="Arial"/>
          <w:sz w:val="17"/>
          <w:szCs w:val="17"/>
          <w:i w:val="1"/>
          <w:iCs w:val="1"/>
          <w:color w:val="auto"/>
        </w:rPr>
        <w:t xml:space="preserve">Distribution and Inventory Management. </w:t>
      </w:r>
      <w:r>
        <w:rPr>
          <w:rFonts w:ascii="Arial" w:cs="Arial" w:eastAsia="Arial" w:hAnsi="Arial"/>
          <w:sz w:val="17"/>
          <w:szCs w:val="17"/>
          <w:color w:val="auto"/>
        </w:rPr>
        <w:t>We utilize a real-time inventory tracking system to maintain a close link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each Rush Truck Center. This link allows for timely and cost-effective sharing of managerial and sales information as well as the prompt transfer of inventory among various locations. The transfer of inventory reduces delays in delivery, helps maximize inventory turns and assists in controlling problems created by overstock and understock situations. We are linked directly to our major suppliers, via real-time communication links for purposes of ordering and inventory management. These automated reordering and communication systems allow us to maintain proper inventory levels and permit us to have inventory delivered to our locations, or directly to customers, typically within 24 hours of an order being placed.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Acquisitions and Disposition</w:t>
      </w:r>
    </w:p>
    <w:p>
      <w:pPr>
        <w:spacing w:after="0" w:line="189" w:lineRule="exact"/>
        <w:rPr>
          <w:sz w:val="20"/>
          <w:szCs w:val="20"/>
          <w:color w:val="auto"/>
        </w:rPr>
      </w:pPr>
    </w:p>
    <w:p>
      <w:pPr>
        <w:jc w:val="both"/>
        <w:ind w:left="340" w:right="159" w:firstLine="778"/>
        <w:spacing w:after="0" w:line="255" w:lineRule="auto"/>
        <w:rPr>
          <w:sz w:val="20"/>
          <w:szCs w:val="20"/>
          <w:color w:val="auto"/>
        </w:rPr>
      </w:pPr>
      <w:r>
        <w:rPr>
          <w:rFonts w:ascii="Arial" w:cs="Arial" w:eastAsia="Arial" w:hAnsi="Arial"/>
          <w:sz w:val="18"/>
          <w:szCs w:val="18"/>
          <w:color w:val="auto"/>
        </w:rPr>
        <w:t>On September 9, 2010, the Company sold the assets of its John Deere construction equipment business, including its Rush Equipment Centers in Houston and Beaumont, Texas, to Doggett Heavy Machinery Services, LLC. The total purchase price for the Rush Equipment Centers was $31.0 million. The Company received cash of $26.2 million at closing and a $4.8 million note receivable to be paid over four years. Before closing, the Company paid liabilities, related to the assets sold, of approximately $14.6 million. The Company recorded a gain on the transaction of $10.1 million. The Construction Equipment segment will no longer be reported as a separate business segment.</w:t>
      </w:r>
    </w:p>
    <w:p>
      <w:pPr>
        <w:spacing w:after="0" w:line="153" w:lineRule="exact"/>
        <w:rPr>
          <w:sz w:val="20"/>
          <w:szCs w:val="20"/>
          <w:color w:val="auto"/>
        </w:rPr>
      </w:pPr>
    </w:p>
    <w:p>
      <w:pPr>
        <w:jc w:val="both"/>
        <w:ind w:left="340" w:right="159" w:firstLine="778"/>
        <w:spacing w:after="0" w:line="270" w:lineRule="auto"/>
        <w:rPr>
          <w:sz w:val="20"/>
          <w:szCs w:val="20"/>
          <w:color w:val="auto"/>
        </w:rPr>
      </w:pPr>
      <w:r>
        <w:rPr>
          <w:rFonts w:ascii="Arial" w:cs="Arial" w:eastAsia="Arial" w:hAnsi="Arial"/>
          <w:sz w:val="17"/>
          <w:szCs w:val="17"/>
          <w:color w:val="auto"/>
        </w:rPr>
        <w:t>On May 24, 2010, the Company acquired certain assets of Lake City Companies, LLC and certain of its subsidiaries and affiliates (collectively, “Lake City International”). Lake City International operated a commercial truck and bus sales, service, parts, finance and leasing business representing multiple brands at five locations in Utah, five locations in Idaho and one location in Oregon. These locations are operating as Rush Truck Centers and offer a combination of International heavy- and medium-duty commercial vehicles, Autocar trucks, Mitsubishi Fuso medium-duty trucks, IC buses and Workhorse chassis in addition to parts, service, body shop, financing and insurance capabilities. Rush Truck Leasing operates Idealease truck rental and leasing franchises at locations in Salt Lake City, Utah, and Boise, Idaho. The transaction, including the real estate, was valued at approximately $70.0 million. The purchase price for the assets of the business was paid in cash and the purchase price for the real estate was partially paid in cash with the remainder financed with long-term debt.</w:t>
      </w:r>
    </w:p>
    <w:p>
      <w:pPr>
        <w:spacing w:after="0" w:line="155" w:lineRule="exact"/>
        <w:rPr>
          <w:sz w:val="20"/>
          <w:szCs w:val="20"/>
          <w:color w:val="auto"/>
        </w:rPr>
      </w:pPr>
    </w:p>
    <w:p>
      <w:pPr>
        <w:jc w:val="both"/>
        <w:ind w:left="340" w:right="179" w:firstLine="778"/>
        <w:spacing w:after="0" w:line="286" w:lineRule="auto"/>
        <w:rPr>
          <w:sz w:val="20"/>
          <w:szCs w:val="20"/>
          <w:color w:val="auto"/>
        </w:rPr>
      </w:pPr>
      <w:r>
        <w:rPr>
          <w:rFonts w:ascii="Arial" w:cs="Arial" w:eastAsia="Arial" w:hAnsi="Arial"/>
          <w:sz w:val="17"/>
          <w:szCs w:val="17"/>
          <w:color w:val="auto"/>
        </w:rPr>
        <w:t>On July 12, 2010, the Company acquired certain assets of Joe Cooper Truck Center LLC, which consisted of a Ford franchise in Oklahoma City, Oklahoma. The newly acquired Ford franchise was added to the Company’s existing dealership in Oklahoma City, Oklahoma. The transaction was valued at approximately $1.2 million, with the purchase price paid in cash.</w:t>
      </w:r>
    </w:p>
    <w:p>
      <w:pPr>
        <w:spacing w:after="0" w:line="200" w:lineRule="exact"/>
        <w:rPr>
          <w:sz w:val="20"/>
          <w:szCs w:val="20"/>
          <w:color w:val="auto"/>
        </w:rPr>
      </w:pPr>
    </w:p>
    <w:p>
      <w:pPr>
        <w:spacing w:after="0" w:line="31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color w:val="auto"/>
        </w:rPr>
        <w:t>On October 12, 2010, the Company acquired certain assets of Metro Ford Truck Sales, Inc., which consisted of a Ford and Isuzu commercial vehicle dealership in Dallas, Texas. The Company is operating the facility as a full-service Rush Truck Center offering medium-duty trucks, parts and service. The transaction, including the real estate, was valued at approximately $5.6 million, with the purchase price paid in cash.</w:t>
      </w:r>
    </w:p>
    <w:p>
      <w:pPr>
        <w:spacing w:after="0" w:line="160" w:lineRule="exact"/>
        <w:rPr>
          <w:sz w:val="20"/>
          <w:szCs w:val="20"/>
          <w:color w:val="auto"/>
        </w:rPr>
      </w:pPr>
    </w:p>
    <w:p>
      <w:pPr>
        <w:jc w:val="both"/>
        <w:ind w:left="340" w:right="179" w:firstLine="778"/>
        <w:spacing w:after="0" w:line="277" w:lineRule="auto"/>
        <w:rPr>
          <w:sz w:val="20"/>
          <w:szCs w:val="20"/>
          <w:color w:val="auto"/>
        </w:rPr>
      </w:pPr>
      <w:r>
        <w:rPr>
          <w:rFonts w:ascii="Arial" w:cs="Arial" w:eastAsia="Arial" w:hAnsi="Arial"/>
          <w:sz w:val="18"/>
          <w:szCs w:val="18"/>
          <w:color w:val="auto"/>
        </w:rPr>
        <w:t>See Note 16 of the Notes to Consolidated Financial Statements for a detailed discussion of the allocation of the purchase price of these acquisitions.</w:t>
      </w:r>
    </w:p>
    <w:p>
      <w:pPr>
        <w:spacing w:after="0" w:line="130" w:lineRule="exact"/>
        <w:rPr>
          <w:sz w:val="20"/>
          <w:szCs w:val="20"/>
          <w:color w:val="auto"/>
        </w:rPr>
      </w:pPr>
    </w:p>
    <w:p>
      <w:pPr>
        <w:jc w:val="both"/>
        <w:ind w:left="340" w:right="179" w:firstLine="778"/>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—Pending Acquisition” for a description of our pending acquisition of certain assets of Asbury Automotive Atlanta, LLC.</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color w:val="auto"/>
        </w:rPr>
        <w:t>There is, and will continue to be, significant competition both within our current markets and in new markets we may enter. We anticipate that competition between us and other dealers will continue to increase in our current markets and on a national level based on the following:</w:t>
      </w:r>
    </w:p>
    <w:p>
      <w:pPr>
        <w:spacing w:after="0" w:line="141" w:lineRule="exact"/>
        <w:rPr>
          <w:sz w:val="20"/>
          <w:szCs w:val="20"/>
          <w:color w:val="auto"/>
        </w:rPr>
      </w:pPr>
    </w:p>
    <w:p>
      <w:pPr>
        <w:ind w:left="1480" w:hanging="378"/>
        <w:spacing w:after="0"/>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accessibility of dealership locations;</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number of dealership locations;</w:t>
      </w:r>
    </w:p>
    <w:p>
      <w:pPr>
        <w:spacing w:after="0" w:line="198" w:lineRule="exact"/>
        <w:rPr>
          <w:rFonts w:ascii="Arial" w:cs="Arial" w:eastAsia="Arial" w:hAnsi="Arial"/>
          <w:sz w:val="18"/>
          <w:szCs w:val="18"/>
          <w:b w:val="1"/>
          <w:bCs w:val="1"/>
          <w:color w:val="auto"/>
        </w:rPr>
      </w:pPr>
    </w:p>
    <w:p>
      <w:pPr>
        <w:ind w:left="1480" w:hanging="378"/>
        <w:spacing w:after="0"/>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price, value, quality and design of the products sold; and</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attention to customer service (including technical service).</w:t>
      </w:r>
    </w:p>
    <w:p>
      <w:pPr>
        <w:spacing w:after="0" w:line="185" w:lineRule="exact"/>
        <w:rPr>
          <w:sz w:val="20"/>
          <w:szCs w:val="20"/>
          <w:color w:val="auto"/>
        </w:rPr>
      </w:pPr>
    </w:p>
    <w:p>
      <w:pPr>
        <w:jc w:val="both"/>
        <w:ind w:left="340" w:right="159" w:firstLine="778"/>
        <w:spacing w:after="0" w:line="293" w:lineRule="auto"/>
        <w:rPr>
          <w:sz w:val="20"/>
          <w:szCs w:val="20"/>
          <w:color w:val="auto"/>
        </w:rPr>
      </w:pPr>
      <w:r>
        <w:rPr>
          <w:rFonts w:ascii="Arial" w:cs="Arial" w:eastAsia="Arial" w:hAnsi="Arial"/>
          <w:sz w:val="16"/>
          <w:szCs w:val="16"/>
          <w:color w:val="auto"/>
        </w:rPr>
        <w:t>Our dealerships compete with dealerships representing other manufacturers including commercial vehicles manufactured by Mack, Freightliner, Kenworth, Volvo, and Western Star Truck Holdings, Ltd. We believe that our dealerships are able to compete with manufacturer-owned dealers, independent dealers, independent service centers, parts wholesalers, commercial vehicle wholesalers, rental service companies and industrial auctioneers in distributing our products and providing service because of the following: the overall quality and reputation of the products we sell; “Rush” brand name recognition and reputation for quality service; and our ability to provide comprehensive parts and service support, as well as financing, insurance and other customer services.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Dealership Agreements</w:t>
      </w:r>
    </w:p>
    <w:p>
      <w:pPr>
        <w:spacing w:after="0" w:line="189" w:lineRule="exact"/>
        <w:rPr>
          <w:sz w:val="20"/>
          <w:szCs w:val="20"/>
          <w:color w:val="auto"/>
        </w:rPr>
      </w:pPr>
    </w:p>
    <w:p>
      <w:pPr>
        <w:jc w:val="both"/>
        <w:ind w:left="340" w:right="159" w:firstLine="778"/>
        <w:spacing w:after="0" w:line="268" w:lineRule="auto"/>
        <w:rPr>
          <w:sz w:val="20"/>
          <w:szCs w:val="20"/>
          <w:color w:val="auto"/>
        </w:rPr>
      </w:pPr>
      <w:r>
        <w:rPr>
          <w:rFonts w:ascii="Arial" w:cs="Arial" w:eastAsia="Arial" w:hAnsi="Arial"/>
          <w:sz w:val="17"/>
          <w:szCs w:val="17"/>
          <w:i w:val="1"/>
          <w:iCs w:val="1"/>
          <w:color w:val="auto"/>
        </w:rPr>
        <w:t xml:space="preserve">Peterbilt. </w:t>
      </w:r>
      <w:r>
        <w:rPr>
          <w:rFonts w:ascii="Arial" w:cs="Arial" w:eastAsia="Arial" w:hAnsi="Arial"/>
          <w:sz w:val="17"/>
          <w:szCs w:val="17"/>
          <w:color w:val="auto"/>
        </w:rPr>
        <w:t>We have entered into nonexclusive dealership agreements with Peterbilt which authorize us to act as a dealer of</w:t>
      </w:r>
      <w:r>
        <w:rPr>
          <w:rFonts w:ascii="Arial" w:cs="Arial" w:eastAsia="Arial" w:hAnsi="Arial"/>
          <w:sz w:val="17"/>
          <w:szCs w:val="17"/>
          <w:i w:val="1"/>
          <w:iCs w:val="1"/>
          <w:color w:val="auto"/>
        </w:rPr>
        <w:t xml:space="preserve"> </w:t>
      </w:r>
      <w:r>
        <w:rPr>
          <w:rFonts w:ascii="Arial" w:cs="Arial" w:eastAsia="Arial" w:hAnsi="Arial"/>
          <w:sz w:val="17"/>
          <w:szCs w:val="17"/>
          <w:color w:val="auto"/>
        </w:rPr>
        <w:t>Peterbilt heavy- and medium-duty trucks. Our Peterbilt areas of responsibility currently encompass areas in the states of Alabama, Arizona, California, Colorado, Florida, New Mexico, North Carolina, Oklahoma, Tennessee and Texas. These dealership agreements currently have terms expiring between April 2011 and July 2013 and impose certain operational obligations and financial requirements upon us and our dealerships. The Company’s dealership agreements with Peterbilt may be terminable by Peterbilt in the event the aggregate voting power of W. Marvin Rush, W.M. “Rusty” Rush, other members of the Rush family and certain executives of the Company decreases below 30%. These agreements also grant Peterbilt rights of first refusal under certain circumstances relating to any sale or transfer of our dealership locations or if certain Rush family members desire to sell more than 100,000 shares of our voting common stock within a 12-month period to anyone other than family members or certain other specified persons. Any termination or non-renewal of these dealership agreements by Peterbilt must follow certain guidelines established by both state and federal legislation designed to protect motor vehicle dealers from arbitrary termination or non-renewal of franchise agreements. The Automobile Dealers Day in Court Act and other similar state laws provide that the termination or non-renewal of a motor vehicle dealership agreement must be done in “good faith” and upon a showing of “good cause” by the manufacturer for such termination or non-renewal, as such terms have been defined by statute and interpreted in case law. Sales of new Peterbilt trucks accounted for approximately 40.5% of our total revenues for 2010.</w:t>
      </w:r>
    </w:p>
    <w:p>
      <w:pPr>
        <w:spacing w:after="0" w:line="143" w:lineRule="exact"/>
        <w:rPr>
          <w:sz w:val="20"/>
          <w:szCs w:val="20"/>
          <w:color w:val="auto"/>
        </w:rPr>
      </w:pPr>
    </w:p>
    <w:p>
      <w:pPr>
        <w:jc w:val="both"/>
        <w:ind w:left="340" w:right="159" w:firstLine="778"/>
        <w:spacing w:after="0" w:line="297" w:lineRule="auto"/>
        <w:rPr>
          <w:sz w:val="20"/>
          <w:szCs w:val="20"/>
          <w:color w:val="auto"/>
        </w:rPr>
      </w:pPr>
      <w:r>
        <w:rPr>
          <w:rFonts w:ascii="Arial" w:cs="Arial" w:eastAsia="Arial" w:hAnsi="Arial"/>
          <w:sz w:val="16"/>
          <w:szCs w:val="16"/>
          <w:i w:val="1"/>
          <w:iCs w:val="1"/>
          <w:color w:val="auto"/>
        </w:rPr>
        <w:t xml:space="preserve">Other Commercial Vehicle Suppliers. </w:t>
      </w:r>
      <w:r>
        <w:rPr>
          <w:rFonts w:ascii="Arial" w:cs="Arial" w:eastAsia="Arial" w:hAnsi="Arial"/>
          <w:sz w:val="16"/>
          <w:szCs w:val="16"/>
          <w:color w:val="auto"/>
        </w:rPr>
        <w:t>In addition to our dealership agreements with Peterbilt, various Rush Truck Centers</w:t>
      </w:r>
      <w:r>
        <w:rPr>
          <w:rFonts w:ascii="Arial" w:cs="Arial" w:eastAsia="Arial" w:hAnsi="Arial"/>
          <w:sz w:val="16"/>
          <w:szCs w:val="16"/>
          <w:i w:val="1"/>
          <w:iCs w:val="1"/>
          <w:color w:val="auto"/>
        </w:rPr>
        <w:t xml:space="preserve"> </w:t>
      </w:r>
      <w:r>
        <w:rPr>
          <w:rFonts w:ascii="Arial" w:cs="Arial" w:eastAsia="Arial" w:hAnsi="Arial"/>
          <w:sz w:val="16"/>
          <w:szCs w:val="16"/>
          <w:color w:val="auto"/>
        </w:rPr>
        <w:t>have entered into dealership agreements with other commercial vehicle manufacturers including Autocar, Blue Bird, Ford, Hino, IC, International, Isuzu, Mitsubishi and UD, which currently have terms expiring between May 2011 and May 2015. These dealership agreements impose operating requirements upon us and require consent from the affected supplier for sale or transfer of such dealership agreement. Sales of non-Peterbilt commercial vehicles accounted for approximately 9.1% of our total revenues for 2010.</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Floor Plan Financing</w:t>
      </w:r>
    </w:p>
    <w:p>
      <w:pPr>
        <w:spacing w:after="0" w:line="202" w:lineRule="exact"/>
        <w:rPr>
          <w:sz w:val="20"/>
          <w:szCs w:val="20"/>
          <w:color w:val="auto"/>
        </w:rPr>
      </w:pPr>
    </w:p>
    <w:p>
      <w:pPr>
        <w:jc w:val="both"/>
        <w:ind w:left="340" w:right="159" w:firstLine="778"/>
        <w:spacing w:after="0" w:line="279" w:lineRule="auto"/>
        <w:rPr>
          <w:sz w:val="20"/>
          <w:szCs w:val="20"/>
          <w:color w:val="auto"/>
        </w:rPr>
      </w:pPr>
      <w:r>
        <w:rPr>
          <w:rFonts w:ascii="Arial" w:cs="Arial" w:eastAsia="Arial" w:hAnsi="Arial"/>
          <w:sz w:val="17"/>
          <w:szCs w:val="17"/>
          <w:i w:val="1"/>
          <w:iCs w:val="1"/>
          <w:color w:val="auto"/>
        </w:rPr>
        <w:t xml:space="preserve">Trucks. </w:t>
      </w:r>
      <w:r>
        <w:rPr>
          <w:rFonts w:ascii="Arial" w:cs="Arial" w:eastAsia="Arial" w:hAnsi="Arial"/>
          <w:sz w:val="17"/>
          <w:szCs w:val="17"/>
          <w:color w:val="auto"/>
        </w:rPr>
        <w:t>During 2010, we financed substantially all of our new truck inventory and the loan value of our used truck</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under a wholesale security agreement with General Electric Capital Corporation (“GE Capital”). Interest under the wholesale security agreement was payable monthly and during 2010, the rate varied from LIBOR plus 1.15% to LIBOR plus 1.50% depending on the month-end average aggregate amount outstanding under our GE Capital wholesale security agreement.</w:t>
      </w:r>
    </w:p>
    <w:p>
      <w:pPr>
        <w:spacing w:after="0" w:line="131" w:lineRule="exact"/>
        <w:rPr>
          <w:sz w:val="20"/>
          <w:szCs w:val="20"/>
          <w:color w:val="auto"/>
        </w:rPr>
      </w:pPr>
    </w:p>
    <w:p>
      <w:pPr>
        <w:jc w:val="both"/>
        <w:ind w:left="340" w:right="179" w:firstLine="778"/>
        <w:spacing w:after="0" w:line="259" w:lineRule="auto"/>
        <w:rPr>
          <w:sz w:val="20"/>
          <w:szCs w:val="20"/>
          <w:color w:val="auto"/>
        </w:rPr>
      </w:pPr>
      <w:r>
        <w:rPr>
          <w:rFonts w:ascii="Arial" w:cs="Arial" w:eastAsia="Arial" w:hAnsi="Arial"/>
          <w:sz w:val="18"/>
          <w:szCs w:val="18"/>
          <w:color w:val="auto"/>
        </w:rPr>
        <w:t>On December 31, 2010, we entered into a new $450.0 million credit agreement with GE Capital to replace our wholesale security agreement. The interest rate under the new credit agreement is LIBOR plus 2.95%. As of December 31, 2010, we had approximately $229.9 million outstanding under the credit agreement. GE Capital may terminate this credit agreement without cause upon 120 days notice.</w:t>
      </w:r>
    </w:p>
    <w:p>
      <w:pPr>
        <w:spacing w:after="0" w:line="146"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color w:val="auto"/>
        </w:rPr>
        <w:t>Several truck manufacturers offer floor plan programs with varying interest free finance periods. If the commercial vehicle financed by other manufacturers is not sold within the interest free finance period, the Company transfers the financed commercial vehicle to the GE Capital credit agreement.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Warranties</w:t>
      </w:r>
    </w:p>
    <w:p>
      <w:pPr>
        <w:spacing w:after="0" w:line="189"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The manufacturers we represent provide retail purchasers of their products with a limited warranty against defects in materials and workmanship, excluding certain specified components that are separately warranted by the suppliers of such components. The Company provides a warranty up to eighteen months on the Company’s branded parts. The Company also provides a one year extended warranty beyond the manufacturer’s warranty on new school buses sold in the State of Texas, as required by state law.</w:t>
      </w:r>
    </w:p>
    <w:p>
      <w:pPr>
        <w:spacing w:after="0" w:line="148"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color w:val="auto"/>
        </w:rPr>
        <w:t>We generally sell used commercial vehicles in “as is” condition without manufacturer’s warranty, although manufacturers sometimes will provide a limited warranty on their used products if such products have been properly reconditioned prior to resale or if the manufacturer’s warranty on such product is transferable and has not expired. We do not provide any warranty on used commercial vehicles.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Trademarks</w:t>
      </w:r>
    </w:p>
    <w:p>
      <w:pPr>
        <w:spacing w:after="0" w:line="189" w:lineRule="exact"/>
        <w:rPr>
          <w:sz w:val="20"/>
          <w:szCs w:val="20"/>
          <w:color w:val="auto"/>
        </w:rPr>
      </w:pPr>
    </w:p>
    <w:p>
      <w:pPr>
        <w:jc w:val="both"/>
        <w:ind w:left="340" w:right="159" w:firstLine="778"/>
        <w:spacing w:after="0" w:line="293" w:lineRule="auto"/>
        <w:rPr>
          <w:sz w:val="20"/>
          <w:szCs w:val="20"/>
          <w:color w:val="auto"/>
        </w:rPr>
      </w:pPr>
      <w:r>
        <w:rPr>
          <w:rFonts w:ascii="Arial" w:cs="Arial" w:eastAsia="Arial" w:hAnsi="Arial"/>
          <w:sz w:val="16"/>
          <w:szCs w:val="16"/>
          <w:color w:val="auto"/>
        </w:rPr>
        <w:t>The Peterbilt, Hino, Isuzu, Ford, International, Blue Bird, IC Bus, Autocar, Fuso and UD trademarks and trade names,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names “Rush Enterprises,” “Rush Truck Center,” “Associated Truck Insurance Services,” “Chrome Country” and “Rig Tough.”</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color w:val="auto"/>
        </w:rPr>
        <w:t>On December 31, 2010, the Company had 3,010 employees. The Company has no contracts or collective bargaining agreements with labor unions and has never experienced work stoppages. The Company considers its relations with its employees to be good.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Backlog</w:t>
      </w:r>
    </w:p>
    <w:p>
      <w:pPr>
        <w:spacing w:after="0" w:line="202" w:lineRule="exact"/>
        <w:rPr>
          <w:sz w:val="20"/>
          <w:szCs w:val="20"/>
          <w:color w:val="auto"/>
        </w:rPr>
      </w:pPr>
    </w:p>
    <w:p>
      <w:pPr>
        <w:jc w:val="both"/>
        <w:ind w:left="340" w:right="159" w:firstLine="778"/>
        <w:spacing w:after="0" w:line="293" w:lineRule="auto"/>
        <w:rPr>
          <w:sz w:val="20"/>
          <w:szCs w:val="20"/>
          <w:color w:val="auto"/>
        </w:rPr>
      </w:pPr>
      <w:r>
        <w:rPr>
          <w:rFonts w:ascii="Arial" w:cs="Arial" w:eastAsia="Arial" w:hAnsi="Arial"/>
          <w:sz w:val="16"/>
          <w:szCs w:val="16"/>
          <w:color w:val="auto"/>
        </w:rPr>
        <w:t>On December 31, 2010, the Company’s backlog of commercial vehicle orders was approximately $277.1 million as compared to a backlog of commercial vehicle orders of approximately $110.6 million on December 31, 2009. The Company includes only confirmed orders in its backlog. The delivery time for a custom-ordered truck varies depending on the truck specifications and demand for the particular model ordered, however, the Company expects to fill all of its backlog orders during 2011. The Company sells the majority of its new commercial vehicles by customer special order, with the remainder sold out of inventory. Orders from a number of the Company’s major fleet customers are included in the Company’s backlog as of December 31, 2010.</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Standards and Other Governmental Regulations</w:t>
      </w:r>
    </w:p>
    <w:p>
      <w:pPr>
        <w:spacing w:after="0" w:line="189" w:lineRule="exact"/>
        <w:rPr>
          <w:sz w:val="20"/>
          <w:szCs w:val="20"/>
          <w:color w:val="auto"/>
        </w:rPr>
      </w:pPr>
    </w:p>
    <w:p>
      <w:pPr>
        <w:jc w:val="both"/>
        <w:ind w:left="340" w:right="159" w:firstLine="778"/>
        <w:spacing w:after="0" w:line="272" w:lineRule="auto"/>
        <w:rPr>
          <w:sz w:val="20"/>
          <w:szCs w:val="20"/>
          <w:color w:val="auto"/>
        </w:rPr>
      </w:pPr>
      <w:r>
        <w:rPr>
          <w:rFonts w:ascii="Arial" w:cs="Arial" w:eastAsia="Arial" w:hAnsi="Arial"/>
          <w:sz w:val="17"/>
          <w:szCs w:val="17"/>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151" w:lineRule="exact"/>
        <w:rPr>
          <w:sz w:val="20"/>
          <w:szCs w:val="20"/>
          <w:color w:val="auto"/>
        </w:rPr>
      </w:pPr>
    </w:p>
    <w:p>
      <w:pPr>
        <w:jc w:val="both"/>
        <w:ind w:left="340" w:right="159" w:firstLine="778"/>
        <w:spacing w:after="0" w:line="272" w:lineRule="auto"/>
        <w:rPr>
          <w:sz w:val="20"/>
          <w:szCs w:val="20"/>
          <w:color w:val="auto"/>
        </w:rPr>
      </w:pPr>
      <w:r>
        <w:rPr>
          <w:rFonts w:ascii="Arial" w:cs="Arial" w:eastAsia="Arial" w:hAnsi="Arial"/>
          <w:sz w:val="17"/>
          <w:szCs w:val="17"/>
          <w:color w:val="auto"/>
        </w:rPr>
        <w:t>Our operations involving the management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37" w:lineRule="exact"/>
        <w:rPr>
          <w:sz w:val="20"/>
          <w:szCs w:val="20"/>
          <w:color w:val="auto"/>
        </w:rPr>
      </w:pPr>
    </w:p>
    <w:p>
      <w:pPr>
        <w:jc w:val="both"/>
        <w:ind w:left="340" w:right="159" w:firstLine="778"/>
        <w:spacing w:after="0" w:line="271" w:lineRule="auto"/>
        <w:rPr>
          <w:sz w:val="20"/>
          <w:szCs w:val="20"/>
          <w:color w:val="auto"/>
        </w:rPr>
      </w:pPr>
      <w:r>
        <w:rPr>
          <w:rFonts w:ascii="Arial" w:cs="Arial" w:eastAsia="Arial" w:hAnsi="Arial"/>
          <w:sz w:val="17"/>
          <w:szCs w:val="17"/>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138" w:lineRule="exact"/>
        <w:rPr>
          <w:sz w:val="20"/>
          <w:szCs w:val="20"/>
          <w:color w:val="auto"/>
        </w:rPr>
      </w:pPr>
    </w:p>
    <w:p>
      <w:pPr>
        <w:jc w:val="both"/>
        <w:ind w:left="340" w:right="159" w:firstLine="778"/>
        <w:spacing w:after="0" w:line="293" w:lineRule="auto"/>
        <w:rPr>
          <w:sz w:val="20"/>
          <w:szCs w:val="20"/>
          <w:color w:val="auto"/>
        </w:rPr>
      </w:pPr>
      <w:r>
        <w:rPr>
          <w:rFonts w:ascii="Arial" w:cs="Arial" w:eastAsia="Arial" w:hAnsi="Arial"/>
          <w:sz w:val="16"/>
          <w:szCs w:val="16"/>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w:t>
      </w:r>
    </w:p>
    <w:p>
      <w:pPr>
        <w:spacing w:after="0" w:line="138"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color w:val="auto"/>
        </w:rPr>
        <w:t>The EPA and the U.S. Department of Transportation (DOT) recently announced the first national standards to reduce greenhouse gas (GHG) emissions and improve fuel efficiency of heavy-duty trucks and buses. This comprehensive national program is projected to reduce GHG emissions by about 250 million metric tons and save 500 million barrels of oil over the lives of the vehicles produced within the program’s first five years.</w:t>
      </w:r>
    </w:p>
    <w:p>
      <w:pPr>
        <w:spacing w:after="0" w:line="146" w:lineRule="exact"/>
        <w:rPr>
          <w:sz w:val="20"/>
          <w:szCs w:val="20"/>
          <w:color w:val="auto"/>
        </w:rPr>
      </w:pPr>
    </w:p>
    <w:p>
      <w:pPr>
        <w:jc w:val="both"/>
        <w:ind w:left="340" w:right="159" w:firstLine="778"/>
        <w:spacing w:after="0" w:line="276" w:lineRule="auto"/>
        <w:rPr>
          <w:sz w:val="20"/>
          <w:szCs w:val="20"/>
          <w:color w:val="auto"/>
        </w:rPr>
      </w:pPr>
      <w:r>
        <w:rPr>
          <w:rFonts w:ascii="Arial" w:cs="Arial" w:eastAsia="Arial" w:hAnsi="Arial"/>
          <w:sz w:val="17"/>
          <w:szCs w:val="17"/>
          <w:color w:val="auto"/>
        </w:rPr>
        <w:t>The EPA and DOT’s National Highway Traffic Safety Administration are proposing new standards for three categories of heavy trucks: combination tractors (the main power unit portion of a tractor-trailer combined vehicle), heavy-duty pickups and vans, and vocational vehicles. The categories were established to address specific challenges for manufacturers in each area. For combination tractors, the agencies are proposing engine and vehicle standards that begin in the 2014 model year and achieve up to a 20 percent reduction in carbon dioxide (CO2) emissions and fuel consumption by 2018 model year.</w:t>
      </w: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778"/>
        <w:spacing w:after="0" w:line="276" w:lineRule="auto"/>
        <w:rPr>
          <w:sz w:val="20"/>
          <w:szCs w:val="20"/>
          <w:color w:val="auto"/>
        </w:rPr>
      </w:pPr>
      <w:r>
        <w:rPr>
          <w:rFonts w:ascii="Arial" w:cs="Arial" w:eastAsia="Arial" w:hAnsi="Arial"/>
          <w:sz w:val="17"/>
          <w:szCs w:val="17"/>
          <w:color w:val="auto"/>
        </w:rPr>
        <w:t>For heavy-duty pickup trucks and vans, the agencies are proposing separate gasoline and diesel truck standards, which phase in starting in the 2014 model year and achieve up to a 10 percent reduction for gasoline vehicles and 15 percent reduction for diesel vehicles by 2018 model year (12 and 17 percent respectively if accounting for air conditioning leakage). Lastly, for vocational vehicles, the agencies are proposing engine and vehicle standards starting in the 2014 model year which would achieve up to a 10 percent reduction in fuel consumption and CO2 emissions by 2018 model year.</w:t>
      </w:r>
    </w:p>
    <w:p>
      <w:pPr>
        <w:spacing w:after="0" w:line="146" w:lineRule="exact"/>
        <w:rPr>
          <w:sz w:val="20"/>
          <w:szCs w:val="20"/>
          <w:color w:val="auto"/>
        </w:rPr>
      </w:pPr>
    </w:p>
    <w:p>
      <w:pPr>
        <w:jc w:val="both"/>
        <w:ind w:left="340" w:right="159" w:firstLine="778"/>
        <w:spacing w:after="0" w:line="279" w:lineRule="auto"/>
        <w:rPr>
          <w:sz w:val="20"/>
          <w:szCs w:val="20"/>
          <w:color w:val="auto"/>
        </w:rPr>
      </w:pPr>
      <w:r>
        <w:rPr>
          <w:rFonts w:ascii="Arial" w:cs="Arial" w:eastAsia="Arial" w:hAnsi="Arial"/>
          <w:sz w:val="17"/>
          <w:szCs w:val="17"/>
          <w:color w:val="auto"/>
        </w:rPr>
        <w:t>It is not possible at this time to accurately predict how the foregoing proposed standards, future legislation or other new regulations that may be adopted to address greenhouse gas emissions will impact our business. Any regulations will likely result in increased compliance costs, additional operating restrictions or changes in demand for our products and services, which could have a material adverse effect on our business, financial condition and results of operation.</w:t>
      </w:r>
    </w:p>
    <w:p>
      <w:pPr>
        <w:spacing w:after="0" w:line="131" w:lineRule="exact"/>
        <w:rPr>
          <w:sz w:val="20"/>
          <w:szCs w:val="20"/>
          <w:color w:val="auto"/>
        </w:rPr>
      </w:pPr>
    </w:p>
    <w:p>
      <w:pPr>
        <w:jc w:val="both"/>
        <w:ind w:left="340" w:right="159" w:firstLine="778"/>
        <w:spacing w:after="0" w:line="270" w:lineRule="auto"/>
        <w:rPr>
          <w:sz w:val="20"/>
          <w:szCs w:val="20"/>
          <w:color w:val="auto"/>
        </w:rPr>
      </w:pPr>
      <w:r>
        <w:rPr>
          <w:rFonts w:ascii="Arial" w:cs="Arial" w:eastAsia="Arial" w:hAnsi="Arial"/>
          <w:sz w:val="17"/>
          <w:szCs w:val="17"/>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acquired,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41"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color w:val="auto"/>
        </w:rPr>
        <w:t>It is not possible at this time to predict how legislation or new regulations that may be adopted to address greenhouse gas emissions would impact our business. Any such future laws and regulations could result in increased compliance costs, additional operating restrictions or changes in demand for our products and services which could have a material adverse effect on our business, financial condition and results of operation.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An investment in our common stock is subject to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and adversely affected. If this were to happen, the value of our common stock could decline significantly, and you could lose all or part of your investment. This report is qualified in its entirety by these risk factors.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i w:val="1"/>
          <w:iCs w:val="1"/>
          <w:color w:val="auto"/>
        </w:rPr>
        <w:t>We are substantially dependent upon PACCAR for the supply of Peterbilt trucks and parts, the sale of which generates the majority of our revenues.</w:t>
      </w:r>
    </w:p>
    <w:p>
      <w:pPr>
        <w:spacing w:after="0" w:line="130"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color w:val="auto"/>
        </w:rPr>
        <w:t>We currently operate as a dealer of Peterbilt trucks and parts pursuant to dealership agreements with Peterbilt, a division of PACCAR. During 2010, a significant portion of our revenues resulted from sales of trucks purchased from Peterbilt and parts purchased from PACCAR. Due to our dependence on PACCAR and Peterbilt, we believe that the long-term success of our Rush Truck Centers depends, in large part, on the following:</w:t>
      </w:r>
    </w:p>
    <w:p>
      <w:pPr>
        <w:spacing w:after="0" w:line="146" w:lineRule="exact"/>
        <w:rPr>
          <w:sz w:val="20"/>
          <w:szCs w:val="20"/>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maintaining our relationship with PACCAR;</w:t>
      </w:r>
    </w:p>
    <w:p>
      <w:pPr>
        <w:spacing w:after="0" w:line="198"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manufacture and delivery of competitively-priced, high quality Peterbilt trucks and parts by PACCAR in quantities sufficient to meet our requirements;</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overall success of PACCAR and Peterbilt;</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370"/>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PACCAR’s continuation of its Peterbilt division;</w:t>
      </w:r>
    </w:p>
    <w:p>
      <w:pPr>
        <w:spacing w:after="0" w:line="198"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goodwill associated with the Peterbilt trademark, which can be adversely affected by decisions made by PACCAR and the owners of other Peterbilt dealerships; and</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PACCAR and Peterbilt’s ability to offer vehicles that meet federal and state emissions requirements.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have no control over the management or operation of PACCAR or Peterbilt dealerships that we do not own.</w:t>
      </w:r>
    </w:p>
    <w:p>
      <w:pPr>
        <w:spacing w:after="0" w:line="198"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i w:val="1"/>
          <w:iCs w:val="1"/>
          <w:color w:val="auto"/>
        </w:rPr>
        <w:t>Our results of operations and financial condition have been adversely affected by the conditions in the credit markets and unfavorable economic conditions in the United States.</w:t>
      </w:r>
    </w:p>
    <w:p>
      <w:pPr>
        <w:spacing w:after="0" w:line="130" w:lineRule="exact"/>
        <w:rPr>
          <w:sz w:val="20"/>
          <w:szCs w:val="20"/>
          <w:color w:val="auto"/>
        </w:rPr>
      </w:pPr>
    </w:p>
    <w:p>
      <w:pPr>
        <w:jc w:val="both"/>
        <w:ind w:left="340" w:right="159" w:firstLine="778"/>
        <w:spacing w:after="0" w:line="276" w:lineRule="auto"/>
        <w:rPr>
          <w:sz w:val="20"/>
          <w:szCs w:val="20"/>
          <w:color w:val="auto"/>
        </w:rPr>
      </w:pPr>
      <w:r>
        <w:rPr>
          <w:rFonts w:ascii="Arial" w:cs="Arial" w:eastAsia="Arial" w:hAnsi="Arial"/>
          <w:sz w:val="17"/>
          <w:szCs w:val="17"/>
          <w:color w:val="auto"/>
        </w:rPr>
        <w:t>Our business and operating results have been adversely affected by the unfavorable economic conditions in the United States, including the turbulence in the credit markets. In the commercial vehicle finance markets in recent years, tight credit conditions resulted in a decrease in the availability of commercial vehicle loans and led to more stringent lending restrictions. The economic conditions in the United States in recent years adversely impacted general demand for new and used commercial vehicles. As a result, our new and used commercial vehicle sales and margins continue to be adversely impacted.</w:t>
      </w:r>
    </w:p>
    <w:p>
      <w:pPr>
        <w:spacing w:after="0" w:line="132"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Market conditions could also make it more difficult for us to raise additional capital or obtain additional financing to fund capital expenditure projects, refinance existing debt or acquisitions. Additional funds may not be available if needed and to the extent required or, if available, on acceptable terms. If we cannot raise necessary additional funds on acceptable terms, there could be an adverse impact on our business and operations. We also may not be able to fund expansion, take advantage of future opportunities or respond to competitive pressures or unanticipated requirements.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growth is subject to a number of economic risks.</w:t>
      </w:r>
    </w:p>
    <w:p>
      <w:pPr>
        <w:spacing w:after="0" w:line="185" w:lineRule="exact"/>
        <w:rPr>
          <w:sz w:val="20"/>
          <w:szCs w:val="20"/>
          <w:color w:val="auto"/>
        </w:rPr>
      </w:pPr>
    </w:p>
    <w:p>
      <w:pPr>
        <w:jc w:val="both"/>
        <w:ind w:left="340" w:right="159" w:firstLine="778"/>
        <w:spacing w:after="0" w:line="286" w:lineRule="auto"/>
        <w:rPr>
          <w:sz w:val="20"/>
          <w:szCs w:val="20"/>
          <w:color w:val="auto"/>
        </w:rPr>
      </w:pPr>
      <w:r>
        <w:rPr>
          <w:rFonts w:ascii="Arial" w:cs="Arial" w:eastAsia="Arial" w:hAnsi="Arial"/>
          <w:sz w:val="17"/>
          <w:szCs w:val="17"/>
          <w:color w:val="auto"/>
        </w:rPr>
        <w:t>New and used commercial vehicle retail sales tend to experience periods of decline characterized by oversupply and weak demand. The commercial vehicle retail industries may experience sustained periods of decline in commercial vehicle sales in the future. Any decline or change of this type could materially affect our business, financial condition and results of operations.</w:t>
      </w:r>
    </w:p>
    <w:p>
      <w:pPr>
        <w:spacing w:after="0" w:line="125" w:lineRule="exact"/>
        <w:rPr>
          <w:sz w:val="20"/>
          <w:szCs w:val="20"/>
          <w:color w:val="auto"/>
        </w:rPr>
      </w:pPr>
    </w:p>
    <w:p>
      <w:pPr>
        <w:jc w:val="both"/>
        <w:ind w:left="340" w:right="179" w:firstLine="778"/>
        <w:spacing w:after="0" w:line="259" w:lineRule="auto"/>
        <w:rPr>
          <w:sz w:val="20"/>
          <w:szCs w:val="20"/>
          <w:color w:val="auto"/>
        </w:rPr>
      </w:pPr>
      <w:r>
        <w:rPr>
          <w:rFonts w:ascii="Arial" w:cs="Arial" w:eastAsia="Arial" w:hAnsi="Arial"/>
          <w:sz w:val="18"/>
          <w:szCs w:val="18"/>
          <w:color w:val="auto"/>
        </w:rPr>
        <w:t>As previously discussed, our business is subject to the adverse economic conditions present in the United States in recent years, including, without limitation, decreased levels of business activity, decreased freight demand, decreased construction activity, interest rate volatility, and limited credit availability. These adverse economic conditions could continue to materially affect our business, financial condition and results of operations.</w:t>
      </w:r>
    </w:p>
    <w:p>
      <w:pPr>
        <w:spacing w:after="0" w:line="160"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color w:val="auto"/>
        </w:rPr>
        <w:t>Adverse regional economic and competitive conditions in the geographic markets in which we operate could materially affect our business, financial condition and results of operations. Our new commercial vehicle sales volume therefore may differ from industry sales fluctuations.</w:t>
      </w:r>
    </w:p>
    <w:p>
      <w:pPr>
        <w:spacing w:after="0" w:line="141" w:lineRule="exact"/>
        <w:rPr>
          <w:sz w:val="20"/>
          <w:szCs w:val="20"/>
          <w:color w:val="auto"/>
        </w:rPr>
      </w:pPr>
    </w:p>
    <w:p>
      <w:pPr>
        <w:jc w:val="both"/>
        <w:ind w:left="340" w:right="159" w:firstLine="778"/>
        <w:spacing w:after="0" w:line="277" w:lineRule="auto"/>
        <w:rPr>
          <w:sz w:val="20"/>
          <w:szCs w:val="20"/>
          <w:color w:val="auto"/>
        </w:rPr>
      </w:pPr>
      <w:r>
        <w:rPr>
          <w:rFonts w:ascii="Arial" w:cs="Arial" w:eastAsia="Arial" w:hAnsi="Arial"/>
          <w:sz w:val="18"/>
          <w:szCs w:val="18"/>
          <w:color w:val="auto"/>
        </w:rPr>
        <w:t>Economic conditions and the other factors described above also may materially adversely impact our sales of finance and insurance products, and parts and repair services.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 may be required to obtain additional financing to maintain adequate inventory levels.</w:t>
      </w:r>
    </w:p>
    <w:p>
      <w:pPr>
        <w:spacing w:after="0" w:line="198" w:lineRule="exact"/>
        <w:rPr>
          <w:sz w:val="20"/>
          <w:szCs w:val="20"/>
          <w:color w:val="auto"/>
        </w:rPr>
      </w:pPr>
    </w:p>
    <w:p>
      <w:pPr>
        <w:jc w:val="both"/>
        <w:ind w:left="340" w:right="159" w:firstLine="778"/>
        <w:spacing w:after="0" w:line="270" w:lineRule="auto"/>
        <w:rPr>
          <w:sz w:val="20"/>
          <w:szCs w:val="20"/>
          <w:color w:val="auto"/>
        </w:rPr>
      </w:pPr>
      <w:r>
        <w:rPr>
          <w:rFonts w:ascii="Arial" w:cs="Arial" w:eastAsia="Arial" w:hAnsi="Arial"/>
          <w:sz w:val="17"/>
          <w:szCs w:val="17"/>
          <w:color w:val="auto"/>
        </w:rPr>
        <w:t>Our business requires inventories held for sale to be maintained at dealer locations in order to facilitate immediate sales to customers on demand. We generally purchase inventories with the assistance of floor plan financing agreements. Our floor plan financing agreements are with companies that have exposure to many different industries and counterparties, and routinely execute transactions with counterparties in the financial services industry, including brokers and dealers, commercial banks, investment banks and other institutional clients. Additionally, our floor plan providers may have exposure to financial institutions in the form of equity investments and unsecured debt instruments.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or, if obtained, that it will be on commercially reasonable terms.</w:t>
      </w:r>
    </w:p>
    <w:p>
      <w:pPr>
        <w:spacing w:after="0" w:line="200" w:lineRule="exact"/>
        <w:rPr>
          <w:sz w:val="20"/>
          <w:szCs w:val="20"/>
          <w:color w:val="auto"/>
        </w:rPr>
      </w:pPr>
    </w:p>
    <w:p>
      <w:pPr>
        <w:spacing w:after="0" w:line="33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interest rates could have a material adverse effect on our profitability.</w:t>
      </w:r>
    </w:p>
    <w:p>
      <w:pPr>
        <w:spacing w:after="0" w:line="198" w:lineRule="exact"/>
        <w:rPr>
          <w:sz w:val="20"/>
          <w:szCs w:val="20"/>
          <w:color w:val="auto"/>
        </w:rPr>
      </w:pPr>
    </w:p>
    <w:p>
      <w:pPr>
        <w:jc w:val="both"/>
        <w:ind w:left="340" w:right="159" w:firstLine="778"/>
        <w:spacing w:after="0" w:line="293" w:lineRule="auto"/>
        <w:rPr>
          <w:sz w:val="20"/>
          <w:szCs w:val="20"/>
          <w:color w:val="auto"/>
        </w:rPr>
      </w:pPr>
      <w:r>
        <w:rPr>
          <w:rFonts w:ascii="Arial" w:cs="Arial" w:eastAsia="Arial" w:hAnsi="Arial"/>
          <w:sz w:val="16"/>
          <w:szCs w:val="16"/>
          <w:color w:val="auto"/>
        </w:rPr>
        <w:t>Our primary floor plan financing agreements and some of our other debt are subject to variable interest rates. Therefore, our interest expense would rise with any increase in interest rates. A rise in interest rates may also have the effect of depressing demand in the interest rate sensitive aspects of our business, particularly new and used commercial vehicle sales, because many of our customers finance these large purchases. As a result, a rise in interest rates may have the effect of simultaneously increasing our costs and reducing our revenues, which could materially affect our business, financial condition and results of operations. See “Quantitative and Qualitative Disclosures about Market Risk” for a discussion regarding our interest rate sensitivity.</w:t>
      </w:r>
    </w:p>
    <w:p>
      <w:pPr>
        <w:spacing w:after="0" w:line="124"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i w:val="1"/>
          <w:iCs w:val="1"/>
          <w:color w:val="auto"/>
        </w:rPr>
        <w:t>Our dealership agreements may be terminable upon a change of control and we cannot control whether our controlling shareholder and management maintain their current positions.</w:t>
      </w:r>
    </w:p>
    <w:p>
      <w:pPr>
        <w:spacing w:after="0" w:line="130" w:lineRule="exact"/>
        <w:rPr>
          <w:sz w:val="20"/>
          <w:szCs w:val="20"/>
          <w:color w:val="auto"/>
        </w:rPr>
      </w:pPr>
    </w:p>
    <w:p>
      <w:pPr>
        <w:jc w:val="both"/>
        <w:ind w:left="340" w:right="159" w:firstLine="778"/>
        <w:spacing w:after="0" w:line="285" w:lineRule="auto"/>
        <w:rPr>
          <w:sz w:val="20"/>
          <w:szCs w:val="20"/>
          <w:color w:val="auto"/>
        </w:rPr>
      </w:pPr>
      <w:r>
        <w:rPr>
          <w:rFonts w:ascii="Arial" w:cs="Arial" w:eastAsia="Arial" w:hAnsi="Arial"/>
          <w:sz w:val="16"/>
          <w:szCs w:val="16"/>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a change of control occurs if (i) with respect to the election of directors, the aggregate voting power held by W. Marvin Rush, W. M. “Rusty” Rush, W. Marvin Rush’s family members and other executives of the Company decreases below 30% (such persons currently control 34.1% of the aggregate voting power with respect to the election of directors); or (ii) any person or entity other than W. Marvin Rush, W. M. “Rusty” Rush and other Rush executives or any person or entity who has been approved in writing by PACCAR, owns common stock with a greater percentage of the voting power with respect to the election of our directors than W. Marvin Rush and W. M. “Rusty” Rush and other executives of the Company, in the aggregate, or any person other than W. Marvin Rush, W. M. “Rusty” Rush, Robin M. Rush or any person who has been approved in writing by PACCAR holds the office of Chairman of the Board, President or Chief Executive Officer of the Company. We have no control over the transfer or disposition by W. Marvin Rush or by his estate of his common stock. If W. Marvin Rush were to sell his Class B common stock or bequest his Class B common stock to nonfamily members or if his estate is required to liquidate his Class B common stock to pay estate taxes or otherwise, the change of control provisions of the Peterbilt dealership agreements may be triggered and cause us to lose our critical right to sell Peterbilt products. Some of our medium-duty truck dealership agreements are also terminable if the aggregate voting power of W. Marvin Rush and his family members falls below certain percentages, typically 25%. If our dealership agreements with any manufacturer are terminated, we will lose the right to purchase such manufacturer’s products, which would have a material adverse effect on our operations, revenues and profitability.</w:t>
      </w:r>
    </w:p>
    <w:p>
      <w:pPr>
        <w:spacing w:after="0" w:line="148"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i w:val="1"/>
          <w:iCs w:val="1"/>
          <w:color w:val="auto"/>
        </w:rPr>
        <w:t>If state dealer laws are repealed or weakened, our dealerships will be more susceptible to termination, nonrenewal or renegotiation of their dealership agreements.</w:t>
      </w:r>
    </w:p>
    <w:p>
      <w:pPr>
        <w:spacing w:after="0" w:line="130" w:lineRule="exact"/>
        <w:rPr>
          <w:sz w:val="20"/>
          <w:szCs w:val="20"/>
          <w:color w:val="auto"/>
        </w:rPr>
      </w:pPr>
    </w:p>
    <w:p>
      <w:pPr>
        <w:jc w:val="both"/>
        <w:ind w:left="340" w:right="159" w:firstLine="778"/>
        <w:spacing w:after="0" w:line="290" w:lineRule="auto"/>
        <w:rPr>
          <w:sz w:val="20"/>
          <w:szCs w:val="20"/>
          <w:color w:val="auto"/>
        </w:rPr>
      </w:pPr>
      <w:r>
        <w:rPr>
          <w:rFonts w:ascii="Arial" w:cs="Arial" w:eastAsia="Arial" w:hAnsi="Arial"/>
          <w:sz w:val="16"/>
          <w:szCs w:val="16"/>
          <w:color w:val="auto"/>
        </w:rPr>
        <w:t>Our truck dealership agreements impose certain operational obligations and financial requirements on us. State dealer laws generally provide that a manufacturer may not terminate or refuse to renew a dealership agreement unless it has first provided the dealer with written notice setting forth good cause and stating the grounds for termination or nonrenewal. Manufacturers’ lobbying efforts may lead to the repeal or revision of state motor vehicle dealer laws. If motor vehicle dealer laws are repealed in the states in which we operate dealerships, our manufacturers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could have a material adverse effect on our operations, revenues and profitability.</w:t>
      </w:r>
    </w:p>
    <w:p>
      <w:pPr>
        <w:spacing w:after="0" w:line="126"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i w:val="1"/>
          <w:iCs w:val="1"/>
          <w:color w:val="auto"/>
        </w:rPr>
        <w:t>Our dealership agreements have relatively short terms which could result in non-renewal or imposition of less favorable terms upon renewal.</w:t>
      </w:r>
    </w:p>
    <w:p>
      <w:pPr>
        <w:spacing w:after="0" w:line="143" w:lineRule="exact"/>
        <w:rPr>
          <w:sz w:val="20"/>
          <w:szCs w:val="20"/>
          <w:color w:val="auto"/>
        </w:rPr>
      </w:pPr>
    </w:p>
    <w:p>
      <w:pPr>
        <w:jc w:val="both"/>
        <w:ind w:left="340" w:right="159" w:firstLine="778"/>
        <w:spacing w:after="0" w:line="271" w:lineRule="auto"/>
        <w:rPr>
          <w:sz w:val="20"/>
          <w:szCs w:val="20"/>
          <w:color w:val="auto"/>
        </w:rPr>
      </w:pPr>
      <w:r>
        <w:rPr>
          <w:rFonts w:ascii="Arial" w:cs="Arial" w:eastAsia="Arial" w:hAnsi="Arial"/>
          <w:sz w:val="17"/>
          <w:szCs w:val="17"/>
          <w:color w:val="auto"/>
        </w:rPr>
        <w:t>Our Peterbilt dealership agreements have current terms expiring between April 2011 and July 2013. Our International dealership agreements have current terms expiring May 2013 and May 2015. Our dealership agreements with Autocar, Mitsubishi, Hino, UD, Ford, Isuzu, Diamond, Elkhart, Blue Bird, IC Bus and Workhorse for the sale of medium-duty commercial vehicles have current terms expiring between May 2011 and May 2015. Upon expiration of each agreement, we must negotiate a renewal. In many states, state dealer franchise laws restrict the manufacturer’s ability to refuse to renew dealership agreements or to impose new terms upon renewal. To the extent such laws do permit non-renewal or imposition of new terms, the relatively short terms will give the manufacturers the opportunity to exercise such rights. Any non-renewal or imposition of less favorable terms upon renewal could have an adverse impact on our business.</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We depend on relationships with suppliers for sales incentives, discounts and similar programs which are material to our operations.</w:t>
      </w:r>
    </w:p>
    <w:p>
      <w:pPr>
        <w:spacing w:after="0" w:line="221" w:lineRule="exact"/>
        <w:rPr>
          <w:sz w:val="20"/>
          <w:szCs w:val="20"/>
          <w:color w:val="auto"/>
        </w:rPr>
      </w:pPr>
    </w:p>
    <w:p>
      <w:pPr>
        <w:jc w:val="both"/>
        <w:ind w:left="340" w:right="159" w:firstLine="778"/>
        <w:spacing w:after="0" w:line="279" w:lineRule="auto"/>
        <w:rPr>
          <w:sz w:val="20"/>
          <w:szCs w:val="20"/>
          <w:color w:val="auto"/>
        </w:rPr>
      </w:pPr>
      <w:r>
        <w:rPr>
          <w:rFonts w:ascii="Arial" w:cs="Arial" w:eastAsia="Arial" w:hAnsi="Arial"/>
          <w:sz w:val="17"/>
          <w:szCs w:val="17"/>
          <w:color w:val="auto"/>
        </w:rPr>
        <w:t>We depend on suppliers for sales incentives, discounts, warranties and other programs that are intended to promote our use of their components. Most of the incentives and discounts are individually negotiated and not always the same as those made available to our competitors. These incentives and discounts are material to our operations. A reduction or discontinuation of a component supplier’s incentive program could have a material adverse effect on our profitability.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Substantial competition may affect our profitability.</w:t>
      </w:r>
    </w:p>
    <w:p>
      <w:pPr>
        <w:spacing w:after="0" w:line="185" w:lineRule="exact"/>
        <w:rPr>
          <w:sz w:val="20"/>
          <w:szCs w:val="20"/>
          <w:color w:val="auto"/>
        </w:rPr>
      </w:pPr>
    </w:p>
    <w:p>
      <w:pPr>
        <w:jc w:val="both"/>
        <w:ind w:left="340" w:right="159" w:firstLine="778"/>
        <w:spacing w:after="0" w:line="269" w:lineRule="auto"/>
        <w:rPr>
          <w:sz w:val="20"/>
          <w:szCs w:val="20"/>
          <w:color w:val="auto"/>
        </w:rPr>
      </w:pPr>
      <w:r>
        <w:rPr>
          <w:rFonts w:ascii="Arial" w:cs="Arial" w:eastAsia="Arial" w:hAnsi="Arial"/>
          <w:sz w:val="17"/>
          <w:szCs w:val="17"/>
          <w:color w:val="auto"/>
        </w:rPr>
        <w:t>We face vigorous competition for customers and for suitable dealership locations. We compete with a large number of independent dealers, factory-owned dealers, and independent service centers. There is significant competition both within the markets we currently serve and in markets that we may enter. Moreover, our dealership agreements generally do not contractually provide us with exclusive dealerships in any territory. Manufacturers we represent could elect to create additional dealers in our market areas in the future, subject to restrictions imposed by state laws. While dealership agreements typically restrict dealers from operating sales or service facilities outside their assigned territory, such agreements do not restrict fleet or other sales or marketing activity outside the assigned territory. Accordingly, we engage in fleet sales and other marketing activities outside our assigned territories and other dealers engage in similar activities within our territories. Dealer competition continues to increase and is affected by a number of factors including the accessibility of dealership locations, the number of dealership locations, product pricing, product value, product quality, product design and customer service (including technical service). We anticipate that we will continue to face strong competition in the future.</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 could incur substantial business interruptions during our dealer management system conversion</w:t>
      </w:r>
      <w:r>
        <w:rPr>
          <w:rFonts w:ascii="Arial" w:cs="Arial" w:eastAsia="Arial" w:hAnsi="Arial"/>
          <w:sz w:val="18"/>
          <w:szCs w:val="18"/>
          <w:color w:val="auto"/>
        </w:rPr>
        <w:t>.</w:t>
      </w:r>
    </w:p>
    <w:p>
      <w:pPr>
        <w:spacing w:after="0" w:line="185" w:lineRule="exact"/>
        <w:rPr>
          <w:sz w:val="20"/>
          <w:szCs w:val="20"/>
          <w:color w:val="auto"/>
        </w:rPr>
      </w:pPr>
    </w:p>
    <w:p>
      <w:pPr>
        <w:jc w:val="both"/>
        <w:ind w:left="340" w:right="159" w:firstLine="778"/>
        <w:spacing w:after="0" w:line="291" w:lineRule="auto"/>
        <w:rPr>
          <w:sz w:val="20"/>
          <w:szCs w:val="20"/>
          <w:color w:val="auto"/>
        </w:rPr>
      </w:pPr>
      <w:r>
        <w:rPr>
          <w:rFonts w:ascii="Arial" w:cs="Arial" w:eastAsia="Arial" w:hAnsi="Arial"/>
          <w:sz w:val="16"/>
          <w:szCs w:val="16"/>
          <w:color w:val="auto"/>
        </w:rPr>
        <w:t>We will continue to implement SAP enterprise software and a new SAP dealership management system throughout the organization during 2011. The estimated cost of the implementation is approximately $39.0 million. SAP’s dealership management system will become our sole dealership management system for our Rush Truck Centers. We currently operate on a KARMAK Legend Enterprise Solution and our Rush Truck Centers operate on KARMAK Legend dealer management system. By implementing SAP, we believe that we will be able to standardize operational processes throughout our network of Rush Truck Centers. However, if our implementation of SAP is unsuccessful, we could incur substantial business interruptions, including the inability to perform routine business transactions, which could have a significant impact on our financial performance.</w:t>
      </w:r>
    </w:p>
    <w:p>
      <w:pPr>
        <w:spacing w:after="0" w:line="127"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i w:val="1"/>
          <w:iCs w:val="1"/>
          <w:color w:val="auto"/>
        </w:rPr>
        <w:t>If we lose key personnel or are unable to attract additional qualified personnel, our business could be adversely affected because we rely on the industry knowledge and relationships of our key personnel.</w:t>
      </w:r>
    </w:p>
    <w:p>
      <w:pPr>
        <w:spacing w:after="0" w:line="143" w:lineRule="exact"/>
        <w:rPr>
          <w:sz w:val="20"/>
          <w:szCs w:val="20"/>
          <w:color w:val="auto"/>
        </w:rPr>
      </w:pPr>
    </w:p>
    <w:p>
      <w:pPr>
        <w:jc w:val="both"/>
        <w:ind w:left="340" w:right="159" w:firstLine="778"/>
        <w:spacing w:after="0" w:line="255" w:lineRule="auto"/>
        <w:rPr>
          <w:sz w:val="20"/>
          <w:szCs w:val="20"/>
          <w:color w:val="auto"/>
        </w:rPr>
      </w:pPr>
      <w:r>
        <w:rPr>
          <w:rFonts w:ascii="Arial" w:cs="Arial" w:eastAsia="Arial" w:hAnsi="Arial"/>
          <w:sz w:val="18"/>
          <w:szCs w:val="18"/>
          <w:color w:val="auto"/>
        </w:rPr>
        <w:t>We believe that our success depends significantly upon the efforts and abilities of our executive management and key employees. Additionally, our business is dependent upon our ability to continue to attract and retain qualified personnel, such as executive officers, managers and dealership personnel. The loss of the services of one or more members of our senior management team could have a material adverse effect on us and materially impair the efficiency and productivity of our operations. In addition, the loss of any of our key employees or the failure to attract additional qualified executive officers, managers and dealership personnel could have a material adverse effect on our business and may materially impact the ability of our dealerships to conduct their operations in accordance with our business strategy.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Natural disasters and adverse weather events can disrupt our business.</w:t>
      </w:r>
    </w:p>
    <w:p>
      <w:pPr>
        <w:spacing w:after="0" w:line="185" w:lineRule="exact"/>
        <w:rPr>
          <w:sz w:val="20"/>
          <w:szCs w:val="20"/>
          <w:color w:val="auto"/>
        </w:rPr>
      </w:pPr>
    </w:p>
    <w:p>
      <w:pPr>
        <w:jc w:val="both"/>
        <w:ind w:left="340" w:right="159" w:firstLine="778"/>
        <w:spacing w:after="0" w:line="293" w:lineRule="auto"/>
        <w:rPr>
          <w:sz w:val="20"/>
          <w:szCs w:val="20"/>
          <w:color w:val="auto"/>
        </w:rPr>
      </w:pPr>
      <w:r>
        <w:rPr>
          <w:rFonts w:ascii="Arial" w:cs="Arial" w:eastAsia="Arial" w:hAnsi="Arial"/>
          <w:sz w:val="16"/>
          <w:szCs w:val="16"/>
          <w:color w:val="auto"/>
        </w:rPr>
        <w:t>Our dealerships are concentrated in states and regions in the United States in which actual or threatened natural disasters and severe weather events (such as hurricanes, earthquakes, fires, floods and hail storms) may disrupt our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subject to certain limitations and exclusions, substantial insurance, we may be exposed to uninsured or underinsured losses that could have a material adverse effect on our business, financial condition, results of operations or cash flows.</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dollar amount of our backlog, as stated at any given time, is not necessarily indicative of our future earnings.</w:t>
      </w:r>
    </w:p>
    <w:p>
      <w:pPr>
        <w:spacing w:after="0" w:line="198"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As of December 31, 2010, our backlog of new commercial vehicle orders was approximately $277.1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spacing w:after="0" w:line="148"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color w:val="auto"/>
        </w:rPr>
        <w:t>Reductions in backlog due to cancellation by a customer or for other reasons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141"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i w:val="1"/>
          <w:iCs w:val="1"/>
          <w:color w:val="auto"/>
        </w:rPr>
        <w:t>Our dealerships are subject to federal, state and local environmental regulations that may result in claims and liabilities, which could be material.</w:t>
      </w:r>
    </w:p>
    <w:p>
      <w:pPr>
        <w:spacing w:after="0" w:line="143" w:lineRule="exact"/>
        <w:rPr>
          <w:sz w:val="20"/>
          <w:szCs w:val="20"/>
          <w:color w:val="auto"/>
        </w:rPr>
      </w:pPr>
    </w:p>
    <w:p>
      <w:pPr>
        <w:jc w:val="both"/>
        <w:ind w:left="340" w:right="159" w:firstLine="778"/>
        <w:spacing w:after="0" w:line="291" w:lineRule="auto"/>
        <w:rPr>
          <w:sz w:val="20"/>
          <w:szCs w:val="20"/>
          <w:color w:val="auto"/>
        </w:rPr>
      </w:pPr>
      <w:r>
        <w:rPr>
          <w:rFonts w:ascii="Arial" w:cs="Arial" w:eastAsia="Arial" w:hAnsi="Arial"/>
          <w:sz w:val="16"/>
          <w:szCs w:val="16"/>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pacing w:after="0" w:line="127" w:lineRule="exact"/>
        <w:rPr>
          <w:sz w:val="20"/>
          <w:szCs w:val="20"/>
          <w:color w:val="auto"/>
        </w:rPr>
      </w:pPr>
    </w:p>
    <w:p>
      <w:pPr>
        <w:jc w:val="both"/>
        <w:ind w:left="340" w:right="159" w:firstLine="778"/>
        <w:spacing w:after="0" w:line="255" w:lineRule="auto"/>
        <w:rPr>
          <w:sz w:val="20"/>
          <w:szCs w:val="20"/>
          <w:color w:val="auto"/>
        </w:rPr>
      </w:pPr>
      <w:r>
        <w:rPr>
          <w:rFonts w:ascii="Arial" w:cs="Arial" w:eastAsia="Arial" w:hAnsi="Arial"/>
          <w:sz w:val="18"/>
          <w:szCs w:val="18"/>
          <w:color w:val="auto"/>
        </w:rPr>
        <w:t>We may also have liability in connection with materials that were sent to third-party recycling, treatment, or disposal facilities under federal and state statutes. In that case, laws and regulations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w:t>
      </w:r>
    </w:p>
    <w:p>
      <w:pPr>
        <w:spacing w:after="0" w:line="149"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color w:val="auto"/>
        </w:rPr>
        <w:t>Further, environmental laws and regulations are complex and subject to change.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w:t>
      </w:r>
    </w:p>
    <w:p>
      <w:pPr>
        <w:spacing w:after="0" w:line="160"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i w:val="1"/>
          <w:iCs w:val="1"/>
          <w:color w:val="auto"/>
        </w:rPr>
        <w:t>We are dependent on the ongoing success of the manufacturers we represent and adverse conditions affecting the manufacturers we represent may negatively impact our revenues and profitability.</w:t>
      </w:r>
    </w:p>
    <w:p>
      <w:pPr>
        <w:spacing w:after="0" w:line="130" w:lineRule="exact"/>
        <w:rPr>
          <w:sz w:val="20"/>
          <w:szCs w:val="20"/>
          <w:color w:val="auto"/>
        </w:rPr>
      </w:pPr>
    </w:p>
    <w:p>
      <w:pPr>
        <w:jc w:val="both"/>
        <w:ind w:left="340" w:right="159" w:firstLine="778"/>
        <w:spacing w:after="0" w:line="271" w:lineRule="auto"/>
        <w:rPr>
          <w:sz w:val="20"/>
          <w:szCs w:val="20"/>
          <w:color w:val="auto"/>
        </w:rPr>
      </w:pPr>
      <w:r>
        <w:rPr>
          <w:rFonts w:ascii="Arial" w:cs="Arial" w:eastAsia="Arial" w:hAnsi="Arial"/>
          <w:sz w:val="17"/>
          <w:szCs w:val="17"/>
          <w:color w:val="auto"/>
        </w:rPr>
        <w:t>The success of our dealerships is dependent on the manufacturers represented at such dealerships in several ways. Our ability to sell new vehicles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the store customer. We generally have significant receivables from manufacturers for warranty and service work performed for customers. In addition, we rely on manufacturers to varying extents for product training, marketing materials, and other items for our stores. Our business, results of operations, and financial condition could be materially adversely affected as a result of any event that has a material adverse effect on the manufacturers we represent.</w:t>
      </w:r>
    </w:p>
    <w:p>
      <w:pPr>
        <w:spacing w:after="0" w:line="200" w:lineRule="exact"/>
        <w:rPr>
          <w:sz w:val="20"/>
          <w:szCs w:val="20"/>
          <w:color w:val="auto"/>
        </w:rPr>
      </w:pPr>
    </w:p>
    <w:p>
      <w:pPr>
        <w:spacing w:after="0" w:line="3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778"/>
        <w:spacing w:after="0" w:line="273" w:lineRule="auto"/>
        <w:rPr>
          <w:sz w:val="20"/>
          <w:szCs w:val="20"/>
          <w:color w:val="auto"/>
        </w:rPr>
      </w:pPr>
      <w:r>
        <w:rPr>
          <w:rFonts w:ascii="Arial" w:cs="Arial" w:eastAsia="Arial" w:hAnsi="Arial"/>
          <w:sz w:val="17"/>
          <w:szCs w:val="17"/>
          <w:color w:val="auto"/>
        </w:rPr>
        <w:t>The manufacturers we represent may be adversely impacted by economic downturns, significant declines in the sales of their new vehicles,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151" w:lineRule="exact"/>
        <w:rPr>
          <w:sz w:val="20"/>
          <w:szCs w:val="20"/>
          <w:color w:val="auto"/>
        </w:rPr>
      </w:pPr>
    </w:p>
    <w:p>
      <w:pPr>
        <w:jc w:val="both"/>
        <w:ind w:left="340" w:right="159" w:firstLine="778"/>
        <w:spacing w:after="0" w:line="270" w:lineRule="auto"/>
        <w:rPr>
          <w:sz w:val="20"/>
          <w:szCs w:val="20"/>
          <w:color w:val="auto"/>
        </w:rPr>
      </w:pPr>
      <w:r>
        <w:rPr>
          <w:rFonts w:ascii="Arial" w:cs="Arial" w:eastAsia="Arial" w:hAnsi="Arial"/>
          <w:sz w:val="17"/>
          <w:szCs w:val="17"/>
          <w:color w:val="auto"/>
        </w:rPr>
        <w:t>Actions taken in response to continued operational losses by manufacturers we represent, including bankruptcy or reorganizations, could have a material adverse effect on our sales volumes and profitability. In addition, such losses or reorganizations could lead to the impairment of one or more of our franchise rights, inventories, fixed assets and other related assets, which in turn could have a material adverse effect on our financial condition and results of operations. For example, during the second quarter of 2009, General Motors made the decision to terminate its medium-duty GMC truck production and wind-down the Company’s medium-duty GMC truck franchises, which forced the Company to take a significant pre-tax asset impairment charge in the second quarter of 2009.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41"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i w:val="1"/>
          <w:iCs w:val="1"/>
          <w:color w:val="auto"/>
        </w:rPr>
        <w:t>Climate change legislation or regulations restricting emissions of “greenhouse gases” could result in increased costs and reduced demand for our products and services.</w:t>
      </w:r>
    </w:p>
    <w:p>
      <w:pPr>
        <w:spacing w:after="0" w:line="130" w:lineRule="exact"/>
        <w:rPr>
          <w:sz w:val="20"/>
          <w:szCs w:val="20"/>
          <w:color w:val="auto"/>
        </w:rPr>
      </w:pPr>
    </w:p>
    <w:p>
      <w:pPr>
        <w:jc w:val="both"/>
        <w:ind w:left="340" w:right="159" w:firstLine="778"/>
        <w:spacing w:after="0" w:line="270" w:lineRule="auto"/>
        <w:rPr>
          <w:sz w:val="20"/>
          <w:szCs w:val="20"/>
          <w:color w:val="auto"/>
        </w:rPr>
      </w:pPr>
      <w:r>
        <w:rPr>
          <w:rFonts w:ascii="Arial" w:cs="Arial" w:eastAsia="Arial" w:hAnsi="Arial"/>
          <w:sz w:val="17"/>
          <w:szCs w:val="17"/>
          <w:color w:val="auto"/>
        </w:rPr>
        <w:t>The EPA and the DOT’s National Highway Traffic Safety Administration (“NHTSA”) recently announced proposed rules to reduce greenhouse gas emissions and improve fuel efficiency of medium and heavy-duty vehicles. The EPA and NHTSA are attempting to create a “heavy-duty national program,” designed to reduce oil consumption and address global climate change by each proposing complementary standards to reduce fuel use and greenhouse gas emissions from on-highway transportation sources. The emissions and fuel consumption standards in the proposed rules would phase in with increasing stringency in each model year from 2014 to 2018. The proposed rules are likely to increase the production costs of the manufacturers we represent. Our manufacturers are likely to pass such costs on to us, which could increase the cost of the new vehicles we sell and, accordingly, reduce demand for such products. Increased costs and reduced demand could materially adversely affect our ability to sell new vehicles, which would materially adversely affect our business, results of operations, and financial condition.</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Negative conditions in global credit markets may impair our investments in auction rate securities.</w:t>
      </w:r>
    </w:p>
    <w:p>
      <w:pPr>
        <w:spacing w:after="0" w:line="185" w:lineRule="exact"/>
        <w:rPr>
          <w:sz w:val="20"/>
          <w:szCs w:val="20"/>
          <w:color w:val="auto"/>
        </w:rPr>
      </w:pPr>
    </w:p>
    <w:p>
      <w:pPr>
        <w:jc w:val="both"/>
        <w:ind w:left="340" w:right="159" w:firstLine="778"/>
        <w:spacing w:after="0" w:line="291" w:lineRule="auto"/>
        <w:rPr>
          <w:sz w:val="20"/>
          <w:szCs w:val="20"/>
          <w:color w:val="auto"/>
        </w:rPr>
      </w:pPr>
      <w:r>
        <w:rPr>
          <w:rFonts w:ascii="Arial" w:cs="Arial" w:eastAsia="Arial" w:hAnsi="Arial"/>
          <w:sz w:val="16"/>
          <w:szCs w:val="16"/>
          <w:color w:val="auto"/>
        </w:rPr>
        <w:t>Auction rate securities (“ARS”) are long-term debt instruments with interest rates that reset through periodic short-term auctions. Holders of ARS can either sell into the auction, or bid, based on a desired interest rate, or hold and accept the reset rate. If there are insufficient buyers, then the auction fails and holders are unable to liquidate their investment through the auction. A failed auction is not a default of the debt instrument, but does set a new interest rate in accordance with the original terms of the debt instrument. The result of a failed auction is that the ARS continues to pay interest in accordance with its terms; however, liquidity for holders is limited until there is a successful auction or until such time as another market for ARS develops. ARS are generally callable at any time by the issuer. Auctions continue to be held as scheduled until the ARS matures or until it is called.</w:t>
      </w:r>
    </w:p>
    <w:p>
      <w:pPr>
        <w:spacing w:after="0" w:line="127" w:lineRule="exact"/>
        <w:rPr>
          <w:sz w:val="20"/>
          <w:szCs w:val="20"/>
          <w:color w:val="auto"/>
        </w:rPr>
      </w:pPr>
    </w:p>
    <w:p>
      <w:pPr>
        <w:jc w:val="both"/>
        <w:ind w:left="340" w:right="159" w:firstLine="778"/>
        <w:spacing w:after="0" w:line="268" w:lineRule="auto"/>
        <w:rPr>
          <w:sz w:val="20"/>
          <w:szCs w:val="20"/>
          <w:color w:val="auto"/>
        </w:rPr>
      </w:pPr>
      <w:r>
        <w:rPr>
          <w:rFonts w:ascii="Arial" w:cs="Arial" w:eastAsia="Arial" w:hAnsi="Arial"/>
          <w:sz w:val="17"/>
          <w:szCs w:val="17"/>
          <w:color w:val="auto"/>
        </w:rPr>
        <w:t>As a result of the conditions in the global credit markets, we have been unable to liquidate our holdings of certain ARS because the amount of securities submitted for sale has exceeded the amount of purchase orders for such securities and the auctions failed. As of December 31, 2010, the Company held approximately $7.6 million in ARS. We continue to earn interest on these investments at the contractual rate. In the event we need to access these funds, we will not be able to do so until a future auction is successful, the issuer redeems the securities, a buyer is found outside of the auction process or the securities mature. If these ARS are unable to successfully clear at future auctions or issuers do not redeem the securities, we may be required to adjust the carrying value of the securities and record an impairment charge. If we determine that the fair value of these ARS is temporarily impaired, we would record a temporary impairment within other comprehensive income, a component of stockholders’ equity. If it is determined that the fair value of these securities is other than temporarily impaired, we would recognize the credit loss portion of the other than temporary impairment in earnings, which could materially adversely impact our results of operations and financial condition. Any noncredit loss would be recognized in other comprehensive income. For further discussion of the risks related to our auction rate securities, see Note 9 — Financial Instruments and Fair Value of the Notes to Consolidated Financial Statements and Item 7A — Quantitative and Qualitative Disclosures about Market Risk.</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i w:val="1"/>
          <w:iCs w:val="1"/>
          <w:color w:val="auto"/>
        </w:rPr>
        <w:t>An impairment in the carrying value of goodwill and other indefinite-lived intangible assets could negatively affect our operating results.</w:t>
      </w:r>
    </w:p>
    <w:p>
      <w:pPr>
        <w:spacing w:after="0" w:line="143" w:lineRule="exact"/>
        <w:rPr>
          <w:sz w:val="20"/>
          <w:szCs w:val="20"/>
          <w:color w:val="auto"/>
        </w:rPr>
      </w:pPr>
    </w:p>
    <w:p>
      <w:pPr>
        <w:jc w:val="both"/>
        <w:ind w:left="340" w:right="159" w:firstLine="778"/>
        <w:spacing w:after="0" w:line="286" w:lineRule="auto"/>
        <w:rPr>
          <w:sz w:val="20"/>
          <w:szCs w:val="20"/>
          <w:color w:val="auto"/>
        </w:rPr>
      </w:pPr>
      <w:r>
        <w:rPr>
          <w:rFonts w:ascii="Arial" w:cs="Arial" w:eastAsia="Arial" w:hAnsi="Arial"/>
          <w:sz w:val="16"/>
          <w:szCs w:val="16"/>
          <w:color w:val="auto"/>
        </w:rPr>
        <w:t>We have a substantial amount of goodwill on our balance sheet as a result of acquisitions we have completed. Approximately 98% of these intangibles are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a prolonged weak economic recovery, adverse changes in the regulatory environment, any matters that impact manufacturers’ ability to provide trucks to us,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Management’s assumptions change as more information becomes available. Changes in these assumptions could result in an impairment charge in the future, which could have a significant adverse impact on our reported earnings. See “Management’s Discussion and Analysis of Financial Condition and Results of Operations — Critical Accounting Estimates — Goodwill” for more information regarding the potential impact of changes in assumptions.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 are controlled by a single shareholder and his affiliates.</w:t>
      </w:r>
    </w:p>
    <w:p>
      <w:pPr>
        <w:spacing w:after="0" w:line="198" w:lineRule="exact"/>
        <w:rPr>
          <w:sz w:val="20"/>
          <w:szCs w:val="20"/>
          <w:color w:val="auto"/>
        </w:rPr>
      </w:pPr>
    </w:p>
    <w:p>
      <w:pPr>
        <w:jc w:val="both"/>
        <w:ind w:left="340" w:right="159" w:firstLine="778"/>
        <w:spacing w:after="0" w:line="255" w:lineRule="auto"/>
        <w:rPr>
          <w:sz w:val="20"/>
          <w:szCs w:val="20"/>
          <w:color w:val="auto"/>
        </w:rPr>
      </w:pPr>
      <w:r>
        <w:rPr>
          <w:rFonts w:ascii="Arial" w:cs="Arial" w:eastAsia="Arial" w:hAnsi="Arial"/>
          <w:sz w:val="18"/>
          <w:szCs w:val="18"/>
          <w:color w:val="auto"/>
        </w:rPr>
        <w:t>W. Marvin Rush and W. M. “Rusty” Rush own approximately 0.32% of our issued and outstanding shares of Class A common stock and 38.4% of our issued and outstanding Class B common stock. W. Marvin Rush and W. M. “Rusty” Rush collectively control more than 34.1% of the aggregate voting power of our outstanding shares and voting power which is superior to that of any other person or group. The interests of W. Marvin Rush and W.M. “Rusty” Rush may not be consistent with your interests as a shareholder. As a result of such ownership, W. Marvin Rush and W. M. “Rusty” Rush have the power to effectively control the Company, including the election of directors, the determination of matters requiring shareholder approval and other matters pertaining to corporate governance.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Class A common stock has limited voting power.</w:t>
      </w:r>
    </w:p>
    <w:p>
      <w:pPr>
        <w:spacing w:after="0" w:line="185"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61"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i w:val="1"/>
          <w:iCs w:val="1"/>
          <w:color w:val="auto"/>
        </w:rPr>
        <w:t>Our dealership agreements could discourage another company from acquiring us and impede our ability to issue additional stock to raise capital or as consideration for future acquisitions.</w:t>
      </w:r>
    </w:p>
    <w:p>
      <w:pPr>
        <w:spacing w:after="0" w:line="130" w:lineRule="exact"/>
        <w:rPr>
          <w:sz w:val="20"/>
          <w:szCs w:val="20"/>
          <w:color w:val="auto"/>
        </w:rPr>
      </w:pPr>
    </w:p>
    <w:p>
      <w:pPr>
        <w:jc w:val="both"/>
        <w:ind w:left="340" w:right="159" w:firstLine="778"/>
        <w:spacing w:after="0" w:line="255" w:lineRule="auto"/>
        <w:rPr>
          <w:sz w:val="20"/>
          <w:szCs w:val="20"/>
          <w:color w:val="auto"/>
        </w:rPr>
      </w:pPr>
      <w:r>
        <w:rPr>
          <w:rFonts w:ascii="Arial" w:cs="Arial" w:eastAsia="Arial" w:hAnsi="Arial"/>
          <w:sz w:val="18"/>
          <w:szCs w:val="18"/>
          <w:color w:val="auto"/>
        </w:rPr>
        <w:t>A number of our dealership agreements impose ownership requirements on W. Marvin Rush, W.M. “Rusty” Rush and other officers of the Company and restrictions on the sale or transfer of the underlying franchises. These ownership requirements and restrictions may prevent or deter prospective acquirers from acquiring control of us and, therefore, may adversely impact the value of our common stock. For example, under the Peterbilt dealership agreements, except as may be otherwise approved from time to time by Peterbilt, W. Marvin Rush, W. M. “Rusty” Rush, W. Marvin Rush’s family members and other of our executives, in the aggregate, are required to retain control of at least 30% of the aggregate voting power of our outstanding shares and voting power equal or superior to that of any other person or group.</w:t>
      </w:r>
    </w:p>
    <w:p>
      <w:pPr>
        <w:spacing w:after="0" w:line="149" w:lineRule="exact"/>
        <w:rPr>
          <w:sz w:val="20"/>
          <w:szCs w:val="20"/>
          <w:color w:val="auto"/>
        </w:rPr>
      </w:pPr>
    </w:p>
    <w:p>
      <w:pPr>
        <w:jc w:val="both"/>
        <w:ind w:left="340" w:right="159" w:firstLine="778"/>
        <w:spacing w:after="0" w:line="289" w:lineRule="auto"/>
        <w:rPr>
          <w:sz w:val="20"/>
          <w:szCs w:val="20"/>
          <w:color w:val="auto"/>
        </w:rPr>
      </w:pPr>
      <w:r>
        <w:rPr>
          <w:rFonts w:ascii="Arial" w:cs="Arial" w:eastAsia="Arial" w:hAnsi="Arial"/>
          <w:sz w:val="16"/>
          <w:szCs w:val="16"/>
          <w:color w:val="auto"/>
        </w:rPr>
        <w:t>In addition, W. Marvin Rush and members of his immediate family have granted Peterbilt a right of first refusal to purchase their respective shares of common stock in the event that any of such individuals desire to transfer in excess of 100,000 shares in any 12-month period to any person other than an immediate family member, an associate or a Dealer Principal (as defined in the Peterbilt dealership agreements). This right of first refusal, the number of shares owned by W. Marvin Rush and W.M. “Rusty” Rush and the requirement in our dealership agreements that certain officers of the Company and Rush family members retain a controlling interest in us,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 We do not have the right to waive the right of first refusal or the terms of its dealership agreements in order to accept a favorable offer.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778"/>
        <w:spacing w:after="0" w:line="279" w:lineRule="auto"/>
        <w:rPr>
          <w:sz w:val="20"/>
          <w:szCs w:val="20"/>
          <w:color w:val="auto"/>
        </w:rPr>
      </w:pPr>
      <w:r>
        <w:rPr>
          <w:rFonts w:ascii="Arial" w:cs="Arial" w:eastAsia="Arial" w:hAnsi="Arial"/>
          <w:sz w:val="17"/>
          <w:szCs w:val="17"/>
          <w:color w:val="auto"/>
        </w:rPr>
        <w:t>Actions by our shareholders or prospective shareholders that would violate any of the above restrictions on our dealership agreements are generally outside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spacing w:after="0" w:line="144"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141" w:lineRule="exact"/>
        <w:rPr>
          <w:sz w:val="20"/>
          <w:szCs w:val="20"/>
          <w:color w:val="auto"/>
        </w:rPr>
      </w:pPr>
    </w:p>
    <w:p>
      <w:pPr>
        <w:jc w:val="both"/>
        <w:ind w:left="340" w:right="159" w:firstLine="778"/>
        <w:spacing w:after="0" w:line="290" w:lineRule="auto"/>
        <w:rPr>
          <w:sz w:val="20"/>
          <w:szCs w:val="20"/>
          <w:color w:val="auto"/>
        </w:rPr>
      </w:pPr>
      <w:r>
        <w:rPr>
          <w:rFonts w:ascii="Arial" w:cs="Arial" w:eastAsia="Arial" w:hAnsi="Arial"/>
          <w:sz w:val="16"/>
          <w:szCs w:val="16"/>
          <w:color w:val="auto"/>
        </w:rPr>
        <w:t>The market price of our Class B common stock has historically been lower than the market price of our Class A common stock. The volume of trading in our Class B common stock varies greatly and may often be light. As of December 31, 2010, the three-month average daily trading volume of our Class B common stock was approximately 9,210 shares, with several days having a trading volume below 1,000 shares. W. Marvin Rush, our Chairman, owns approximately 38.4% of our Class B common stock. If any large shareholder, including W. Marvin Rush, were to begin selling shares in the market rather than holding such shares over a longer term,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1B. Unresolved Staff Comments</w:t>
      </w:r>
    </w:p>
    <w:p>
      <w:pPr>
        <w:spacing w:after="0" w:line="20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89"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The Company’s corporate headquarters are located in New Braunfels, Texas. As of December 2010, the Company also owns or leases numerous facilities used in our operations in the following states: Alabama, Arizona, California, Colorado, Florida, Georgia, Idaho, New Mexico, North Carolina, Oklahoma, Oregon, Tennessee, Texas and Utah. A Rush Truck Center may be comprised of one or more locations, generally in close proximity, in the same metropolitan area. These facilities consist primarily of office space, display lots, service facilities and parking lots.</w:t>
      </w:r>
    </w:p>
    <w:p>
      <w:pPr>
        <w:spacing w:after="0" w:line="161" w:lineRule="exact"/>
        <w:rPr>
          <w:sz w:val="20"/>
          <w:szCs w:val="20"/>
          <w:color w:val="auto"/>
        </w:rPr>
      </w:pPr>
    </w:p>
    <w:p>
      <w:pPr>
        <w:jc w:val="both"/>
        <w:ind w:left="340" w:right="159" w:firstLine="778"/>
        <w:spacing w:after="0" w:line="277" w:lineRule="auto"/>
        <w:rPr>
          <w:sz w:val="20"/>
          <w:szCs w:val="20"/>
          <w:color w:val="auto"/>
        </w:rPr>
      </w:pPr>
      <w:r>
        <w:rPr>
          <w:rFonts w:ascii="Arial" w:cs="Arial" w:eastAsia="Arial" w:hAnsi="Arial"/>
          <w:sz w:val="18"/>
          <w:szCs w:val="18"/>
          <w:color w:val="auto"/>
        </w:rPr>
        <w:t>The Company’s truck leasing operations lease additional space in Phoenix, Arizona, Pico Rivera and Fontana, California, Gallup, New Mexico and Orlando, Florida.</w:t>
      </w:r>
    </w:p>
    <w:p>
      <w:pPr>
        <w:spacing w:after="0" w:line="130" w:lineRule="exact"/>
        <w:rPr>
          <w:sz w:val="20"/>
          <w:szCs w:val="20"/>
          <w:color w:val="auto"/>
        </w:rPr>
      </w:pPr>
    </w:p>
    <w:p>
      <w:pPr>
        <w:jc w:val="both"/>
        <w:ind w:left="340" w:right="159" w:firstLine="778"/>
        <w:spacing w:after="0" w:line="277" w:lineRule="auto"/>
        <w:rPr>
          <w:sz w:val="20"/>
          <w:szCs w:val="20"/>
          <w:color w:val="auto"/>
        </w:rPr>
      </w:pPr>
      <w:r>
        <w:rPr>
          <w:rFonts w:ascii="Arial" w:cs="Arial" w:eastAsia="Arial" w:hAnsi="Arial"/>
          <w:sz w:val="18"/>
          <w:szCs w:val="18"/>
          <w:color w:val="auto"/>
        </w:rPr>
        <w:t>The Company’s insurance agency leases space in San Antonio, Texas, Winter Garden, Florida, Austin, Texas, Laguna Niguel and Newport Beach, California, Clermont, Florida and Norman, Oklahoma.</w:t>
      </w:r>
    </w:p>
    <w:p>
      <w:pPr>
        <w:spacing w:after="0" w:line="130"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color w:val="auto"/>
        </w:rPr>
        <w:t>The Company leases a hangar in New Braunfels, Texas for the corporate aircraft. The Company also owns and operates a guest ranch of approximately 9,500 acres near Cotulla, Texas. The Company uses the ranch for client development purposes and sells hunting trips on the ranch.</w:t>
      </w:r>
    </w:p>
    <w:p>
      <w:pPr>
        <w:spacing w:after="0" w:line="15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left="340" w:right="159" w:firstLine="778"/>
        <w:spacing w:after="0" w:line="271"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200" w:lineRule="exact"/>
        <w:rPr>
          <w:sz w:val="20"/>
          <w:szCs w:val="20"/>
          <w:color w:val="auto"/>
        </w:rPr>
      </w:pPr>
    </w:p>
    <w:p>
      <w:pPr>
        <w:spacing w:after="0" w:line="3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center"/>
        <w:ind w:left="360" w:right="220"/>
        <w:spacing w:after="0" w:line="483" w:lineRule="auto"/>
        <w:rPr>
          <w:sz w:val="20"/>
          <w:szCs w:val="20"/>
          <w:color w:val="auto"/>
        </w:rPr>
      </w:pPr>
      <w:r>
        <w:rPr>
          <w:rFonts w:ascii="Arial" w:cs="Arial" w:eastAsia="Arial" w:hAnsi="Arial"/>
          <w:sz w:val="17"/>
          <w:szCs w:val="17"/>
          <w:b w:val="1"/>
          <w:bCs w:val="1"/>
          <w:color w:val="auto"/>
        </w:rPr>
        <w:t xml:space="preserve">Item 5.   Market for Registrant’s Common Equity, Related Shareholder Matters, and Issuer Purchases of Equity Securities </w:t>
      </w:r>
      <w:r>
        <w:rPr>
          <w:rFonts w:ascii="Arial" w:cs="Arial" w:eastAsia="Arial" w:hAnsi="Arial"/>
          <w:sz w:val="17"/>
          <w:szCs w:val="17"/>
          <w:color w:val="auto"/>
        </w:rPr>
        <w:t>Our common stock trades on The NASDAQ Global Select Market</w:t>
      </w:r>
      <w:r>
        <w:rPr>
          <w:rFonts w:ascii="Arial" w:cs="Arial" w:eastAsia="Arial" w:hAnsi="Arial"/>
          <w:sz w:val="14"/>
          <w:szCs w:val="14"/>
          <w:color w:val="auto"/>
        </w:rPr>
        <w:t>SM</w:t>
      </w:r>
      <w:r>
        <w:rPr>
          <w:rFonts w:ascii="Arial" w:cs="Arial" w:eastAsia="Arial" w:hAnsi="Arial"/>
          <w:sz w:val="17"/>
          <w:szCs w:val="17"/>
          <w:color w:val="auto"/>
        </w:rPr>
        <w:t xml:space="preserve"> under the symbols RUSHA and RUSHB.</w:t>
      </w:r>
    </w:p>
    <w:p>
      <w:pPr>
        <w:spacing w:after="0" w:line="1" w:lineRule="exact"/>
        <w:rPr>
          <w:sz w:val="20"/>
          <w:szCs w:val="20"/>
          <w:color w:val="auto"/>
        </w:rPr>
      </w:pPr>
    </w:p>
    <w:p>
      <w:pPr>
        <w:jc w:val="both"/>
        <w:ind w:left="340" w:right="159" w:firstLine="778"/>
        <w:spacing w:after="0" w:line="277" w:lineRule="auto"/>
        <w:rPr>
          <w:sz w:val="20"/>
          <w:szCs w:val="20"/>
          <w:color w:val="auto"/>
        </w:rPr>
      </w:pPr>
      <w:r>
        <w:rPr>
          <w:rFonts w:ascii="Arial" w:cs="Arial" w:eastAsia="Arial" w:hAnsi="Arial"/>
          <w:sz w:val="18"/>
          <w:szCs w:val="18"/>
          <w:color w:val="auto"/>
        </w:rPr>
        <w:t>The following table sets forth the high and low sales prices for the Class A common stock and Class B common stock for the fiscal periods indicated and as quoted on The NASDAQ Global Select Market</w:t>
      </w:r>
      <w:r>
        <w:rPr>
          <w:rFonts w:ascii="Arial" w:cs="Arial" w:eastAsia="Arial" w:hAnsi="Arial"/>
          <w:sz w:val="15"/>
          <w:szCs w:val="15"/>
          <w:color w:val="auto"/>
        </w:rPr>
        <w:t>SM</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High</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Low</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Class A Common Stock</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First Quarter</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10.80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Third Quarter</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12.40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w:t>
            </w:r>
          </w:p>
        </w:tc>
      </w:tr>
      <w:tr>
        <w:trPr>
          <w:trHeight w:val="432"/>
        </w:trPr>
        <w:tc>
          <w:tcPr>
            <w:tcW w:w="3160" w:type="dxa"/>
            <w:vAlign w:val="bottom"/>
          </w:tcPr>
          <w:p>
            <w:pPr>
              <w:spacing w:after="0"/>
              <w:rPr>
                <w:sz w:val="20"/>
                <w:szCs w:val="20"/>
                <w:color w:val="auto"/>
              </w:rPr>
            </w:pPr>
            <w:r>
              <w:rPr>
                <w:rFonts w:ascii="Arial" w:cs="Arial" w:eastAsia="Arial" w:hAnsi="Arial"/>
                <w:sz w:val="18"/>
                <w:szCs w:val="18"/>
                <w:b w:val="1"/>
                <w:bCs w:val="1"/>
                <w:i w:val="1"/>
                <w:iCs w:val="1"/>
                <w:color w:val="auto"/>
              </w:rPr>
              <w:t>Class B Common Stock</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Second Quarter</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10.91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Fourth Quarter</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12.80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10.93</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r>
    </w:tbl>
    <w:p>
      <w:pPr>
        <w:spacing w:after="0" w:line="160" w:lineRule="exact"/>
        <w:rPr>
          <w:sz w:val="20"/>
          <w:szCs w:val="20"/>
          <w:color w:val="auto"/>
        </w:rPr>
      </w:pPr>
    </w:p>
    <w:p>
      <w:pPr>
        <w:jc w:val="both"/>
        <w:ind w:left="340" w:right="159" w:firstLine="778"/>
        <w:spacing w:after="0" w:line="277" w:lineRule="auto"/>
        <w:rPr>
          <w:sz w:val="20"/>
          <w:szCs w:val="20"/>
          <w:color w:val="auto"/>
        </w:rPr>
      </w:pPr>
      <w:r>
        <w:rPr>
          <w:rFonts w:ascii="Arial" w:cs="Arial" w:eastAsia="Arial" w:hAnsi="Arial"/>
          <w:sz w:val="18"/>
          <w:szCs w:val="18"/>
          <w:color w:val="auto"/>
        </w:rPr>
        <w:t>As of March 2, 2011, there were approximately 39 record holders of the Class A common stock and approximately 47 record holders of the Class B common stock.</w:t>
      </w:r>
    </w:p>
    <w:p>
      <w:pPr>
        <w:spacing w:after="0" w:line="130" w:lineRule="exact"/>
        <w:rPr>
          <w:sz w:val="20"/>
          <w:szCs w:val="20"/>
          <w:color w:val="auto"/>
        </w:rPr>
      </w:pPr>
    </w:p>
    <w:p>
      <w:pPr>
        <w:jc w:val="both"/>
        <w:ind w:left="340" w:right="159" w:firstLine="778"/>
        <w:spacing w:after="0" w:line="276" w:lineRule="auto"/>
        <w:rPr>
          <w:sz w:val="20"/>
          <w:szCs w:val="20"/>
          <w:color w:val="auto"/>
        </w:rPr>
      </w:pPr>
      <w:r>
        <w:rPr>
          <w:rFonts w:ascii="Arial" w:cs="Arial" w:eastAsia="Arial" w:hAnsi="Arial"/>
          <w:sz w:val="17"/>
          <w:szCs w:val="17"/>
          <w:color w:val="auto"/>
        </w:rPr>
        <w:t>The Company did not pay dividends during the fiscal year ended December 31, 2010, or the fiscal year ended December 31, 2009. The Board of Directors intends to retain any earnings of the Company to support operations and to finance expansion and does not intend to pay cash dividends in the foreseeable future. Any future determination as to the payment of dividends will be at the discretion of the Board of Directors of the Company and will depend on the Company’s financial condition, results of operations, capital requirements and such other factors as the Board of Directors deems relevant.</w:t>
      </w:r>
    </w:p>
    <w:p>
      <w:pPr>
        <w:spacing w:after="0" w:line="1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Company has not sold any securities in the last three years that were not registered under the Securities Act.</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firstLine="778"/>
        <w:spacing w:after="0" w:line="277" w:lineRule="auto"/>
        <w:rPr>
          <w:sz w:val="20"/>
          <w:szCs w:val="20"/>
          <w:color w:val="auto"/>
        </w:rPr>
      </w:pPr>
      <w:r>
        <w:rPr>
          <w:rFonts w:ascii="Arial" w:cs="Arial" w:eastAsia="Arial" w:hAnsi="Arial"/>
          <w:sz w:val="18"/>
          <w:szCs w:val="18"/>
          <w:color w:val="auto"/>
        </w:rPr>
        <w:t>The Company did not repurchase any shares of its Class A Common Stock or Class B Common Stock during the fourth quarter of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Total Number of</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Shares Purchased</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Total Number</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8"/>
              </w:rPr>
              <w:t>Average Price</w:t>
            </w: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as Part of Publicly</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of Shares</w:t>
            </w: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Paid Per</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Announced Plans</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Under the Plans or</w:t>
            </w:r>
          </w:p>
        </w:tc>
      </w:tr>
      <w:tr>
        <w:trPr>
          <w:trHeight w:val="2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w:t>
            </w:r>
          </w:p>
        </w:tc>
        <w:tc>
          <w:tcPr>
            <w:tcW w:w="3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30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 (1)</w:t>
            </w:r>
          </w:p>
        </w:tc>
        <w:tc>
          <w:tcPr>
            <w:tcW w:w="100" w:type="dxa"/>
            <w:vAlign w:val="bottom"/>
          </w:tcPr>
          <w:p>
            <w:pPr>
              <w:spacing w:after="0"/>
              <w:rPr>
                <w:sz w:val="20"/>
                <w:szCs w:val="20"/>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October 1 – 31, 2010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0.00</w:t>
            </w:r>
          </w:p>
        </w:tc>
        <w:tc>
          <w:tcPr>
            <w:tcW w:w="17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November 1 – 6, 2010</w:t>
            </w:r>
          </w:p>
        </w:tc>
        <w:tc>
          <w:tcPr>
            <w:tcW w:w="2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17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1580"/>
              <w:spacing w:after="0"/>
              <w:rPr>
                <w:sz w:val="20"/>
                <w:szCs w:val="20"/>
                <w:color w:val="auto"/>
              </w:rPr>
            </w:pPr>
            <w:r>
              <w:rPr>
                <w:rFonts w:ascii="Arial" w:cs="Arial" w:eastAsia="Arial" w:hAnsi="Arial"/>
                <w:sz w:val="18"/>
                <w:szCs w:val="18"/>
                <w:color w:val="auto"/>
              </w:rPr>
              <w:t>—</w:t>
            </w:r>
          </w:p>
        </w:tc>
      </w:tr>
      <w:tr>
        <w:trPr>
          <w:trHeight w:val="223"/>
        </w:trPr>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Quarter Total</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0.00</w:t>
            </w:r>
          </w:p>
        </w:tc>
        <w:tc>
          <w:tcPr>
            <w:tcW w:w="17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jc w:val="both"/>
        <w:ind w:left="720" w:right="159" w:hanging="388"/>
        <w:spacing w:after="0" w:line="259"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November 6, 2010, the Company’s Board of Directors terminated its $20,000,000 share repurchase program initially approved by the Company’s Board of Directors on July 22, 2008. No share repurchases occurred in 2010 prior to the termination of this program. From the inception of the share repurchase program, the Company acquired 1,639,843 shares of its Class B common stock at a cost of $17.9 million pursuant to the program.</w:t>
      </w:r>
    </w:p>
    <w:p>
      <w:pPr>
        <w:spacing w:after="0" w:line="160"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color w:val="auto"/>
        </w:rPr>
        <w:t>Information regarding the Company’s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02" w:lineRule="exact"/>
        <w:rPr>
          <w:sz w:val="20"/>
          <w:szCs w:val="20"/>
          <w:color w:val="auto"/>
        </w:rPr>
      </w:pPr>
    </w:p>
    <w:p>
      <w:pPr>
        <w:jc w:val="both"/>
        <w:ind w:left="340" w:right="1360" w:firstLine="778"/>
        <w:spacing w:after="0" w:line="254" w:lineRule="auto"/>
        <w:rPr>
          <w:sz w:val="20"/>
          <w:szCs w:val="20"/>
          <w:color w:val="auto"/>
        </w:rPr>
      </w:pPr>
      <w:r>
        <w:rPr>
          <w:rFonts w:ascii="Arial" w:cs="Arial" w:eastAsia="Arial" w:hAnsi="Arial"/>
          <w:sz w:val="18"/>
          <w:szCs w:val="18"/>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the Company’s future financial position or results of operations due primarily to acquisitions and discontinued operations which occurred during the periods presented. See Note 16 to the Company’s Consolidated Financial Statements for a discussion of such acquisitions. The selected financial data presented below should be read in conjunction with the Company’s other financial information included elsewhere herein.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9"/>
          </w:tcPr>
          <w:p>
            <w:pPr>
              <w:ind w:left="440"/>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78"/>
              </w:rPr>
              <w:t>(in thousands,</w:t>
            </w:r>
          </w:p>
        </w:tc>
        <w:tc>
          <w:tcPr>
            <w:tcW w:w="180" w:type="dxa"/>
            <w:vAlign w:val="bottom"/>
            <w:gridSpan w:val="2"/>
          </w:tcPr>
          <w:p>
            <w:pPr>
              <w:spacing w:after="0"/>
              <w:rPr>
                <w:sz w:val="18"/>
                <w:szCs w:val="18"/>
                <w:color w:val="auto"/>
              </w:rPr>
            </w:pPr>
          </w:p>
        </w:tc>
        <w:tc>
          <w:tcPr>
            <w:tcW w:w="2300" w:type="dxa"/>
            <w:vAlign w:val="bottom"/>
            <w:gridSpan w:val="6"/>
          </w:tcPr>
          <w:p>
            <w:pPr>
              <w:spacing w:after="0"/>
              <w:rPr>
                <w:sz w:val="20"/>
                <w:szCs w:val="20"/>
                <w:color w:val="auto"/>
              </w:rPr>
            </w:pPr>
            <w:r>
              <w:rPr>
                <w:rFonts w:ascii="Arial" w:cs="Arial" w:eastAsia="Arial" w:hAnsi="Arial"/>
                <w:sz w:val="18"/>
                <w:szCs w:val="18"/>
                <w:b w:val="1"/>
                <w:bCs w:val="1"/>
                <w:color w:val="auto"/>
                <w:w w:val="99"/>
              </w:rPr>
              <w:t>except per share amounts)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INCOME STATEMENT DATA</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and used commercial vehicle sales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926,584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738,705</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1,041,189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1,393,253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1,780,418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Parts and service sales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489,259</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395,133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457,669</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459,985</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424,766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and rental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67,423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54,813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52,103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41,776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Finance and insurance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7,922</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7,468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11,801</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20,921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18,453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6,739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7,387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7,294</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1,497,927</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1,200,453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1,571,193</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1,933,649</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2,272,707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1,213,037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984,812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1,291,001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1,600,270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1,936,164</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284,890</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280,192</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333,379</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336,543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227,467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192,296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218,775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231,877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220,704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15,720</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15,890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15,273</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14,377</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12,522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41,667</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46,272</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87,324</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103,322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5,363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14,049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14,888</w:t>
            </w:r>
          </w:p>
        </w:tc>
        <w:tc>
          <w:tcPr>
            <w:tcW w:w="1360" w:type="dxa"/>
            <w:vAlign w:val="bottom"/>
          </w:tcPr>
          <w:p>
            <w:pPr>
              <w:spacing w:after="0"/>
              <w:rPr>
                <w:sz w:val="18"/>
                <w:szCs w:val="18"/>
                <w:color w:val="auto"/>
              </w:rPr>
            </w:pPr>
          </w:p>
        </w:tc>
      </w:tr>
      <w:tr>
        <w:trPr>
          <w:trHeight w:val="205"/>
        </w:trPr>
        <w:tc>
          <w:tcPr>
            <w:tcW w:w="340" w:type="dxa"/>
            <w:vAlign w:val="bottom"/>
          </w:tcPr>
          <w:p>
            <w:pPr>
              <w:spacing w:after="0"/>
              <w:rPr>
                <w:sz w:val="17"/>
                <w:szCs w:val="17"/>
                <w:color w:val="auto"/>
              </w:rPr>
            </w:pPr>
          </w:p>
        </w:tc>
        <w:tc>
          <w:tcPr>
            <w:tcW w:w="3920" w:type="dxa"/>
            <w:vAlign w:val="bottom"/>
          </w:tcPr>
          <w:p>
            <w:pPr>
              <w:spacing w:after="0" w:line="205" w:lineRule="exact"/>
              <w:rPr>
                <w:sz w:val="20"/>
                <w:szCs w:val="20"/>
                <w:color w:val="auto"/>
              </w:rPr>
            </w:pPr>
            <w:r>
              <w:rPr>
                <w:rFonts w:ascii="Arial" w:cs="Arial" w:eastAsia="Arial" w:hAnsi="Arial"/>
                <w:sz w:val="18"/>
                <w:szCs w:val="18"/>
                <w:b w:val="1"/>
                <w:bCs w:val="1"/>
                <w:color w:val="auto"/>
                <w:w w:val="90"/>
              </w:rPr>
              <w:t>Income from continuing operations before income</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3920" w:type="dxa"/>
            <w:vAlign w:val="bottom"/>
          </w:tcPr>
          <w:p>
            <w:pPr>
              <w:ind w:left="200"/>
              <w:spacing w:after="0"/>
              <w:rPr>
                <w:sz w:val="20"/>
                <w:szCs w:val="20"/>
                <w:color w:val="auto"/>
              </w:rPr>
            </w:pPr>
            <w:r>
              <w:rPr>
                <w:rFonts w:ascii="Arial" w:cs="Arial" w:eastAsia="Arial" w:hAnsi="Arial"/>
                <w:sz w:val="18"/>
                <w:szCs w:val="18"/>
                <w:b w:val="1"/>
                <w:bCs w:val="1"/>
                <w:color w:val="auto"/>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36,304</w:t>
            </w: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1,922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39,042</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73,275</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88,434</w:t>
            </w: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11,737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13,864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26,984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33,079</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24,567</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25,178</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46,291</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55,355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from discontinued operations, net of taxes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6,715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3,431</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31,282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28,865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51,492</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 Basic:</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Earnings per common share — Diluted: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0.16</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0.75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360" w:type="dxa"/>
            <w:vAlign w:val="bottom"/>
          </w:tcPr>
          <w:p>
            <w:pPr>
              <w:spacing w:after="0"/>
              <w:rPr>
                <w:sz w:val="20"/>
                <w:szCs w:val="20"/>
                <w:color w:val="auto"/>
              </w:rPr>
            </w:pPr>
          </w:p>
        </w:tc>
      </w:tr>
      <w:tr>
        <w:trPr>
          <w:trHeight w:val="198"/>
        </w:trPr>
        <w:tc>
          <w:tcPr>
            <w:tcW w:w="3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37,307</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37,066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38,089</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38,059</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37,476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38,218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37,597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38,587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38,746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37,890</w:t>
            </w:r>
          </w:p>
        </w:tc>
        <w:tc>
          <w:tcPr>
            <w:tcW w:w="13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9"/>
          </w:tcPr>
          <w:p>
            <w:pPr>
              <w:jc w:val="center"/>
              <w:ind w:right="420"/>
              <w:spacing w:after="0"/>
              <w:rPr>
                <w:sz w:val="20"/>
                <w:szCs w:val="20"/>
                <w:color w:val="auto"/>
              </w:rPr>
            </w:pPr>
            <w:r>
              <w:rPr>
                <w:rFonts w:ascii="Arial" w:cs="Arial" w:eastAsia="Arial" w:hAnsi="Arial"/>
                <w:sz w:val="18"/>
                <w:szCs w:val="18"/>
                <w:b w:val="1"/>
                <w:bCs w:val="1"/>
                <w:color w:val="auto"/>
                <w:w w:val="90"/>
              </w:rPr>
              <w:t>Year Ended December 31,</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Unit vehicle sales —</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vehicles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7,680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12,712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16,492</w:t>
            </w:r>
          </w:p>
        </w:tc>
        <w:tc>
          <w:tcPr>
            <w:tcW w:w="0" w:type="dxa"/>
            <w:vAlign w:val="bottom"/>
          </w:tcPr>
          <w:p>
            <w:pPr>
              <w:spacing w:after="0"/>
              <w:rPr>
                <w:sz w:val="1"/>
                <w:szCs w:val="1"/>
                <w:color w:val="auto"/>
              </w:rPr>
            </w:pPr>
          </w:p>
        </w:tc>
      </w:tr>
      <w:tr>
        <w:trPr>
          <w:trHeight w:val="216"/>
        </w:trPr>
        <w:tc>
          <w:tcPr>
            <w:tcW w:w="3820" w:type="dxa"/>
            <w:vAlign w:val="bottom"/>
          </w:tcPr>
          <w:p>
            <w:pPr>
              <w:ind w:left="200"/>
              <w:spacing w:after="0"/>
              <w:rPr>
                <w:sz w:val="20"/>
                <w:szCs w:val="20"/>
                <w:color w:val="auto"/>
              </w:rPr>
            </w:pPr>
            <w:r>
              <w:rPr>
                <w:rFonts w:ascii="Arial" w:cs="Arial" w:eastAsia="Arial" w:hAnsi="Arial"/>
                <w:sz w:val="18"/>
                <w:szCs w:val="18"/>
                <w:color w:val="auto"/>
              </w:rPr>
              <w:t>Used vehicles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3,461</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3,234</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4,101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unit vehicles sales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11,141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12,523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16,813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w w:val="95"/>
              </w:rPr>
              <w:t>Truck lease and rental units (including units under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3,809</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contract maintenance)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3,033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2,570</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2,404</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Working capital</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143,778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164,165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177,117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197,805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156,297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321,933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252,219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343,032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345,568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470,705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22,719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24,479</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25,881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18,956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1,167,933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977,297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1,056,790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1,031,591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1,128,410</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237,810</w:t>
            </w:r>
          </w:p>
        </w:tc>
        <w:tc>
          <w:tcPr>
            <w:tcW w:w="2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189,256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282,702</w:t>
            </w: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273,653</w:t>
            </w:r>
          </w:p>
        </w:tc>
        <w:tc>
          <w:tcPr>
            <w:tcW w:w="1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446,354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252,129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209,502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209,677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198,945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192,124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w w:val="95"/>
              </w:rPr>
              <w:t>Capital lease obligations, including current portion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42,202</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34,444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14,820</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17,543</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17,732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464,919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426,225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416,041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399,577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339,608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right="2279"/>
        <w:spacing w:after="0" w:line="45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General</w:t>
      </w:r>
    </w:p>
    <w:p>
      <w:pPr>
        <w:spacing w:after="0" w:line="1"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color w:val="auto"/>
        </w:rPr>
        <w:t>Despite another year of weak truck sales, 2010 was a very significant year for the Company. The Company matched its record high annual absorption rate of 105.5% — previously achieved in 2008, expanded its network of Rush Truck Centers, established a new Navistar Division, extended the breadth of our product offerings in existing areas of responsibility and ended the year in a strong financial position.</w:t>
      </w:r>
    </w:p>
    <w:p>
      <w:pPr>
        <w:spacing w:after="0" w:line="160" w:lineRule="exact"/>
        <w:rPr>
          <w:sz w:val="20"/>
          <w:szCs w:val="20"/>
          <w:color w:val="auto"/>
        </w:rPr>
      </w:pPr>
    </w:p>
    <w:p>
      <w:pPr>
        <w:jc w:val="both"/>
        <w:ind w:left="340" w:right="159" w:firstLine="778"/>
        <w:spacing w:after="0" w:line="276" w:lineRule="auto"/>
        <w:rPr>
          <w:sz w:val="20"/>
          <w:szCs w:val="20"/>
          <w:color w:val="auto"/>
        </w:rPr>
      </w:pPr>
      <w:r>
        <w:rPr>
          <w:rFonts w:ascii="Arial" w:cs="Arial" w:eastAsia="Arial" w:hAnsi="Arial"/>
          <w:sz w:val="17"/>
          <w:szCs w:val="17"/>
          <w:color w:val="auto"/>
        </w:rPr>
        <w:t>During the spring of 2010, the Company’s parts, service and body shop business began accelerating from the depressed levels experienced throughout 2009, and continued to accelerate to record high levels at the end of the year. Parts, service and body shop revenues were up 23.8% in 2010 compared to 2009, primarily due to increased maintenance and repair on aging vehicles that were put back into service during the year as well as significant increases in oilfield services activity in the south central U.S. The Company expects parts, service and body shop operations to remain strong in 2011.</w:t>
      </w:r>
    </w:p>
    <w:p>
      <w:pPr>
        <w:spacing w:after="0" w:line="132" w:lineRule="exact"/>
        <w:rPr>
          <w:sz w:val="20"/>
          <w:szCs w:val="20"/>
          <w:color w:val="auto"/>
        </w:rPr>
      </w:pPr>
    </w:p>
    <w:p>
      <w:pPr>
        <w:jc w:val="both"/>
        <w:ind w:left="340" w:right="159" w:firstLine="778"/>
        <w:spacing w:after="0" w:line="255" w:lineRule="auto"/>
        <w:rPr>
          <w:sz w:val="20"/>
          <w:szCs w:val="20"/>
          <w:color w:val="auto"/>
        </w:rPr>
      </w:pPr>
      <w:r>
        <w:rPr>
          <w:rFonts w:ascii="Arial" w:cs="Arial" w:eastAsia="Arial" w:hAnsi="Arial"/>
          <w:sz w:val="18"/>
          <w:szCs w:val="18"/>
          <w:color w:val="auto"/>
        </w:rPr>
        <w:t>The Company completed the acquisition of the assets of Lake City International which added 11 International dealership locations in Utah, Idaho and Oregon. The Company opened a new flagship facility in Oklahoma City, replacing its existing Peterbilt and Hino dealership location there and added Isuzu and Ford commercial truck franchises to the newly opened location. The Company also added a Ford and Isuzu commercial truck dealership in Dallas, Texas and Isuzu commercial truck franchises to its Sealy, Texas and Orlando, Florida dealerships. Investment in the existing Rush Truck Centers network and the addition of medium-duty franchises allows the Company to better serve customers in its existing markets with more service capabilities and a broader medium-duty vehicle offering.</w:t>
      </w:r>
    </w:p>
    <w:p>
      <w:pPr>
        <w:spacing w:after="0" w:line="149" w:lineRule="exact"/>
        <w:rPr>
          <w:sz w:val="20"/>
          <w:szCs w:val="20"/>
          <w:color w:val="auto"/>
        </w:rPr>
      </w:pPr>
    </w:p>
    <w:p>
      <w:pPr>
        <w:jc w:val="both"/>
        <w:ind w:left="340" w:right="159" w:firstLine="778"/>
        <w:spacing w:after="0" w:line="290" w:lineRule="auto"/>
        <w:rPr>
          <w:sz w:val="20"/>
          <w:szCs w:val="20"/>
          <w:color w:val="auto"/>
        </w:rPr>
      </w:pPr>
      <w:r>
        <w:rPr>
          <w:rFonts w:ascii="Arial" w:cs="Arial" w:eastAsia="Arial" w:hAnsi="Arial"/>
          <w:sz w:val="16"/>
          <w:szCs w:val="16"/>
          <w:color w:val="auto"/>
        </w:rPr>
        <w:t>The Company is encouraged by the continuing improvement in Class 8 and medium-duty truck orders during the past several months. While U.S. Class 8 order intake has improved for three consecutive months, the Company does not expect retail sales of commercial vehicles to substantially increase until later in 2011, causing the new commercial vehicle sales market to remain competitive and challenging throughout the first half of the year. A.C.T. Research Co., LLC (“A.C.T. Research”), a truck industry data and forecasting service provider, currently predicts 2011 U.S. Class 8 truck sales to reach 179,000 units, up from 110,109 units sold in 2010. A.C.T. Research currently predicts U.S. Class 4-7 retail sales in 2011 to be 128,300 units, up from 117,572 units in 2010. If economic conditions continue to improve, the Company expects that activity will increase in automotive and capital goods manufacturing, as well as residential and commercial construction, which should result in strong truck sales markets in 2012 and 2013.</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778"/>
        <w:spacing w:after="0" w:line="289" w:lineRule="auto"/>
        <w:rPr>
          <w:sz w:val="20"/>
          <w:szCs w:val="20"/>
          <w:color w:val="auto"/>
        </w:rPr>
      </w:pPr>
      <w:r>
        <w:rPr>
          <w:rFonts w:ascii="Arial" w:cs="Arial" w:eastAsia="Arial" w:hAnsi="Arial"/>
          <w:sz w:val="16"/>
          <w:szCs w:val="16"/>
          <w:color w:val="auto"/>
        </w:rPr>
        <w:t>The Company earns federal income tax credits on the sale of alternative fuel vehicles to tax-exempt entities. These tax credits are reflected as tax benefits in the Company’s Consolidated Statements of Income. A portion of these tax credits are passed back to the tax-exempt customer and are reflected as SG&amp;A expense to the Company in the quarter in which the commercial vehicles are sold. These alternative fuel tax credits and the amount passed back to the customers are directly attributable to the sale of a commercial vehicle. Accordingly, the Company believes the tax credits and the amounts passed back to customers should be considered operating items when analyzing the financial performance of the Company. The Company believes its history of serving municipalities and other tax-exempt customers that cannot claim these federal tax credits, its ability to utilize tax credits and pass back savings to these tax-exempt customers, and its position as a leading dealer of alternative fuel vehicles provide the Company with a distinct advantage over its competition when offering alternative fuel vehicles to tax-exempt entities.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Pending Acquisition</w:t>
      </w:r>
    </w:p>
    <w:p>
      <w:pPr>
        <w:spacing w:after="0" w:line="189" w:lineRule="exact"/>
        <w:rPr>
          <w:sz w:val="20"/>
          <w:szCs w:val="20"/>
          <w:color w:val="auto"/>
        </w:rPr>
      </w:pPr>
    </w:p>
    <w:p>
      <w:pPr>
        <w:jc w:val="both"/>
        <w:ind w:left="340" w:right="159" w:firstLine="778"/>
        <w:spacing w:after="0" w:line="287" w:lineRule="auto"/>
        <w:rPr>
          <w:sz w:val="20"/>
          <w:szCs w:val="20"/>
          <w:color w:val="auto"/>
        </w:rPr>
      </w:pPr>
      <w:r>
        <w:rPr>
          <w:rFonts w:ascii="Arial" w:cs="Arial" w:eastAsia="Arial" w:hAnsi="Arial"/>
          <w:sz w:val="16"/>
          <w:szCs w:val="16"/>
          <w:color w:val="auto"/>
        </w:rPr>
        <w:t>The Company has entered into agreements to purchase certain assets of Asbury Automotive Atlanta, LLC, a subsidiary of Asbury Automotive Group, Inc. (NYSE</w:t>
      </w:r>
      <w:r>
        <w:rPr>
          <w:rFonts w:ascii="Arial" w:cs="Arial" w:eastAsia="Arial" w:hAnsi="Arial"/>
          <w:sz w:val="13"/>
          <w:szCs w:val="13"/>
          <w:color w:val="auto"/>
        </w:rPr>
        <w:t>®</w:t>
      </w:r>
      <w:r>
        <w:rPr>
          <w:rFonts w:ascii="Arial" w:cs="Arial" w:eastAsia="Arial" w:hAnsi="Arial"/>
          <w:sz w:val="16"/>
          <w:szCs w:val="16"/>
          <w:color w:val="auto"/>
        </w:rPr>
        <w:t>: ABG), which operates commercial truck and bus dealerships representing International, Peterbilt, Isuzu, Hino, UD, IC Bus, and Workhorse in Atlanta, Doraville and Kennesaw, Georgia and a collision center in Atlanta under the “Nalley Motor Trucks” name. Peterbilt exercised its statutory right of first refusal to acquire the Peterbilt assets and the Kennesaw location that are subject to the asset purchase agreement between Asbury Automotive Atlanta, LLC and the Company. The proposed acquisition would expand the Company’s contiguous network of Rush Truck Centers in the southeast and would result in the Company operating 65 Rush Truck Center locations in 14 states. The Company anticipates that the purchase price for the assets of Asbury Automotive Atlanta, LLC will be paid in cash and partially financed under the Company’s floor plan and accounts receivable financing arrangements and the incurrence of long-term debt for the real estate. The Company expects the transaction to be accretive to future earnings. The completion of the acquisition is subject to several closing conditions, including the approval of the non-Peterbilt manufacturers currently represented by Nalley Motor Trucks, and is expected to close in the first quarter of 2011.</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Performance Indicator</w:t>
      </w:r>
    </w:p>
    <w:p>
      <w:pPr>
        <w:spacing w:after="0" w:line="202" w:lineRule="exact"/>
        <w:rPr>
          <w:sz w:val="20"/>
          <w:szCs w:val="20"/>
          <w:color w:val="auto"/>
        </w:rPr>
      </w:pPr>
    </w:p>
    <w:p>
      <w:pPr>
        <w:jc w:val="both"/>
        <w:ind w:left="340" w:right="159" w:firstLine="778"/>
        <w:spacing w:after="0" w:line="290" w:lineRule="auto"/>
        <w:rPr>
          <w:sz w:val="20"/>
          <w:szCs w:val="20"/>
          <w:color w:val="auto"/>
        </w:rPr>
      </w:pPr>
      <w:r>
        <w:rPr>
          <w:rFonts w:ascii="Arial" w:cs="Arial" w:eastAsia="Arial" w:hAnsi="Arial"/>
          <w:sz w:val="16"/>
          <w:szCs w:val="16"/>
          <w:i w:val="1"/>
          <w:iCs w:val="1"/>
          <w:color w:val="auto"/>
        </w:rPr>
        <w:t xml:space="preserve">Absorption Rate. </w:t>
      </w:r>
      <w:r>
        <w:rPr>
          <w:rFonts w:ascii="Arial" w:cs="Arial" w:eastAsia="Arial" w:hAnsi="Arial"/>
          <w:sz w:val="16"/>
          <w:szCs w:val="16"/>
          <w:color w:val="auto"/>
        </w:rPr>
        <w:t>Management uses several performance metrics to evaluate the performance of its commercial vehicle</w:t>
      </w:r>
      <w:r>
        <w:rPr>
          <w:rFonts w:ascii="Arial" w:cs="Arial" w:eastAsia="Arial" w:hAnsi="Arial"/>
          <w:sz w:val="16"/>
          <w:szCs w:val="16"/>
          <w:i w:val="1"/>
          <w:iCs w:val="1"/>
          <w:color w:val="auto"/>
        </w:rPr>
        <w:t xml:space="preserve"> </w:t>
      </w:r>
      <w:r>
        <w:rPr>
          <w:rFonts w:ascii="Arial" w:cs="Arial" w:eastAsia="Arial" w:hAnsi="Arial"/>
          <w:sz w:val="16"/>
          <w:szCs w:val="16"/>
          <w:color w:val="auto"/>
        </w:rPr>
        <w:t>dealerships, and considers Rush Truck Centers’ “absorption rate” to be of critical importance. Absorption rate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 In 1999, the Company’s truck dealerships’ absorption rate was approximately 80%. The Company has made a concerted effort to increase its absorption rate since 1999. The Company’s truck dealerships achieved a 105.5% absorption rate for the year in 2010 and 95.7% absorption rate for the year in 2009.</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ind w:left="340" w:right="159" w:firstLine="778"/>
        <w:spacing w:after="0" w:line="291" w:lineRule="auto"/>
        <w:rPr>
          <w:sz w:val="20"/>
          <w:szCs w:val="20"/>
          <w:color w:val="auto"/>
        </w:rPr>
      </w:pPr>
      <w:r>
        <w:rPr>
          <w:rFonts w:ascii="Arial" w:cs="Arial" w:eastAsia="Arial" w:hAnsi="Arial"/>
          <w:sz w:val="16"/>
          <w:szCs w:val="16"/>
          <w:color w:val="auto"/>
        </w:rPr>
        <w:t>The Company’s discussion and analysis of its financial condition and results of operations are based on the Company’s consolidated financial statements, which have been prepared in accordance with U.S.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which are also described in Note 2 of the Notes to the Consolidated Financial Statements, affect its more significant judgments and estimates used in the preparation of its consolidated financial statements.</w:t>
      </w: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plus a reasonable profit margin.</w:t>
      </w: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jc w:val="both"/>
        <w:ind w:left="340" w:right="159" w:firstLine="778"/>
        <w:spacing w:after="0" w:line="342" w:lineRule="auto"/>
        <w:rPr>
          <w:sz w:val="20"/>
          <w:szCs w:val="20"/>
          <w:color w:val="auto"/>
        </w:rPr>
      </w:pPr>
      <w:r>
        <w:rPr>
          <w:rFonts w:ascii="Arial" w:cs="Arial" w:eastAsia="Arial" w:hAnsi="Arial"/>
          <w:sz w:val="16"/>
          <w:szCs w:val="16"/>
          <w:color w:val="auto"/>
        </w:rPr>
        <w:t>Goodwill and other intangible assets that have indefinite lives are not amortized but instead are tested at least annually by reporting unit for impairment, or more frequently when events or changes in circumstances indicate that the asset might be impaired.</w:t>
      </w:r>
    </w:p>
    <w:p>
      <w:pPr>
        <w:spacing w:after="0" w:line="83" w:lineRule="exact"/>
        <w:rPr>
          <w:sz w:val="20"/>
          <w:szCs w:val="20"/>
          <w:color w:val="auto"/>
        </w:rPr>
      </w:pPr>
    </w:p>
    <w:p>
      <w:pPr>
        <w:jc w:val="both"/>
        <w:ind w:left="340" w:right="159" w:firstLine="778"/>
        <w:spacing w:after="0" w:line="272" w:lineRule="auto"/>
        <w:rPr>
          <w:sz w:val="20"/>
          <w:szCs w:val="20"/>
          <w:color w:val="auto"/>
        </w:rPr>
      </w:pPr>
      <w:r>
        <w:rPr>
          <w:rFonts w:ascii="Arial" w:cs="Arial" w:eastAsia="Arial" w:hAnsi="Arial"/>
          <w:sz w:val="17"/>
          <w:szCs w:val="17"/>
          <w:color w:val="auto"/>
        </w:rPr>
        <w:t>Goodwill is reviewed for impairment utilizing a two-step process. The first step requires the Company to compare the fair value of the reporting unit, which is the same as the segment, to the respective carrying value. The Company considers its segment to be a reporting unit for purposes of this analysis. If the fair value of the reporting unit exceeds its carrying value, the goodwill is not considered impaired. If the carrying value is greater than the fair value, there is an indication that an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37" w:lineRule="exact"/>
        <w:rPr>
          <w:sz w:val="20"/>
          <w:szCs w:val="20"/>
          <w:color w:val="auto"/>
        </w:rPr>
      </w:pPr>
    </w:p>
    <w:p>
      <w:pPr>
        <w:jc w:val="both"/>
        <w:ind w:left="340" w:right="159" w:firstLine="778"/>
        <w:spacing w:after="0" w:line="290" w:lineRule="auto"/>
        <w:rPr>
          <w:sz w:val="20"/>
          <w:szCs w:val="20"/>
          <w:color w:val="auto"/>
        </w:rPr>
      </w:pPr>
      <w:r>
        <w:rPr>
          <w:rFonts w:ascii="Arial" w:cs="Arial" w:eastAsia="Arial" w:hAnsi="Arial"/>
          <w:sz w:val="16"/>
          <w:szCs w:val="16"/>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pacing w:after="0" w:line="139" w:lineRule="exact"/>
        <w:rPr>
          <w:sz w:val="20"/>
          <w:szCs w:val="20"/>
          <w:color w:val="auto"/>
        </w:rPr>
      </w:pPr>
    </w:p>
    <w:p>
      <w:pPr>
        <w:jc w:val="both"/>
        <w:ind w:left="340" w:right="159" w:firstLine="778"/>
        <w:spacing w:after="0" w:line="276" w:lineRule="auto"/>
        <w:rPr>
          <w:sz w:val="20"/>
          <w:szCs w:val="20"/>
          <w:color w:val="auto"/>
        </w:rPr>
      </w:pPr>
      <w:r>
        <w:rPr>
          <w:rFonts w:ascii="Arial" w:cs="Arial" w:eastAsia="Arial" w:hAnsi="Arial"/>
          <w:sz w:val="17"/>
          <w:szCs w:val="17"/>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strategic decisions made in response to economic and competitive conditions or the impact of the current economic environment.</w:t>
      </w:r>
    </w:p>
    <w:p>
      <w:pPr>
        <w:spacing w:after="0" w:line="132" w:lineRule="exact"/>
        <w:rPr>
          <w:sz w:val="20"/>
          <w:szCs w:val="20"/>
          <w:color w:val="auto"/>
        </w:rPr>
      </w:pPr>
    </w:p>
    <w:p>
      <w:pPr>
        <w:jc w:val="both"/>
        <w:ind w:left="340" w:right="159" w:firstLine="778"/>
        <w:spacing w:after="0" w:line="272" w:lineRule="auto"/>
        <w:rPr>
          <w:sz w:val="20"/>
          <w:szCs w:val="20"/>
          <w:color w:val="auto"/>
        </w:rPr>
      </w:pPr>
      <w:r>
        <w:rPr>
          <w:rFonts w:ascii="Arial" w:cs="Arial" w:eastAsia="Arial" w:hAnsi="Arial"/>
          <w:sz w:val="17"/>
          <w:szCs w:val="17"/>
          <w:color w:val="auto"/>
        </w:rPr>
        <w:t>The Company has historically performed an annual impairment review of goodwill during the fourth quarter of each year, however, an interim evaluation of goodwill was required during the second quarter of 2009 due to General Motors’ decision to terminate production of medium-duty GMC trucks, which resulted in the winding-down of the Company’s medium-duty GMC truck franchises. The goodwill allocation was based on the relative fair values of the medium-duty GMC truck franchises and the portion of the Company’s Truck Segment remaining. The Company’s Truck Segment recorded a non-cash charge of $0.8 million related to the impairment of the goodwill of its medium-duty GMC truck franchises. See Note 18 for further discussion of the wind-down of the Company’s medium-duty GMC truck franchise agreements.</w:t>
      </w:r>
    </w:p>
    <w:p>
      <w:pPr>
        <w:spacing w:after="0" w:line="137"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color w:val="auto"/>
        </w:rPr>
        <w:t>Goodwill was tested for impairment during the fourth quarter of 2010 and no impairment write down was required. The fair value of each of our reporting units exceeded the carrying value of its net assets. As a result, we were not required to conduct the second step of the impairment test. The Company does not believe any of its reporting units are at risk of failing step one of the impairment test.</w:t>
      </w:r>
    </w:p>
    <w:p>
      <w:pPr>
        <w:spacing w:after="0" w:line="160"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Finance and Insurance Revenue Recognition</w:t>
      </w:r>
    </w:p>
    <w:p>
      <w:pPr>
        <w:spacing w:after="0" w:line="185" w:lineRule="exact"/>
        <w:rPr>
          <w:sz w:val="20"/>
          <w:szCs w:val="20"/>
          <w:color w:val="auto"/>
        </w:rPr>
      </w:pPr>
    </w:p>
    <w:p>
      <w:pPr>
        <w:jc w:val="both"/>
        <w:ind w:left="340" w:right="159" w:firstLine="778"/>
        <w:spacing w:after="0" w:line="293" w:lineRule="auto"/>
        <w:rPr>
          <w:sz w:val="20"/>
          <w:szCs w:val="20"/>
          <w:color w:val="auto"/>
        </w:rPr>
      </w:pPr>
      <w:r>
        <w:rPr>
          <w:rFonts w:ascii="Arial" w:cs="Arial" w:eastAsia="Arial" w:hAnsi="Arial"/>
          <w:sz w:val="16"/>
          <w:szCs w:val="16"/>
          <w:color w:val="auto"/>
        </w:rPr>
        <w:t>Finance income related to the sale of a unit is recognized when the finance contract is sold to a finance company. During 2010, 2009 and 2008, finance contracts were not retained by the Company for any significant length of time because finance contracts are generally sold to finance companies concurrent with the sale of the related unit. The Company arranges financing for customers through various institutions and receives financing fees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to customers.</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778"/>
        <w:spacing w:after="0" w:line="253" w:lineRule="auto"/>
        <w:rPr>
          <w:sz w:val="20"/>
          <w:szCs w:val="20"/>
          <w:color w:val="auto"/>
        </w:rPr>
      </w:pPr>
      <w:r>
        <w:rPr>
          <w:rFonts w:ascii="Arial" w:cs="Arial" w:eastAsia="Arial" w:hAnsi="Arial"/>
          <w:sz w:val="18"/>
          <w:szCs w:val="18"/>
          <w:color w:val="auto"/>
        </w:rPr>
        <w:t>The Company may be charged back for unearned financing or insurance contract fees in the event of early termination of the contracts by customers. In the case of finance contracts, a customer may prepay, or fail to pay, thereby terminating the underlying contract. Revenues from these fees are recorded at the time of the sale of a unit and a reserve for future amounts which might be charged back is established based on historical chargeback results and the termination provisions of the applicable contracts, including the impact of refinance and default rates on retail finance contracts and cancellation rates on other insurance products. The Company’s finance and insurance revenue recognition accounting methodology contains uncertainties because it requires management to make assumptions and to apply judgment to estimate future charge-backs. The Company’s estimate of future charge-backs is based primarily on historical experience. The actual amount of historical charge-backs has not been significantly different than the Company’s estimates.</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185" w:lineRule="exact"/>
        <w:rPr>
          <w:sz w:val="20"/>
          <w:szCs w:val="20"/>
          <w:color w:val="auto"/>
        </w:rPr>
      </w:pPr>
    </w:p>
    <w:p>
      <w:pPr>
        <w:jc w:val="both"/>
        <w:ind w:left="340" w:right="159" w:firstLine="778"/>
        <w:spacing w:after="0" w:line="255" w:lineRule="auto"/>
        <w:rPr>
          <w:sz w:val="20"/>
          <w:szCs w:val="20"/>
          <w:color w:val="auto"/>
        </w:rPr>
      </w:pPr>
      <w:r>
        <w:rPr>
          <w:rFonts w:ascii="Arial" w:cs="Arial" w:eastAsia="Arial" w:hAnsi="Arial"/>
          <w:sz w:val="18"/>
          <w:szCs w:val="18"/>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153" w:lineRule="exact"/>
        <w:rPr>
          <w:sz w:val="20"/>
          <w:szCs w:val="20"/>
          <w:color w:val="auto"/>
        </w:rPr>
      </w:pPr>
    </w:p>
    <w:p>
      <w:pPr>
        <w:jc w:val="both"/>
        <w:ind w:left="340" w:right="159" w:firstLine="778"/>
        <w:spacing w:after="0" w:line="297" w:lineRule="auto"/>
        <w:rPr>
          <w:sz w:val="20"/>
          <w:szCs w:val="20"/>
          <w:color w:val="auto"/>
        </w:rPr>
      </w:pPr>
      <w:r>
        <w:rPr>
          <w:rFonts w:ascii="Arial" w:cs="Arial" w:eastAsia="Arial" w:hAnsi="Arial"/>
          <w:sz w:val="16"/>
          <w:szCs w:val="16"/>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 A 10% change in the Company’s estimate would have changed its reserve for these losses at December 31, 2010 by $0.4 million.</w:t>
      </w:r>
    </w:p>
    <w:p>
      <w:pPr>
        <w:spacing w:after="0" w:line="131"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85" w:lineRule="exact"/>
        <w:rPr>
          <w:sz w:val="20"/>
          <w:szCs w:val="20"/>
          <w:color w:val="auto"/>
        </w:rPr>
      </w:pPr>
    </w:p>
    <w:p>
      <w:pPr>
        <w:jc w:val="both"/>
        <w:ind w:left="340" w:right="179" w:firstLine="778"/>
        <w:spacing w:after="0" w:line="272" w:lineRule="auto"/>
        <w:rPr>
          <w:sz w:val="20"/>
          <w:szCs w:val="20"/>
          <w:color w:val="auto"/>
        </w:rPr>
      </w:pPr>
      <w:r>
        <w:rPr>
          <w:rFonts w:ascii="Arial" w:cs="Arial" w:eastAsia="Arial" w:hAnsi="Arial"/>
          <w:sz w:val="17"/>
          <w:szCs w:val="17"/>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37"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61" w:lineRule="exact"/>
        <w:rPr>
          <w:sz w:val="20"/>
          <w:szCs w:val="20"/>
          <w:color w:val="auto"/>
        </w:rPr>
      </w:pPr>
    </w:p>
    <w:p>
      <w:pPr>
        <w:jc w:val="both"/>
        <w:ind w:left="340" w:right="159" w:firstLine="778"/>
        <w:spacing w:after="0" w:line="290" w:lineRule="auto"/>
        <w:rPr>
          <w:sz w:val="20"/>
          <w:szCs w:val="20"/>
          <w:color w:val="auto"/>
        </w:rPr>
      </w:pPr>
      <w:r>
        <w:rPr>
          <w:rFonts w:ascii="Arial" w:cs="Arial" w:eastAsia="Arial" w:hAnsi="Arial"/>
          <w:sz w:val="16"/>
          <w:szCs w:val="16"/>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200" w:lineRule="exact"/>
        <w:rPr>
          <w:sz w:val="20"/>
          <w:szCs w:val="20"/>
          <w:color w:val="auto"/>
        </w:rPr>
      </w:pPr>
    </w:p>
    <w:p>
      <w:pPr>
        <w:spacing w:after="0" w:line="31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98" w:lineRule="exact"/>
        <w:rPr>
          <w:sz w:val="20"/>
          <w:szCs w:val="20"/>
          <w:color w:val="auto"/>
        </w:rPr>
      </w:pPr>
    </w:p>
    <w:p>
      <w:pPr>
        <w:jc w:val="both"/>
        <w:ind w:left="340" w:right="1360" w:firstLine="778"/>
        <w:spacing w:after="0" w:line="259" w:lineRule="auto"/>
        <w:rPr>
          <w:sz w:val="20"/>
          <w:szCs w:val="20"/>
          <w:color w:val="auto"/>
        </w:rPr>
      </w:pPr>
      <w:r>
        <w:rPr>
          <w:rFonts w:ascii="Arial" w:cs="Arial" w:eastAsia="Arial" w:hAnsi="Arial"/>
          <w:sz w:val="18"/>
          <w:szCs w:val="18"/>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146" w:lineRule="exact"/>
        <w:rPr>
          <w:sz w:val="20"/>
          <w:szCs w:val="20"/>
          <w:color w:val="auto"/>
        </w:rPr>
      </w:pPr>
    </w:p>
    <w:p>
      <w:pPr>
        <w:jc w:val="both"/>
        <w:ind w:left="340" w:right="1360" w:firstLine="778"/>
        <w:spacing w:after="0" w:line="297" w:lineRule="auto"/>
        <w:rPr>
          <w:sz w:val="20"/>
          <w:szCs w:val="20"/>
          <w:color w:val="auto"/>
        </w:rPr>
      </w:pPr>
      <w:r>
        <w:rPr>
          <w:rFonts w:ascii="Arial" w:cs="Arial" w:eastAsia="Arial" w:hAnsi="Arial"/>
          <w:sz w:val="16"/>
          <w:szCs w:val="16"/>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6"/>
          <w:szCs w:val="16"/>
          <w:b w:val="1"/>
          <w:bCs w:val="1"/>
          <w:color w:val="auto"/>
        </w:rPr>
        <w:t>.</w:t>
      </w:r>
      <w:r>
        <w:rPr>
          <w:rFonts w:ascii="Arial" w:cs="Arial" w:eastAsia="Arial" w:hAnsi="Arial"/>
          <w:sz w:val="16"/>
          <w:szCs w:val="16"/>
          <w:color w:val="auto"/>
        </w:rPr>
        <w:t xml:space="preserve"> If the interest rate swaps become ineffective, portions of these interest rate swaps would be reported as a component of interest expense in the accompanying Consolidated Statements of Income.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1380" w:firstLine="778"/>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2010, 2009 and 2008. The following table sets forth for the years indicated certain financial data as a percentage of total revenues: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2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4"/>
              </w:rPr>
              <w:t>Year Ended December 31,</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80" w:type="dxa"/>
            <w:vAlign w:val="bottom"/>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2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61.9%</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Parts and service sales</w:t>
            </w:r>
          </w:p>
        </w:tc>
        <w:tc>
          <w:tcPr>
            <w:tcW w:w="28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32.7</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28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4.5</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Finance and insurance</w:t>
            </w:r>
          </w:p>
        </w:tc>
        <w:tc>
          <w:tcPr>
            <w:tcW w:w="28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0.5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0.4</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revenues</w:t>
            </w:r>
          </w:p>
        </w:tc>
        <w:tc>
          <w:tcPr>
            <w:tcW w:w="13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4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28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81.0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Gross profit</w:t>
            </w:r>
          </w:p>
        </w:tc>
        <w:tc>
          <w:tcPr>
            <w:tcW w:w="13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4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15.2</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8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expense, net</w:t>
            </w:r>
          </w:p>
        </w:tc>
        <w:tc>
          <w:tcPr>
            <w:tcW w:w="1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48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from continuing operations before income taxes</w:t>
            </w: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4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48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360" w:type="dxa"/>
            <w:vAlign w:val="bottom"/>
            <w:vMerge w:val="restart"/>
          </w:tcPr>
          <w:p>
            <w:pPr>
              <w:jc w:val="right"/>
              <w:ind w:right="730"/>
              <w:spacing w:after="0"/>
              <w:rPr>
                <w:sz w:val="20"/>
                <w:szCs w:val="20"/>
                <w:color w:val="auto"/>
              </w:rPr>
            </w:pPr>
            <w:r>
              <w:rPr>
                <w:rFonts w:ascii="Arial" w:cs="Arial" w:eastAsia="Arial" w:hAnsi="Arial"/>
                <w:sz w:val="18"/>
                <w:szCs w:val="18"/>
                <w:color w:val="auto"/>
              </w:rPr>
              <w:t>28</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commercial vehicles and the absorption rate for the years indicated (revenue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2010</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9"/>
              </w:rPr>
              <w:t>2009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79"/>
              </w:rPr>
              <w:t>vs</w:t>
            </w:r>
          </w:p>
        </w:tc>
        <w:tc>
          <w:tcPr>
            <w:tcW w:w="8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79"/>
              </w:rPr>
              <w:t>vs</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4,746</w:t>
            </w:r>
          </w:p>
        </w:tc>
        <w:tc>
          <w:tcPr>
            <w:tcW w:w="1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3,972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5,516</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2,934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3,773</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2820" w:type="dxa"/>
            <w:vAlign w:val="bottom"/>
            <w:vMerge w:val="restart"/>
          </w:tcPr>
          <w:p>
            <w:pPr>
              <w:ind w:left="200"/>
              <w:spacing w:after="0"/>
              <w:rPr>
                <w:sz w:val="20"/>
                <w:szCs w:val="20"/>
                <w:color w:val="auto"/>
              </w:rPr>
            </w:pPr>
            <w:r>
              <w:rPr>
                <w:rFonts w:ascii="Arial" w:cs="Arial" w:eastAsia="Arial" w:hAnsi="Arial"/>
                <w:sz w:val="18"/>
                <w:szCs w:val="18"/>
                <w:color w:val="auto"/>
              </w:rPr>
              <w:t>Total new vehicle unit sales</w:t>
            </w: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w w:val="84"/>
              </w:rPr>
              <w:t>7,680</w:t>
            </w:r>
          </w:p>
        </w:tc>
        <w:tc>
          <w:tcPr>
            <w:tcW w:w="4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6,615</w:t>
            </w:r>
          </w:p>
        </w:tc>
        <w:tc>
          <w:tcPr>
            <w:tcW w:w="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9,289</w:t>
            </w:r>
          </w:p>
        </w:tc>
        <w:tc>
          <w:tcPr>
            <w:tcW w:w="440" w:type="dxa"/>
            <w:vAlign w:val="bottom"/>
            <w:vMerge w:val="continue"/>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Used vehicles sales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3,461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3,234</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432"/>
        </w:trPr>
        <w:tc>
          <w:tcPr>
            <w:tcW w:w="2820" w:type="dxa"/>
            <w:vAlign w:val="bottom"/>
          </w:tcPr>
          <w:p>
            <w:pPr>
              <w:spacing w:after="0"/>
              <w:rPr>
                <w:sz w:val="20"/>
                <w:szCs w:val="20"/>
                <w:color w:val="auto"/>
              </w:rPr>
            </w:pPr>
            <w:r>
              <w:rPr>
                <w:rFonts w:ascii="Arial" w:cs="Arial" w:eastAsia="Arial" w:hAnsi="Arial"/>
                <w:sz w:val="18"/>
                <w:szCs w:val="18"/>
                <w:b w:val="1"/>
                <w:bCs w:val="1"/>
                <w:color w:val="auto"/>
              </w:rPr>
              <w:t>Vehicle revenue: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New heavy-duty vehicles</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595.4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665.5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New medium-duty vehicles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190.1</w:t>
            </w:r>
          </w:p>
        </w:tc>
        <w:tc>
          <w:tcPr>
            <w:tcW w:w="1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163.7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222.1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new vehicle revenue</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785.5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630.8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887.6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Used vehicle revenue</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139.0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106.5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149.9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vehicle revenue(1)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432"/>
        </w:trPr>
        <w:tc>
          <w:tcPr>
            <w:tcW w:w="2820" w:type="dxa"/>
            <w:vAlign w:val="bottom"/>
          </w:tcPr>
          <w:p>
            <w:pPr>
              <w:spacing w:after="0"/>
              <w:rPr>
                <w:sz w:val="20"/>
                <w:szCs w:val="20"/>
                <w:color w:val="auto"/>
              </w:rPr>
            </w:pPr>
            <w:r>
              <w:rPr>
                <w:rFonts w:ascii="Arial" w:cs="Arial" w:eastAsia="Arial" w:hAnsi="Arial"/>
                <w:sz w:val="18"/>
                <w:szCs w:val="18"/>
                <w:b w:val="1"/>
                <w:bCs w:val="1"/>
                <w:color w:val="auto"/>
                <w:w w:val="97"/>
              </w:rPr>
              <w:t>Truck dealership absorption rate: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105.5%</w:t>
            </w:r>
          </w:p>
        </w:tc>
        <w:tc>
          <w:tcPr>
            <w:tcW w:w="1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105.5%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sales of glider kits, truck bodies, trailers and other new equipment.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Industry</w:t>
      </w:r>
    </w:p>
    <w:p>
      <w:pPr>
        <w:spacing w:after="0" w:line="189" w:lineRule="exact"/>
        <w:rPr>
          <w:sz w:val="20"/>
          <w:szCs w:val="20"/>
          <w:color w:val="auto"/>
        </w:rPr>
      </w:pPr>
    </w:p>
    <w:p>
      <w:pPr>
        <w:jc w:val="both"/>
        <w:ind w:left="340" w:right="159" w:firstLine="778"/>
        <w:spacing w:after="0" w:line="342" w:lineRule="auto"/>
        <w:rPr>
          <w:sz w:val="20"/>
          <w:szCs w:val="20"/>
          <w:color w:val="auto"/>
        </w:rPr>
      </w:pPr>
      <w:r>
        <w:rPr>
          <w:rFonts w:ascii="Arial" w:cs="Arial" w:eastAsia="Arial" w:hAnsi="Arial"/>
          <w:sz w:val="16"/>
          <w:szCs w:val="16"/>
          <w:color w:val="auto"/>
        </w:rPr>
        <w:t>We currently operate in the commercial vehicle market. There has historically been a high correlation between new product sales in the commercial vehicle market and the rate of change in U.S. industrial production and the U.S. gross domestic product.</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Heavy-Duty Truck Market</w:t>
      </w:r>
    </w:p>
    <w:p>
      <w:pPr>
        <w:spacing w:after="0" w:line="198" w:lineRule="exact"/>
        <w:rPr>
          <w:sz w:val="20"/>
          <w:szCs w:val="20"/>
          <w:color w:val="auto"/>
        </w:rPr>
      </w:pPr>
    </w:p>
    <w:p>
      <w:pPr>
        <w:jc w:val="both"/>
        <w:ind w:left="340" w:right="159" w:firstLine="778"/>
        <w:spacing w:after="0" w:line="254" w:lineRule="auto"/>
        <w:rPr>
          <w:sz w:val="20"/>
          <w:szCs w:val="20"/>
          <w:color w:val="auto"/>
        </w:rPr>
      </w:pPr>
      <w:r>
        <w:rPr>
          <w:rFonts w:ascii="Arial" w:cs="Arial" w:eastAsia="Arial" w:hAnsi="Arial"/>
          <w:sz w:val="18"/>
          <w:szCs w:val="18"/>
          <w:color w:val="auto"/>
        </w:rPr>
        <w:t>The Company serves the U.S. retail heavy-duty truck market, which is affected by a number of factors relating to general economic conditions, including fuel prices, government regulation, interest rate fluctuations, economic recessions, other methods of transportation and customer business cycles. In addition, unit sales of new commercial vehicles have historically been subject to substantial cyclical variation based on general economic conditions. According to data published by A.C.T. Research, in recent years total U.S. retail sales of new Class 8 trucks have ranged from a low of approximately 97,000 in 2009 to a high of approximately 291,000 in 2006. Class 8 trucks are defined by the American Automobile Association as trucks with a minimum gross vehicle weight rating above 33,000 pounds. The Company’s share of the U.S. Class 8 truck sales market increased to 4.3% in 2010, up from 4.1% in 2009.</w:t>
      </w:r>
    </w:p>
    <w:p>
      <w:pPr>
        <w:spacing w:after="0" w:line="152" w:lineRule="exact"/>
        <w:rPr>
          <w:sz w:val="20"/>
          <w:szCs w:val="20"/>
          <w:color w:val="auto"/>
        </w:rPr>
      </w:pPr>
    </w:p>
    <w:p>
      <w:pPr>
        <w:jc w:val="both"/>
        <w:ind w:left="340" w:right="159" w:firstLine="778"/>
        <w:spacing w:after="0" w:line="268" w:lineRule="auto"/>
        <w:rPr>
          <w:sz w:val="20"/>
          <w:szCs w:val="20"/>
          <w:color w:val="auto"/>
        </w:rPr>
      </w:pPr>
      <w:r>
        <w:rPr>
          <w:rFonts w:ascii="Arial" w:cs="Arial" w:eastAsia="Arial" w:hAnsi="Arial"/>
          <w:sz w:val="17"/>
          <w:szCs w:val="17"/>
          <w:color w:val="auto"/>
        </w:rPr>
        <w:t>Typically, Class 8 trucks are assembled by manufacturers utilizing certain components manufactured by other companies, including engines, transmissions, axles, wheels and other components. As commercial vehicles and commercial vehicle components have become increasingly complex, the ability to provide state-of-the-art service for commercial vehicles has become a competitive factor in the industry. The ability to provide such service requires a significant capital investment in diagnostic and other equipment, parts inventory and highly trained service personnel. Environmental Protection Agency (“EPA”) and U.S. Department of Transportation (“DOT”) regulatory guidelines for service processes, including body shop, paint work and waste disposal, require sophisticated operating and testing equipment to ensure compliance with environmental and safety standards. Additionally, we believe that more of our customers will lease Class 8 trucks as fleets and seek to establish full-service leases or rental contracts, which provide for turnkey service including parts, maintenance and, potentially, fuel, fuel tax reporting and other services. Differentiation between commercial vehicle dealers has become less dependent on pure price competition and is increasingly based on a dealer’s ability to offer a wide variety of services to their clients. Such services include the following: efficient, conveniently located and easily accessible commercial vehicle service centers with an adequate supply of replacement parts; financing for commercial vehicle purchases; leasing and rental programs; and the ability to accept multiple unit trade-ins related to large fleet purchases. We believe our one-stop center concept and the size and geographic diversity of our dealer network gives us a competitive advantage in providing these services.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778"/>
        <w:spacing w:after="0" w:line="279" w:lineRule="auto"/>
        <w:rPr>
          <w:sz w:val="20"/>
          <w:szCs w:val="20"/>
          <w:color w:val="auto"/>
        </w:rPr>
      </w:pPr>
      <w:r>
        <w:rPr>
          <w:rFonts w:ascii="Arial" w:cs="Arial" w:eastAsia="Arial" w:hAnsi="Arial"/>
          <w:sz w:val="17"/>
          <w:szCs w:val="17"/>
          <w:color w:val="auto"/>
        </w:rPr>
        <w:t>A.C.T. Research currently estimates approximately 179,000 new Class 8 trucks will be sold in the United States in 2011, compared to approximately 110,000 new Class 8 trucks sold in 2010. The Company believes that demand for new Class 8 trucks will gradually increase throughout 2011 due to the age of vehicles in operation and improving general economic conditions. A.C.T. Research currently forecasts sales of Class 8 trucks in the U.S. to be approximately 235,000 in 2012.</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Medium-Duty Truck Market</w:t>
      </w:r>
    </w:p>
    <w:p>
      <w:pPr>
        <w:spacing w:after="0" w:line="185"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color w:val="auto"/>
        </w:rPr>
        <w:t>Many of our Rush Truck Centers sell medium-duty trucks manufactured by Peterbilt, International, Hino, UD, Ford, Mitsubishi Fuso or Isuzu, and all of our Rush Truck Centers provide parts and service for medium-duty trucks. Medium-duty trucks are principally used in short-haul, local markets as delivery vehicles. Medium-duty trucks typically operate locally and generally do not venture out of their service areas overnight.</w:t>
      </w:r>
    </w:p>
    <w:p>
      <w:pPr>
        <w:spacing w:after="0" w:line="146" w:lineRule="exact"/>
        <w:rPr>
          <w:sz w:val="20"/>
          <w:szCs w:val="20"/>
          <w:color w:val="auto"/>
        </w:rPr>
      </w:pPr>
    </w:p>
    <w:p>
      <w:pPr>
        <w:jc w:val="both"/>
        <w:ind w:left="340" w:right="179" w:firstLine="778"/>
        <w:spacing w:after="0" w:line="264" w:lineRule="auto"/>
        <w:rPr>
          <w:sz w:val="20"/>
          <w:szCs w:val="20"/>
          <w:color w:val="auto"/>
        </w:rPr>
      </w:pPr>
      <w:r>
        <w:rPr>
          <w:rFonts w:ascii="Arial" w:cs="Arial" w:eastAsia="Arial" w:hAnsi="Arial"/>
          <w:sz w:val="18"/>
          <w:szCs w:val="18"/>
          <w:color w:val="auto"/>
        </w:rPr>
        <w:t>A.C.T. Research currently forecasts sales of Class 4 through 7 commercial vehicles in the U.S. to be approximately 128,000 in 2011 compared to 117,000 in 2010. A.C.T. Research currently forecasts sales of Class 4 through 7 commercial vehicles in the U.S. to be approximately 160,000 in 2012.</w:t>
      </w:r>
    </w:p>
    <w:p>
      <w:pPr>
        <w:spacing w:after="0" w:line="150" w:lineRule="exact"/>
        <w:rPr>
          <w:sz w:val="20"/>
          <w:szCs w:val="20"/>
          <w:color w:val="auto"/>
        </w:rPr>
      </w:pPr>
    </w:p>
    <w:p>
      <w:pPr>
        <w:ind w:left="340" w:right="3979"/>
        <w:spacing w:after="0" w:line="456" w:lineRule="auto"/>
        <w:rPr>
          <w:sz w:val="20"/>
          <w:szCs w:val="20"/>
          <w:color w:val="auto"/>
        </w:rPr>
      </w:pPr>
      <w:r>
        <w:rPr>
          <w:rFonts w:ascii="Arial" w:cs="Arial" w:eastAsia="Arial" w:hAnsi="Arial"/>
          <w:sz w:val="18"/>
          <w:szCs w:val="18"/>
          <w:b w:val="1"/>
          <w:bCs w:val="1"/>
          <w:color w:val="auto"/>
        </w:rPr>
        <w:t xml:space="preserve">Year Ended December 31, 2010 Compared to Year Ended December 31, 2009 </w:t>
      </w:r>
      <w:r>
        <w:rPr>
          <w:rFonts w:ascii="Arial" w:cs="Arial" w:eastAsia="Arial" w:hAnsi="Arial"/>
          <w:sz w:val="18"/>
          <w:szCs w:val="18"/>
          <w:i w:val="1"/>
          <w:iCs w:val="1"/>
          <w:color w:val="auto"/>
        </w:rPr>
        <w:t>Revenues</w:t>
      </w:r>
    </w:p>
    <w:p>
      <w:pPr>
        <w:spacing w:after="0" w:line="1" w:lineRule="exact"/>
        <w:rPr>
          <w:sz w:val="20"/>
          <w:szCs w:val="20"/>
          <w:color w:val="auto"/>
        </w:rPr>
      </w:pPr>
    </w:p>
    <w:p>
      <w:pPr>
        <w:jc w:val="both"/>
        <w:ind w:left="340" w:right="159" w:firstLine="778"/>
        <w:spacing w:after="0" w:line="276" w:lineRule="auto"/>
        <w:rPr>
          <w:sz w:val="20"/>
          <w:szCs w:val="20"/>
          <w:color w:val="auto"/>
        </w:rPr>
      </w:pPr>
      <w:r>
        <w:rPr>
          <w:rFonts w:ascii="Arial" w:cs="Arial" w:eastAsia="Arial" w:hAnsi="Arial"/>
          <w:sz w:val="17"/>
          <w:szCs w:val="17"/>
          <w:color w:val="auto"/>
        </w:rPr>
        <w:t>Revenues increased $297.5 million, or 24.8%, in 2010, compared to 2009. Sales of new and used commercial vehicles increased $187.9 million, or 25.4%, in 2010, compared to 2009. The Company believes that demand for its products and services will increase if general economic conditions in the United States continue to improve and credit is made available on reasonable terms to a wider range of buyers. Our parts, service and body shop revenues increased in 2010 compared to 2009, primarily due to increased maintenance and repair as commercial vehicle utilization continues to increase.</w:t>
      </w:r>
    </w:p>
    <w:p>
      <w:pPr>
        <w:spacing w:after="0" w:line="146" w:lineRule="exact"/>
        <w:rPr>
          <w:sz w:val="20"/>
          <w:szCs w:val="20"/>
          <w:color w:val="auto"/>
        </w:rPr>
      </w:pPr>
    </w:p>
    <w:p>
      <w:pPr>
        <w:jc w:val="both"/>
        <w:ind w:left="340" w:right="159" w:firstLine="778"/>
        <w:spacing w:after="0" w:line="297" w:lineRule="auto"/>
        <w:rPr>
          <w:sz w:val="20"/>
          <w:szCs w:val="20"/>
          <w:color w:val="auto"/>
        </w:rPr>
      </w:pPr>
      <w:r>
        <w:rPr>
          <w:rFonts w:ascii="Arial" w:cs="Arial" w:eastAsia="Arial" w:hAnsi="Arial"/>
          <w:sz w:val="16"/>
          <w:szCs w:val="16"/>
          <w:color w:val="auto"/>
        </w:rPr>
        <w:t>The Company sold 4,746 heavy-duty trucks in 2010, a 19.5% increase compared to 3,972 heavy-duty trucks in 2009. According to A.C.T. Research, the U.S. Class 8 truck market increased 13.5% in 2010, compared to 2009. The Company’s share of the U.S. Class 8 truck sales market was approximately 4.3% in 2010. The Company expects its market share to range between 4.1% and 4.4% of U.S. Class 8 truck sales in 2011. This market share percentage would result in the sale of approximately 7,300 to 7,700 of Class 8 trucks in 2011 based on A.C.T. Research’s estimate that U.S. retail sales will increase to 179,000 units.</w:t>
      </w:r>
    </w:p>
    <w:p>
      <w:pPr>
        <w:spacing w:after="0" w:line="118" w:lineRule="exact"/>
        <w:rPr>
          <w:sz w:val="20"/>
          <w:szCs w:val="20"/>
          <w:color w:val="auto"/>
        </w:rPr>
      </w:pPr>
    </w:p>
    <w:p>
      <w:pPr>
        <w:jc w:val="both"/>
        <w:ind w:left="340" w:right="159" w:firstLine="778"/>
        <w:spacing w:after="0" w:line="272" w:lineRule="auto"/>
        <w:rPr>
          <w:sz w:val="20"/>
          <w:szCs w:val="20"/>
          <w:color w:val="auto"/>
        </w:rPr>
      </w:pPr>
      <w:r>
        <w:rPr>
          <w:rFonts w:ascii="Arial" w:cs="Arial" w:eastAsia="Arial" w:hAnsi="Arial"/>
          <w:sz w:val="17"/>
          <w:szCs w:val="17"/>
          <w:color w:val="auto"/>
        </w:rPr>
        <w:t>The Company sold 2,934 medium-duty commercial vehicles, including 457 buses, in 2010, an 11.0% increase compared to 2,643 medium-duty commercial vehicles, including 368 buses, in 2009. A.C.T. Research estimates that unit sales of Class 4 through 7 commercial vehicles in the U.S. increased approximately 5.6% in 2010, compared to 2009. In 2010, the Company achieved a 2.5% share of the Class 4 through 7 commercial vehicle sales market in the U.S. As a result of acquisitions that occurred during 2010, the Company expects its market share to range between 2.8% and 3.0% of U.S. Class 4 through 7 commercial vehicle sales in 2011. This market share percentage would result in the sale of approximately 3,600 to 3,900 of Class 4 through 7 commercial vehicles in 2011 based on A.C.T. Research’s current U.S. retail sales estimates of 128,000 units.</w:t>
      </w:r>
    </w:p>
    <w:p>
      <w:pPr>
        <w:spacing w:after="0" w:line="137" w:lineRule="exact"/>
        <w:rPr>
          <w:sz w:val="20"/>
          <w:szCs w:val="20"/>
          <w:color w:val="auto"/>
        </w:rPr>
      </w:pPr>
    </w:p>
    <w:p>
      <w:pPr>
        <w:jc w:val="both"/>
        <w:ind w:left="340" w:right="179" w:firstLine="778"/>
        <w:spacing w:after="0" w:line="259" w:lineRule="auto"/>
        <w:rPr>
          <w:sz w:val="20"/>
          <w:szCs w:val="20"/>
          <w:color w:val="auto"/>
        </w:rPr>
      </w:pPr>
      <w:r>
        <w:rPr>
          <w:rFonts w:ascii="Arial" w:cs="Arial" w:eastAsia="Arial" w:hAnsi="Arial"/>
          <w:sz w:val="18"/>
          <w:szCs w:val="18"/>
          <w:color w:val="auto"/>
        </w:rPr>
        <w:t>The Company sold 3,461 used commercial vehicles in 2010, a 20.4% increase compared to 2,875 used commercial vehicles in 2009. The Company expects to sell approximately 3,500 to 3,700 used commercial vehicles in 2011. For 2011, the Company expects used truck sales to be largely dependent upon our ability to acquire quality used commercial vehicles and maintain an adequate used commercial vehicle inventory.</w:t>
      </w:r>
    </w:p>
    <w:p>
      <w:pPr>
        <w:spacing w:after="0" w:line="160" w:lineRule="exact"/>
        <w:rPr>
          <w:sz w:val="20"/>
          <w:szCs w:val="20"/>
          <w:color w:val="auto"/>
        </w:rPr>
      </w:pPr>
    </w:p>
    <w:p>
      <w:pPr>
        <w:jc w:val="both"/>
        <w:ind w:left="340" w:right="179" w:firstLine="778"/>
        <w:spacing w:after="0" w:line="279" w:lineRule="auto"/>
        <w:rPr>
          <w:sz w:val="20"/>
          <w:szCs w:val="20"/>
          <w:color w:val="auto"/>
        </w:rPr>
      </w:pPr>
      <w:r>
        <w:rPr>
          <w:rFonts w:ascii="Arial" w:cs="Arial" w:eastAsia="Arial" w:hAnsi="Arial"/>
          <w:sz w:val="17"/>
          <w:szCs w:val="17"/>
          <w:color w:val="auto"/>
        </w:rPr>
        <w:t>Parts and service sales increased $94.1 million, or 23.8%, in 2010, compared to 2009. Aftermarket parts, service and body shop sales remained strong throughout 2010 as freight movement increased and aging trucks were put back into service. The Company’s acquisition of Lake City International contributed $25.1 million of the increase. As commercial vehicle utilization remains high, the Company expects parts, service and body shop sales to continue to remain strong through 2011.</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778"/>
        <w:spacing w:after="0" w:line="255" w:lineRule="auto"/>
        <w:rPr>
          <w:sz w:val="20"/>
          <w:szCs w:val="20"/>
          <w:color w:val="auto"/>
        </w:rPr>
      </w:pPr>
      <w:r>
        <w:rPr>
          <w:rFonts w:ascii="Arial" w:cs="Arial" w:eastAsia="Arial" w:hAnsi="Arial"/>
          <w:sz w:val="18"/>
          <w:szCs w:val="18"/>
          <w:color w:val="auto"/>
        </w:rPr>
        <w:t>Truck lease and rental revenues increased $13.7 million, or 25.5%, in 2010, compared to 2009. The Company’s acquisition of Lake City International contributed $5.9 million of the increase. The remainder of the increase in lease and rental revenue is consistent with management’s expectations, which are based upon the increased number of units put into service in the lease and rental fleet during 2009 and 2010 and increasing rental fleet utilization. The Company expects lease and rental revenue to increase 10% to 13% during 2011, compared to 2010 based on the increase of units in the lease and rental fleet and the acquisition of Lake City International.</w:t>
      </w:r>
    </w:p>
    <w:p>
      <w:pPr>
        <w:spacing w:after="0" w:line="166" w:lineRule="exact"/>
        <w:rPr>
          <w:sz w:val="20"/>
          <w:szCs w:val="20"/>
          <w:color w:val="auto"/>
        </w:rPr>
      </w:pPr>
    </w:p>
    <w:p>
      <w:pPr>
        <w:jc w:val="both"/>
        <w:ind w:left="340" w:right="159" w:firstLine="778"/>
        <w:spacing w:after="0" w:line="302" w:lineRule="auto"/>
        <w:rPr>
          <w:sz w:val="20"/>
          <w:szCs w:val="20"/>
          <w:color w:val="auto"/>
        </w:rPr>
      </w:pPr>
      <w:r>
        <w:rPr>
          <w:rFonts w:ascii="Arial" w:cs="Arial" w:eastAsia="Arial" w:hAnsi="Arial"/>
          <w:sz w:val="16"/>
          <w:szCs w:val="16"/>
          <w:color w:val="auto"/>
        </w:rPr>
        <w:t>Finance and insurance revenues increased $0.5 million, or 6.1%, in 2010, compared to 2009. The increase in finance and insurance revenue is a direct result of the increase in new and use commercial vehicle sales. The Company expects finance and insurance revenue to fluctuate proportionately with the Company’s new and use commercial vehicle sales in 2011. Finance and insurance revenues have limited direct costs and, therefore, contribute a disproportionate share of the Company’s operating profits.</w:t>
      </w:r>
    </w:p>
    <w:p>
      <w:pPr>
        <w:spacing w:after="0" w:line="114"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color w:val="auto"/>
        </w:rPr>
        <w:t>Other income increased $1.3 million, or 23.9% in 2010, compared to 2009. Other income consists primarily of the gain on sale realized on trucks from the lease and rental fleet, document fees related to commercial vehicle sales, mineral royalties, an adjustment of a liability related to retail finance contracts sold with recourse and purchase discounts.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jc w:val="both"/>
        <w:ind w:left="340" w:right="159" w:firstLine="778"/>
        <w:spacing w:after="0" w:line="277" w:lineRule="auto"/>
        <w:rPr>
          <w:sz w:val="20"/>
          <w:szCs w:val="20"/>
          <w:color w:val="auto"/>
        </w:rPr>
      </w:pPr>
      <w:r>
        <w:rPr>
          <w:rFonts w:ascii="Arial" w:cs="Arial" w:eastAsia="Arial" w:hAnsi="Arial"/>
          <w:sz w:val="18"/>
          <w:szCs w:val="18"/>
          <w:color w:val="auto"/>
        </w:rPr>
        <w:t>Gross profit increased $69.2 million, or 32.1%, in 2010, compared to 2009. Gross profit as a percentage of sales increased to 19.0% in 2010, from 18.0% in 2009. This increase is primarily a result of a change in our product sales mix.</w:t>
      </w:r>
    </w:p>
    <w:p>
      <w:pPr>
        <w:spacing w:after="0" w:line="130" w:lineRule="exact"/>
        <w:rPr>
          <w:sz w:val="20"/>
          <w:szCs w:val="20"/>
          <w:color w:val="auto"/>
        </w:rPr>
      </w:pPr>
    </w:p>
    <w:p>
      <w:pPr>
        <w:jc w:val="both"/>
        <w:ind w:left="340" w:right="159" w:firstLine="778"/>
        <w:spacing w:after="0" w:line="293" w:lineRule="auto"/>
        <w:rPr>
          <w:sz w:val="20"/>
          <w:szCs w:val="20"/>
          <w:color w:val="auto"/>
        </w:rPr>
      </w:pPr>
      <w:r>
        <w:rPr>
          <w:rFonts w:ascii="Arial" w:cs="Arial" w:eastAsia="Arial" w:hAnsi="Arial"/>
          <w:sz w:val="16"/>
          <w:szCs w:val="16"/>
          <w:color w:val="auto"/>
        </w:rPr>
        <w:t>Gross margins on Class 8 truck sales increased to 7.4% in 2010, from 5.8% in 2009. Gross margins on Class 8 truck sales in 2010 were impacted by a change in our product sales mix that included an increased demand for vocational trucks, which typically are higher margin sales, and a lower percentage of large fleet sales, which are typically lower margin sales. In 2011, the Company expects overall gross margins from Class 8 truck sales to return to historic levels of approximately 6.5% to 7.5%, but this will largely depend upon general economic conditions and the availability of credit to retail customers. The Company recorded expense of $1.9 million to increase its new heavy-duty truck valuation allowance in 2010 and $5.8 million in 2009.</w:t>
      </w:r>
    </w:p>
    <w:p>
      <w:pPr>
        <w:spacing w:after="0" w:line="124" w:lineRule="exact"/>
        <w:rPr>
          <w:sz w:val="20"/>
          <w:szCs w:val="20"/>
          <w:color w:val="auto"/>
        </w:rPr>
      </w:pPr>
    </w:p>
    <w:p>
      <w:pPr>
        <w:jc w:val="both"/>
        <w:ind w:left="340" w:right="159" w:firstLine="778"/>
        <w:spacing w:after="0" w:line="302" w:lineRule="auto"/>
        <w:rPr>
          <w:sz w:val="20"/>
          <w:szCs w:val="20"/>
          <w:color w:val="auto"/>
        </w:rPr>
      </w:pPr>
      <w:r>
        <w:rPr>
          <w:rFonts w:ascii="Arial" w:cs="Arial" w:eastAsia="Arial" w:hAnsi="Arial"/>
          <w:sz w:val="16"/>
          <w:szCs w:val="16"/>
          <w:color w:val="auto"/>
        </w:rPr>
        <w:t>Gross margins on medium-duty commercial vehicle sales increased to 5.6% in 2010, from 5.5% in 2009. For 2011, the Company expects overall gross margins from medium-duty commercial vehicle sales of approximately 5.5% to 6.2%, but this will largely depend upon general economic conditions and the availability of credit to retail customers. The Company recorded expense of $0.6 million to increase its new medium-duty commercial vehicle valuation allowance in 2010 and $2.5 million in 2009.</w:t>
      </w:r>
    </w:p>
    <w:p>
      <w:pPr>
        <w:spacing w:after="0" w:line="127" w:lineRule="exact"/>
        <w:rPr>
          <w:sz w:val="20"/>
          <w:szCs w:val="20"/>
          <w:color w:val="auto"/>
        </w:rPr>
      </w:pPr>
    </w:p>
    <w:p>
      <w:pPr>
        <w:jc w:val="both"/>
        <w:ind w:left="340" w:right="159" w:firstLine="778"/>
        <w:spacing w:after="0" w:line="297" w:lineRule="auto"/>
        <w:rPr>
          <w:sz w:val="20"/>
          <w:szCs w:val="20"/>
          <w:color w:val="auto"/>
        </w:rPr>
      </w:pPr>
      <w:r>
        <w:rPr>
          <w:rFonts w:ascii="Arial" w:cs="Arial" w:eastAsia="Arial" w:hAnsi="Arial"/>
          <w:sz w:val="16"/>
          <w:szCs w:val="16"/>
          <w:color w:val="auto"/>
        </w:rPr>
        <w:t>Gross margins on used commercial vehicle sales increased to 12.2% in 2010, from 6.9% in 2009. This increase is primarily a result of increased demand for quality used commercial vehicles and a decrease in the supply of quality used commercial vehicles. The Company expects margins on used commercial vehicles will return to the historical range of approximately 8.0% to 10.0% during 2011, but this will largely depend upon general economic conditions and the availability of credit to retail customers. The Company recorded expense of $1.5 million to increase its used commercial vehicle valuation allowance in 2010 and $5.0 million in 2009.</w:t>
      </w:r>
    </w:p>
    <w:p>
      <w:pPr>
        <w:spacing w:after="0" w:line="118" w:lineRule="exact"/>
        <w:rPr>
          <w:sz w:val="20"/>
          <w:szCs w:val="20"/>
          <w:color w:val="auto"/>
        </w:rPr>
      </w:pPr>
    </w:p>
    <w:p>
      <w:pPr>
        <w:jc w:val="both"/>
        <w:ind w:left="340" w:right="179" w:firstLine="778"/>
        <w:spacing w:after="0" w:line="286" w:lineRule="auto"/>
        <w:rPr>
          <w:sz w:val="20"/>
          <w:szCs w:val="20"/>
          <w:color w:val="auto"/>
        </w:rPr>
      </w:pPr>
      <w:r>
        <w:rPr>
          <w:rFonts w:ascii="Arial" w:cs="Arial" w:eastAsia="Arial" w:hAnsi="Arial"/>
          <w:sz w:val="17"/>
          <w:szCs w:val="17"/>
          <w:color w:val="auto"/>
        </w:rPr>
        <w:t>Gross margins from the Company’s parts, service and body shop operations decreased to 38.5% in 2010, from 38.8% in 2009. Gross profit for the parts, service and body shop departments increased to $188.5 million in 2010, from $153.2 million in 2009. The Company expects gross margins on parts, service and body shop operations to range 38.0% to 40.0% in 2011.</w:t>
      </w:r>
    </w:p>
    <w:p>
      <w:pPr>
        <w:spacing w:after="0" w:line="125" w:lineRule="exact"/>
        <w:rPr>
          <w:sz w:val="20"/>
          <w:szCs w:val="20"/>
          <w:color w:val="auto"/>
        </w:rPr>
      </w:pPr>
    </w:p>
    <w:p>
      <w:pPr>
        <w:jc w:val="both"/>
        <w:ind w:left="340" w:right="159" w:firstLine="778"/>
        <w:spacing w:after="0" w:line="291" w:lineRule="auto"/>
        <w:rPr>
          <w:sz w:val="20"/>
          <w:szCs w:val="20"/>
          <w:color w:val="auto"/>
        </w:rPr>
      </w:pPr>
      <w:r>
        <w:rPr>
          <w:rFonts w:ascii="Arial" w:cs="Arial" w:eastAsia="Arial" w:hAnsi="Arial"/>
          <w:sz w:val="16"/>
          <w:szCs w:val="16"/>
          <w:color w:val="auto"/>
        </w:rPr>
        <w:t>Gross margins from truck lease and rental sales increased to 14.9% in 2010, from approximately 11.5% in 2009. The increase in lease and rental revenue is primarily attributable to increased utilization of vehicles in the Company’s rental fleet and increased variable rental revenue that is based on the miles that vehicles being leased are driven. The Company expects gross margins from lease and rental sales of approximately 15.0% to 20.0% during 2011.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77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ind w:left="340" w:right="159" w:firstLine="778"/>
        <w:spacing w:after="0" w:line="288" w:lineRule="auto"/>
        <w:rPr>
          <w:sz w:val="20"/>
          <w:szCs w:val="20"/>
          <w:color w:val="auto"/>
        </w:rPr>
      </w:pPr>
      <w:r>
        <w:rPr>
          <w:rFonts w:ascii="Arial" w:cs="Arial" w:eastAsia="Arial" w:hAnsi="Arial"/>
          <w:sz w:val="16"/>
          <w:szCs w:val="16"/>
          <w:color w:val="auto"/>
        </w:rPr>
        <w:t>Selling, General and Administrative (“SG&amp;A”) expenses increased $35.2 million, or 18.3%, in 2010, compared to 2009. SG&amp;A expenses as a percentage of sales decreased to 15.2% in 2010, from 16.0% in 2009. Prior to 2009, SG&amp;A expenses as a percentage of total revenue historically ranged from 10.0% to 15.0%. In general, when new and used commercial vehicle revenue decreases as a percentage of revenue, SG&amp;A expenses as a percentage of total revenue will be at, or exceed, the higher end of this range. Extremely low commercial vehicle revenue during 2009 and early 2010, caused SG&amp;A expenses as a percentage of sales to fall outside this range. For 2011, the Company expects the selling portion of SG&amp;A expenses to be approximately 25% to 30% of new and used commercial vehicle gross profit. The Company expects the general and administrative portion of SG&amp;A expenses to increase approximately 10.0% to 15.0% primarily due to an expected increase in personnel costs related to increased parts and service business, the full year effect of acquisitions made in 2010, and the reinstatement of certain employee benefits. For 2011, the Company expects SG&amp;A expenses as a percentage of total revenue to range from 13.0% to 15.0%.</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Net</w:t>
      </w:r>
    </w:p>
    <w:p>
      <w:pPr>
        <w:spacing w:after="0" w:line="198" w:lineRule="exact"/>
        <w:rPr>
          <w:sz w:val="20"/>
          <w:szCs w:val="20"/>
          <w:color w:val="auto"/>
        </w:rPr>
      </w:pPr>
    </w:p>
    <w:p>
      <w:pPr>
        <w:jc w:val="both"/>
        <w:ind w:left="340" w:right="159" w:firstLine="778"/>
        <w:spacing w:after="0" w:line="312" w:lineRule="auto"/>
        <w:rPr>
          <w:sz w:val="20"/>
          <w:szCs w:val="20"/>
          <w:color w:val="auto"/>
        </w:rPr>
      </w:pPr>
      <w:r>
        <w:rPr>
          <w:rFonts w:ascii="Arial" w:cs="Arial" w:eastAsia="Arial" w:hAnsi="Arial"/>
          <w:sz w:val="16"/>
          <w:szCs w:val="16"/>
          <w:color w:val="auto"/>
        </w:rPr>
        <w:t>Net interest expense decreased $0.3 million, or 5.8%, in 2010, compared to 2009. The Company’s floor plan agreement with GE Capital was modified at the end of 2010, which increased interest rates related to floor plan notes payable, however, net interest expense in 2011 will vary based on inventory levels and cash available for prepayment of floor plan financing.</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185" w:lineRule="exact"/>
        <w:rPr>
          <w:sz w:val="20"/>
          <w:szCs w:val="20"/>
          <w:color w:val="auto"/>
        </w:rPr>
      </w:pPr>
    </w:p>
    <w:p>
      <w:pPr>
        <w:jc w:val="both"/>
        <w:ind w:left="340" w:right="179" w:firstLine="778"/>
        <w:spacing w:after="0" w:line="264" w:lineRule="auto"/>
        <w:rPr>
          <w:sz w:val="20"/>
          <w:szCs w:val="20"/>
          <w:color w:val="auto"/>
        </w:rPr>
      </w:pPr>
      <w:r>
        <w:rPr>
          <w:rFonts w:ascii="Arial" w:cs="Arial" w:eastAsia="Arial" w:hAnsi="Arial"/>
          <w:sz w:val="18"/>
          <w:szCs w:val="18"/>
          <w:color w:val="auto"/>
        </w:rPr>
        <w:t>Income from continuing operations before income taxes increased $34.4 million in 2010, compared to 2009, as a result of the factors described above. The Company believes that income from continuing operations before income taxes in 2011 will increase compared to 2010 based on the factors described above.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ind w:left="340" w:right="159" w:firstLine="778"/>
        <w:spacing w:after="0" w:line="297" w:lineRule="auto"/>
        <w:rPr>
          <w:sz w:val="20"/>
          <w:szCs w:val="20"/>
          <w:color w:val="auto"/>
        </w:rPr>
      </w:pPr>
      <w:r>
        <w:rPr>
          <w:rFonts w:ascii="Arial" w:cs="Arial" w:eastAsia="Arial" w:hAnsi="Arial"/>
          <w:sz w:val="16"/>
          <w:szCs w:val="16"/>
          <w:color w:val="auto"/>
        </w:rPr>
        <w:t>Income taxes increased $14.9 million in 2010, compared to 2009. Prior to the application of alternative fuel tax credits, the Company’s tax rate during 2010 was 39%. The Company expects its effective tax rate to be approximately 36% to 39% of pretax income in 2011. In 2010, the Company received $2.5 million in tax credits for sales of alternative fuel vehicles to tax-exempt entities, compared to $5.3 million in 2009. The federal tax law that extended tax credits for alternative fuel vehicles expired on December 31, 2010, therefore, the Company does not expect to receive tax benefits related to these credits in the future.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Discontinued Operations, net</w:t>
      </w:r>
    </w:p>
    <w:p>
      <w:pPr>
        <w:spacing w:after="0" w:line="198" w:lineRule="exact"/>
        <w:rPr>
          <w:sz w:val="20"/>
          <w:szCs w:val="20"/>
          <w:color w:val="auto"/>
        </w:rPr>
      </w:pPr>
    </w:p>
    <w:p>
      <w:pPr>
        <w:jc w:val="both"/>
        <w:ind w:left="340" w:right="179" w:firstLine="778"/>
        <w:spacing w:after="0" w:line="264" w:lineRule="auto"/>
        <w:rPr>
          <w:sz w:val="20"/>
          <w:szCs w:val="20"/>
          <w:color w:val="auto"/>
        </w:rPr>
      </w:pPr>
      <w:r>
        <w:rPr>
          <w:rFonts w:ascii="Arial" w:cs="Arial" w:eastAsia="Arial" w:hAnsi="Arial"/>
          <w:sz w:val="18"/>
          <w:szCs w:val="18"/>
          <w:color w:val="auto"/>
        </w:rPr>
        <w:t>Income from discontinued operations, net of income taxes increased $5.9 million in 2010 compared to 2009. Income from discontinued operations includes operating results and a gain of $10.1 million on the disposition for the Company’s construction equipment business.</w:t>
      </w:r>
    </w:p>
    <w:p>
      <w:pPr>
        <w:spacing w:after="0" w:line="137" w:lineRule="exact"/>
        <w:rPr>
          <w:sz w:val="20"/>
          <w:szCs w:val="20"/>
          <w:color w:val="auto"/>
        </w:rPr>
      </w:pPr>
    </w:p>
    <w:p>
      <w:pPr>
        <w:ind w:left="340" w:right="3979"/>
        <w:spacing w:after="0" w:line="464" w:lineRule="auto"/>
        <w:rPr>
          <w:sz w:val="20"/>
          <w:szCs w:val="20"/>
          <w:color w:val="auto"/>
        </w:rPr>
      </w:pPr>
      <w:r>
        <w:rPr>
          <w:rFonts w:ascii="Arial" w:cs="Arial" w:eastAsia="Arial" w:hAnsi="Arial"/>
          <w:sz w:val="18"/>
          <w:szCs w:val="18"/>
          <w:b w:val="1"/>
          <w:bCs w:val="1"/>
          <w:color w:val="auto"/>
        </w:rPr>
        <w:t xml:space="preserve">Year Ended December 31, 2009 Compared to Year Ended December 31, 2008 </w:t>
      </w:r>
      <w:r>
        <w:rPr>
          <w:rFonts w:ascii="Arial" w:cs="Arial" w:eastAsia="Arial" w:hAnsi="Arial"/>
          <w:sz w:val="18"/>
          <w:szCs w:val="18"/>
          <w:i w:val="1"/>
          <w:iCs w:val="1"/>
          <w:color w:val="auto"/>
        </w:rPr>
        <w:t>Revenues</w:t>
      </w:r>
    </w:p>
    <w:p>
      <w:pPr>
        <w:jc w:val="both"/>
        <w:ind w:left="340" w:right="159" w:firstLine="778"/>
        <w:spacing w:after="0" w:line="259" w:lineRule="auto"/>
        <w:rPr>
          <w:sz w:val="20"/>
          <w:szCs w:val="20"/>
          <w:color w:val="auto"/>
        </w:rPr>
      </w:pPr>
      <w:r>
        <w:rPr>
          <w:rFonts w:ascii="Arial" w:cs="Arial" w:eastAsia="Arial" w:hAnsi="Arial"/>
          <w:sz w:val="18"/>
          <w:szCs w:val="18"/>
          <w:color w:val="auto"/>
        </w:rPr>
        <w:t>Revenues decreased $370.7 million, or 23.6%, in 2009, compared to 2008. Sales of new and used commercial vehicles decreased $302.5 million, or 29.1%, in 2009, compared to 2008. Uncertain economic conditions, the weak freight environment, slowing construction markets and tight credit markets contributed to decreased demand for commercial vehicles and construction equipment as well as aftermarket service in 2009.</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color w:val="auto"/>
        </w:rPr>
        <w:t>The Company sold 3,972 heavy-duty trucks in 2009, a 28.0% decrease compared to 5,516 heavy-duty trucks in 2008. According to A.C.T. Research, the U.S. Class 8 truck market decreased 30.6% in 2009, compared to 2008. The Company’s share of the U.S. Class 8 truck sales market was approximately 4.1% in 2009.</w:t>
      </w:r>
    </w:p>
    <w:p>
      <w:pPr>
        <w:spacing w:after="0" w:line="154"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color w:val="auto"/>
        </w:rPr>
        <w:t>The Company sold 2,643 medium-duty commercial vehicles, including 368 buses, in 2009, a 29.9% decrease compared to 3,773 medium-duty commercial vehicles, including 239 buses, in 2008. A.C.T. Research estimates that unit sales of Class 4 through 7 commercial vehicles in the U.S. decreased approximately 33.2% in 2009, compared to 2008. In 2009, the Company achieved a 2.4% share of the Class 4 through 7 commercial vehicle sales market in the U.S.</w:t>
      </w:r>
    </w:p>
    <w:p>
      <w:pPr>
        <w:spacing w:after="0" w:line="146" w:lineRule="exact"/>
        <w:rPr>
          <w:sz w:val="20"/>
          <w:szCs w:val="20"/>
          <w:color w:val="auto"/>
        </w:rPr>
      </w:pPr>
    </w:p>
    <w:p>
      <w:pPr>
        <w:jc w:val="both"/>
        <w:ind w:left="340" w:right="159" w:firstLine="778"/>
        <w:spacing w:after="0" w:line="277" w:lineRule="auto"/>
        <w:rPr>
          <w:sz w:val="20"/>
          <w:szCs w:val="20"/>
          <w:color w:val="auto"/>
        </w:rPr>
      </w:pPr>
      <w:r>
        <w:rPr>
          <w:rFonts w:ascii="Arial" w:cs="Arial" w:eastAsia="Arial" w:hAnsi="Arial"/>
          <w:sz w:val="18"/>
          <w:szCs w:val="18"/>
          <w:color w:val="auto"/>
        </w:rPr>
        <w:t>The Company sold 2,875 used commercial vehicles in 2009, an 11.1% decrease compared to 3,234 used commercial vehicles in 2009.</w:t>
      </w:r>
    </w:p>
    <w:p>
      <w:pPr>
        <w:spacing w:after="0" w:line="130" w:lineRule="exact"/>
        <w:rPr>
          <w:sz w:val="20"/>
          <w:szCs w:val="20"/>
          <w:color w:val="auto"/>
        </w:rPr>
      </w:pPr>
    </w:p>
    <w:p>
      <w:pPr>
        <w:jc w:val="both"/>
        <w:ind w:left="340" w:right="159" w:firstLine="778"/>
        <w:spacing w:after="0" w:line="312" w:lineRule="auto"/>
        <w:rPr>
          <w:sz w:val="20"/>
          <w:szCs w:val="20"/>
          <w:color w:val="auto"/>
        </w:rPr>
      </w:pPr>
      <w:r>
        <w:rPr>
          <w:rFonts w:ascii="Arial" w:cs="Arial" w:eastAsia="Arial" w:hAnsi="Arial"/>
          <w:sz w:val="16"/>
          <w:szCs w:val="16"/>
          <w:color w:val="auto"/>
        </w:rPr>
        <w:t>Parts and service sales decreased $62.5 million, or 13.7%, in 2009, compared to 2008. Aftermarket parts, service and body shop sales were negatively impacted by excess capacity during 2009, as many customers were able to put their excess new vehicle capacity into service, allowing them to delay repair and maintenance and use trucks not being utilized for replacement parts needs.</w:t>
      </w:r>
    </w:p>
    <w:p>
      <w:pPr>
        <w:spacing w:after="0" w:line="120"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color w:val="auto"/>
        </w:rPr>
        <w:t>Truck lease and rental revenues decreased $1.1 million, or 2.0%, in 2009, compared to 2008. The decrease in lease and rental revenue is primarily attributable to decreased utilization of vehicles in the Company’s rental fleet and decreased variable lease revenue that is based on the miles that vehicles being leased are driven.</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Finance and insurance revenues decreased $4.3 million, or 36.7%, in 2009, compared to 2008.</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Other income decreased $0.3 million, or 5.0% in 2009, compared to 2008.</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185" w:lineRule="exact"/>
        <w:rPr>
          <w:sz w:val="20"/>
          <w:szCs w:val="20"/>
          <w:color w:val="auto"/>
        </w:rPr>
      </w:pPr>
    </w:p>
    <w:p>
      <w:pPr>
        <w:jc w:val="both"/>
        <w:ind w:left="340" w:right="159" w:firstLine="778"/>
        <w:spacing w:after="0" w:line="302" w:lineRule="auto"/>
        <w:rPr>
          <w:sz w:val="20"/>
          <w:szCs w:val="20"/>
          <w:color w:val="auto"/>
        </w:rPr>
      </w:pPr>
      <w:r>
        <w:rPr>
          <w:rFonts w:ascii="Arial" w:cs="Arial" w:eastAsia="Arial" w:hAnsi="Arial"/>
          <w:sz w:val="16"/>
          <w:szCs w:val="16"/>
          <w:color w:val="auto"/>
        </w:rPr>
        <w:t>Gross profit decreased $64.6 million, or 23.0%, in 2009, compared to 2008. Gross profit as a percentage of sales increased to 18.0% in 2009, from 17.8% in 2008. This increase was primarily a result of a change in our product sales mix. Commercial vehicle sales, a lower margin revenue item, decreased as a percentage of total revenue to 59.6% in 2009, from 62.9% in 2008. Parts and service revenue, a higher margin revenue item, increased as a percentage of total revenue to 32.9% in 2009, from 29.1% in 2008.</w:t>
      </w:r>
    </w:p>
    <w:p>
      <w:pPr>
        <w:spacing w:after="0" w:line="114" w:lineRule="exact"/>
        <w:rPr>
          <w:sz w:val="20"/>
          <w:szCs w:val="20"/>
          <w:color w:val="auto"/>
        </w:rPr>
      </w:pPr>
    </w:p>
    <w:p>
      <w:pPr>
        <w:jc w:val="both"/>
        <w:ind w:left="340" w:right="159" w:firstLine="778"/>
        <w:spacing w:after="0" w:line="279" w:lineRule="auto"/>
        <w:rPr>
          <w:sz w:val="20"/>
          <w:szCs w:val="20"/>
          <w:color w:val="auto"/>
        </w:rPr>
      </w:pPr>
      <w:r>
        <w:rPr>
          <w:rFonts w:ascii="Arial" w:cs="Arial" w:eastAsia="Arial" w:hAnsi="Arial"/>
          <w:sz w:val="17"/>
          <w:szCs w:val="17"/>
          <w:color w:val="auto"/>
        </w:rPr>
        <w:t>Gross margins on Class 8 truck sales decreased to 5.8% in 2009, from 7.7% in 2008. Gross margins on Class 8 truck sales during 2009 were negatively impacted by a decreased demand for new trucks and a change in our product sales mix that included a higher percentage of large fleet sales, which are typically lower margin sales. The Company recorded expense of $5.8 million to increase its new heavy-duty truck valuation allowance in 2009 and $5.2 million in 2008.</w:t>
      </w:r>
    </w:p>
    <w:p>
      <w:pPr>
        <w:spacing w:after="0" w:line="144"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color w:val="auto"/>
        </w:rPr>
        <w:t>Gross margins on medium-duty commercial vehicle sales increased to 5.5% in 2009, from 5.1% in 2008. The Company recorded expense of $2.5 million to increase its new medium-duty commercial vehicle valuation allowance in 2009 and $1.7 million in 2008.</w:t>
      </w:r>
    </w:p>
    <w:p>
      <w:pPr>
        <w:spacing w:after="0" w:line="141"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color w:val="auto"/>
        </w:rPr>
        <w:t>Gross margins on used commercial vehicle sales increased to 6.9% in 2009, from 3.6% in 2008. This increase is primarily a result of write-downs of used commercial vehicle inventory values that caused gross margins on used commercial vehicle sales to decrease below normal levels in 2008. The Company recorded expense of $5.0 million to increase its used commercial vehicle valuation allowance in 2009 and $8.5 million in 2008.</w:t>
      </w:r>
    </w:p>
    <w:p>
      <w:pPr>
        <w:spacing w:after="0" w:line="146" w:lineRule="exact"/>
        <w:rPr>
          <w:sz w:val="20"/>
          <w:szCs w:val="20"/>
          <w:color w:val="auto"/>
        </w:rPr>
      </w:pPr>
    </w:p>
    <w:p>
      <w:pPr>
        <w:jc w:val="both"/>
        <w:ind w:left="340" w:right="179" w:firstLine="778"/>
        <w:spacing w:after="0" w:line="342" w:lineRule="auto"/>
        <w:rPr>
          <w:sz w:val="20"/>
          <w:szCs w:val="20"/>
          <w:color w:val="auto"/>
        </w:rPr>
      </w:pPr>
      <w:r>
        <w:rPr>
          <w:rFonts w:ascii="Arial" w:cs="Arial" w:eastAsia="Arial" w:hAnsi="Arial"/>
          <w:sz w:val="16"/>
          <w:szCs w:val="16"/>
          <w:color w:val="auto"/>
        </w:rPr>
        <w:t>Gross margins from the Company’s parts, service and body shop operations decreased to 38.8% in 2009, from 40.8% in 2008. Gross profit for the parts, service and body shop departments decreased to $153.2 million in 2009, from $186.9 million in 2008.</w:t>
      </w:r>
    </w:p>
    <w:p>
      <w:pPr>
        <w:spacing w:after="0" w:line="97" w:lineRule="exact"/>
        <w:rPr>
          <w:sz w:val="20"/>
          <w:szCs w:val="20"/>
          <w:color w:val="auto"/>
        </w:rPr>
      </w:pPr>
    </w:p>
    <w:p>
      <w:pPr>
        <w:jc w:val="both"/>
        <w:ind w:left="340" w:right="179" w:firstLine="778"/>
        <w:spacing w:after="0" w:line="286" w:lineRule="auto"/>
        <w:rPr>
          <w:sz w:val="20"/>
          <w:szCs w:val="20"/>
          <w:color w:val="auto"/>
        </w:rPr>
      </w:pPr>
      <w:r>
        <w:rPr>
          <w:rFonts w:ascii="Arial" w:cs="Arial" w:eastAsia="Arial" w:hAnsi="Arial"/>
          <w:sz w:val="17"/>
          <w:szCs w:val="17"/>
          <w:color w:val="auto"/>
        </w:rPr>
        <w:t>Gross margins from truck lease and rental sales decreased to 11.5% in 2009, from approximately 14.5% in 2008. The decrease in lease and rental revenue is primarily attributable to decreased utilization of vehicles in the Company’s rental fleet and decreased variable rental revenue that is based on the miles that vehicles being leased are driven.</w:t>
      </w:r>
    </w:p>
    <w:p>
      <w:pPr>
        <w:spacing w:after="0" w:line="200" w:lineRule="exact"/>
        <w:rPr>
          <w:sz w:val="20"/>
          <w:szCs w:val="20"/>
          <w:color w:val="auto"/>
        </w:rPr>
      </w:pPr>
    </w:p>
    <w:p>
      <w:pPr>
        <w:spacing w:after="0" w:line="31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77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ind w:left="340" w:right="159" w:firstLine="778"/>
        <w:spacing w:after="0" w:line="259" w:lineRule="auto"/>
        <w:rPr>
          <w:sz w:val="20"/>
          <w:szCs w:val="20"/>
          <w:color w:val="auto"/>
        </w:rPr>
      </w:pPr>
      <w:r>
        <w:rPr>
          <w:rFonts w:ascii="Arial" w:cs="Arial" w:eastAsia="Arial" w:hAnsi="Arial"/>
          <w:sz w:val="18"/>
          <w:szCs w:val="18"/>
          <w:color w:val="auto"/>
        </w:rPr>
        <w:t>Selling, General and Administrative (“SG&amp;A”) expenses decreased $26.5 million, or 12.1%, in 2009, compared to 2008. SG&amp;A expenses as a percentage of sales increased to 16.0% in 2009, from 13.9% in 2008. In 2009, the selling portion of SG&amp;A expenses, which consists primarily of commissions on commercial vehicle sales, decreased 26.6% and the general and administrative portion of SG&amp;A expenses decreased 10.7% compared to 2008.</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Net</w:t>
      </w:r>
    </w:p>
    <w:p>
      <w:pPr>
        <w:spacing w:after="0" w:line="19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Net interest expense decreased $1.5 million, or 21.2%, in 2009, compared to 2008.</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185" w:lineRule="exact"/>
        <w:rPr>
          <w:sz w:val="20"/>
          <w:szCs w:val="20"/>
          <w:color w:val="auto"/>
        </w:rPr>
      </w:pPr>
    </w:p>
    <w:p>
      <w:pPr>
        <w:jc w:val="both"/>
        <w:ind w:left="340" w:right="179" w:firstLine="778"/>
        <w:spacing w:after="0" w:line="277" w:lineRule="auto"/>
        <w:rPr>
          <w:sz w:val="20"/>
          <w:szCs w:val="20"/>
          <w:color w:val="auto"/>
        </w:rPr>
      </w:pPr>
      <w:r>
        <w:rPr>
          <w:rFonts w:ascii="Arial" w:cs="Arial" w:eastAsia="Arial" w:hAnsi="Arial"/>
          <w:sz w:val="18"/>
          <w:szCs w:val="18"/>
          <w:color w:val="auto"/>
        </w:rPr>
        <w:t>Income before income taxes decreased $37.1 million, or 95.1%, in 2009, compared to 2008, as a result of the factors described above.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ind w:left="340" w:right="179" w:firstLine="778"/>
        <w:spacing w:after="0" w:line="277" w:lineRule="auto"/>
        <w:rPr>
          <w:sz w:val="20"/>
          <w:szCs w:val="20"/>
          <w:color w:val="auto"/>
        </w:rPr>
      </w:pPr>
      <w:r>
        <w:rPr>
          <w:rFonts w:ascii="Arial" w:cs="Arial" w:eastAsia="Arial" w:hAnsi="Arial"/>
          <w:sz w:val="18"/>
          <w:szCs w:val="18"/>
          <w:color w:val="auto"/>
        </w:rPr>
        <w:t>Income taxes decreased $17.0 million, or 122.9%, in 2009, compared to 2008. In 2009, the Company received $5.3 million in tax credits for sales of alternative fuel vehicles to tax-exempt entities, compared to $0.7 million in 2008.</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Discontinued Operations, net</w:t>
      </w:r>
    </w:p>
    <w:p>
      <w:pPr>
        <w:spacing w:after="0" w:line="198" w:lineRule="exact"/>
        <w:rPr>
          <w:sz w:val="20"/>
          <w:szCs w:val="20"/>
          <w:color w:val="auto"/>
        </w:rPr>
      </w:pPr>
    </w:p>
    <w:p>
      <w:pPr>
        <w:jc w:val="both"/>
        <w:ind w:left="340" w:right="179" w:firstLine="778"/>
        <w:spacing w:after="0" w:line="277" w:lineRule="auto"/>
        <w:rPr>
          <w:sz w:val="20"/>
          <w:szCs w:val="20"/>
          <w:color w:val="auto"/>
        </w:rPr>
      </w:pPr>
      <w:r>
        <w:rPr>
          <w:rFonts w:ascii="Arial" w:cs="Arial" w:eastAsia="Arial" w:hAnsi="Arial"/>
          <w:sz w:val="18"/>
          <w:szCs w:val="18"/>
          <w:color w:val="auto"/>
        </w:rPr>
        <w:t>Income from discontinued operations, net of income taxes decreased $2.9 million in 2009 compared to 2008. Income from discontinued operations includes operating results for the Company’s construction equipment business.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Effects of Inflation</w:t>
      </w:r>
    </w:p>
    <w:p>
      <w:pPr>
        <w:spacing w:after="0" w:line="189"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Inflationary factors such as increases in the cost of products and overhead costs may adversely affect the Company’s operating results. Although the Company does not believe that inflation has had a material impact on its financial position or results of operations to date, a high rate of inflation in the future may have an adverse effect on its ability to maintain current levels of gross margin and selling, general and administrative expenses as a percentage of revenues if the selling prices of our products do not increase with these increased costs.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340" w:right="159" w:firstLine="778"/>
        <w:spacing w:after="0" w:line="291" w:lineRule="auto"/>
        <w:rPr>
          <w:sz w:val="20"/>
          <w:szCs w:val="20"/>
          <w:color w:val="auto"/>
        </w:rPr>
      </w:pPr>
      <w:r>
        <w:rPr>
          <w:rFonts w:ascii="Arial" w:cs="Arial" w:eastAsia="Arial" w:hAnsi="Arial"/>
          <w:sz w:val="16"/>
          <w:szCs w:val="16"/>
          <w:color w:val="auto"/>
        </w:rPr>
        <w:t>The Company’s short-term cash requirements are primarily for working capital, inventory financing, the improvement and expansion of existing facilities, the development and implementation of SAP enterprise software and dealership management system, and the construction of new facilities. Historically, these cash requirements have been met through the retention of profits, borrowings under our floor plan arrangements and bank financings. The Company does not expect the absence of cash flows from discontinued operations to materially affect future liquidity and capital resources. As of December 31, 2010, the Company had working capital of approximately $143.8 million, including $169.0 million in cash available to fund our operations. The Company believes that these funds are sufficient to meet any operating requirements for at least the next twelve months.</w:t>
      </w:r>
    </w:p>
    <w:p>
      <w:pPr>
        <w:spacing w:after="0" w:line="127" w:lineRule="exact"/>
        <w:rPr>
          <w:sz w:val="20"/>
          <w:szCs w:val="20"/>
          <w:color w:val="auto"/>
        </w:rPr>
      </w:pPr>
    </w:p>
    <w:p>
      <w:pPr>
        <w:jc w:val="both"/>
        <w:ind w:left="340" w:right="179" w:firstLine="778"/>
        <w:spacing w:after="0" w:line="273" w:lineRule="auto"/>
        <w:rPr>
          <w:sz w:val="20"/>
          <w:szCs w:val="20"/>
          <w:color w:val="auto"/>
        </w:rPr>
      </w:pPr>
      <w:r>
        <w:rPr>
          <w:rFonts w:ascii="Arial" w:cs="Arial" w:eastAsia="Arial" w:hAnsi="Arial"/>
          <w:sz w:val="17"/>
          <w:szCs w:val="17"/>
          <w:color w:val="auto"/>
        </w:rPr>
        <w:t>Available cash is generally invested in variable interest rate instruments in accordance with the Company’s investment policy which is to invest excess funds in a manner that will provide maximum preservation and safety of principal. The portfolio is maintained to meet anticipated liquidity needs of the Company in order to ensure the availability of cash to meet the Company’s obligations and to minimize potential liquidation losses. As of December 31, 2010, the majority of excess cash is maintained in a depository account or invested in a money market fund that invests exclusively in U.S. Treasury bills, notes and other obligations issued or guaranteed by the U.S. Treasury, and repurchase agreements collateralized by such obligations.</w:t>
      </w:r>
    </w:p>
    <w:p>
      <w:pPr>
        <w:spacing w:after="0" w:line="200" w:lineRule="exact"/>
        <w:rPr>
          <w:sz w:val="20"/>
          <w:szCs w:val="20"/>
          <w:color w:val="auto"/>
        </w:rPr>
      </w:pPr>
    </w:p>
    <w:p>
      <w:pPr>
        <w:spacing w:after="0" w:line="3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778"/>
        <w:spacing w:after="0" w:line="312" w:lineRule="auto"/>
        <w:rPr>
          <w:sz w:val="20"/>
          <w:szCs w:val="20"/>
          <w:color w:val="auto"/>
        </w:rPr>
      </w:pPr>
      <w:r>
        <w:rPr>
          <w:rFonts w:ascii="Arial" w:cs="Arial" w:eastAsia="Arial" w:hAnsi="Arial"/>
          <w:sz w:val="16"/>
          <w:szCs w:val="16"/>
          <w:color w:val="auto"/>
        </w:rPr>
        <w:t>The Company has a secured line of credit that provides for a maximum borrowing of $8.0 million. There were no advances outstanding under this secured line of credit at December 31, 2010, however, $7.1 million was pledged to secure various letters of credit related to self-insurance products, leaving $0.9 million available for future borrowings as of December 31, 2010.</w:t>
      </w:r>
    </w:p>
    <w:p>
      <w:pPr>
        <w:spacing w:after="0" w:line="120"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The Company’s long-term real estate debt agreements and floor plan credit agreement require the Company to satisfy various financial ratios such as the debt to worth ratio, leverage ratio and the fixed charge coverage ratio and certain requirements for tangible net worth and GAAP net worth. At December 31, 2010, the Company was in compliance with all debt covenants related to debt secured by real estate and its floor plan credit agreement. The Company does not anticipate any breach of the covenants in the foreseeable future.</w:t>
      </w:r>
    </w:p>
    <w:p>
      <w:pPr>
        <w:spacing w:after="0" w:line="148" w:lineRule="exact"/>
        <w:rPr>
          <w:sz w:val="20"/>
          <w:szCs w:val="20"/>
          <w:color w:val="auto"/>
        </w:rPr>
      </w:pPr>
    </w:p>
    <w:p>
      <w:pPr>
        <w:jc w:val="both"/>
        <w:ind w:left="340" w:right="159" w:firstLine="778"/>
        <w:spacing w:after="0" w:line="279" w:lineRule="auto"/>
        <w:rPr>
          <w:sz w:val="20"/>
          <w:szCs w:val="20"/>
          <w:color w:val="auto"/>
        </w:rPr>
      </w:pPr>
      <w:r>
        <w:rPr>
          <w:rFonts w:ascii="Arial" w:cs="Arial" w:eastAsia="Arial" w:hAnsi="Arial"/>
          <w:sz w:val="17"/>
          <w:szCs w:val="17"/>
          <w:color w:val="auto"/>
        </w:rPr>
        <w:t>Titan Technology Partners is currently implementing SAP enterprise software and a new SAP dealership management system for the Company. The total cost of the SAP software and implementation is estimated to be approximately $39.0 million. As of December 31, 2010, the Company had cumulative expenditures of $36.2 million related to the SAP project. The Company expects to spend approximately $2.5 million to $3.0 million related to the SAP project during 2011.</w:t>
      </w:r>
    </w:p>
    <w:p>
      <w:pPr>
        <w:spacing w:after="0" w:line="131" w:lineRule="exact"/>
        <w:rPr>
          <w:sz w:val="20"/>
          <w:szCs w:val="20"/>
          <w:color w:val="auto"/>
        </w:rPr>
      </w:pPr>
    </w:p>
    <w:p>
      <w:pPr>
        <w:jc w:val="both"/>
        <w:ind w:left="340" w:right="179" w:firstLine="778"/>
        <w:spacing w:after="0" w:line="277" w:lineRule="auto"/>
        <w:rPr>
          <w:sz w:val="20"/>
          <w:szCs w:val="20"/>
          <w:color w:val="auto"/>
        </w:rPr>
      </w:pPr>
      <w:r>
        <w:rPr>
          <w:rFonts w:ascii="Arial" w:cs="Arial" w:eastAsia="Arial" w:hAnsi="Arial"/>
          <w:sz w:val="18"/>
          <w:szCs w:val="18"/>
          <w:color w:val="auto"/>
        </w:rPr>
        <w:t>The Company also expects to make capital expenditures for recurring items such as computers, shop tools and equipment and vehicles of approximately $15.0 million during 2011.</w:t>
      </w:r>
    </w:p>
    <w:p>
      <w:pPr>
        <w:spacing w:after="0" w:line="143"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The Company currently anticipates funding its capital expenditures relating to the implementation of the SAP enterprise software and SAP dealership management system, improvement and expansion of existing facilities, construction of new facilities, recurring expenses and any stock repurchases through its operating cash flow. The Company expects to finance 70% to 80% of the appraised value of any newly constructed or purchased facilities, which will increase the Company’s cash and cash equivalents by that amount.</w:t>
      </w:r>
    </w:p>
    <w:p>
      <w:pPr>
        <w:spacing w:after="0" w:line="148" w:lineRule="exact"/>
        <w:rPr>
          <w:sz w:val="20"/>
          <w:szCs w:val="20"/>
          <w:color w:val="auto"/>
        </w:rPr>
      </w:pPr>
    </w:p>
    <w:p>
      <w:pPr>
        <w:jc w:val="both"/>
        <w:ind w:left="340" w:right="159" w:firstLine="778"/>
        <w:spacing w:after="0" w:line="312" w:lineRule="auto"/>
        <w:rPr>
          <w:sz w:val="20"/>
          <w:szCs w:val="20"/>
          <w:color w:val="auto"/>
        </w:rPr>
      </w:pPr>
      <w:r>
        <w:rPr>
          <w:rFonts w:ascii="Arial" w:cs="Arial" w:eastAsia="Arial" w:hAnsi="Arial"/>
          <w:sz w:val="16"/>
          <w:szCs w:val="16"/>
          <w:color w:val="auto"/>
        </w:rPr>
        <w:t>On February 21, 2011, the Company acquired certain assets of Heintzelman’s Truck Center, Inc., which consisted of a Ford commercial vehicle dealership in Orlando, Florida. The Company is operating the facility as a full-service Rush Truck Center offering medium-duty trucks, parts and service. The transaction was valued at approximately $4.7 million, with the purchase price paid in cash.</w:t>
      </w:r>
    </w:p>
    <w:p>
      <w:pPr>
        <w:spacing w:after="0" w:line="106" w:lineRule="exact"/>
        <w:rPr>
          <w:sz w:val="20"/>
          <w:szCs w:val="20"/>
          <w:color w:val="auto"/>
        </w:rPr>
      </w:pPr>
    </w:p>
    <w:p>
      <w:pPr>
        <w:jc w:val="both"/>
        <w:ind w:left="340" w:right="159" w:firstLine="778"/>
        <w:spacing w:after="0" w:line="277" w:lineRule="auto"/>
        <w:rPr>
          <w:sz w:val="20"/>
          <w:szCs w:val="20"/>
          <w:color w:val="auto"/>
        </w:rPr>
      </w:pPr>
      <w:r>
        <w:rPr>
          <w:rFonts w:ascii="Arial" w:cs="Arial" w:eastAsia="Arial" w:hAnsi="Arial"/>
          <w:sz w:val="18"/>
          <w:szCs w:val="18"/>
          <w:color w:val="auto"/>
        </w:rPr>
        <w:t>The Company is currently under contract to construct a dealership facility in Fort Worth, Texas at an estimated cost of $4.8 million. The construction project will continue throughout 2011.</w:t>
      </w:r>
    </w:p>
    <w:p>
      <w:pPr>
        <w:spacing w:after="0" w:line="143" w:lineRule="exact"/>
        <w:rPr>
          <w:sz w:val="20"/>
          <w:szCs w:val="20"/>
          <w:color w:val="auto"/>
        </w:rPr>
      </w:pPr>
    </w:p>
    <w:p>
      <w:pPr>
        <w:jc w:val="both"/>
        <w:ind w:left="340" w:right="159" w:firstLine="778"/>
        <w:spacing w:after="0" w:line="297" w:lineRule="auto"/>
        <w:rPr>
          <w:sz w:val="20"/>
          <w:szCs w:val="20"/>
          <w:color w:val="auto"/>
        </w:rPr>
      </w:pPr>
      <w:r>
        <w:rPr>
          <w:rFonts w:ascii="Arial" w:cs="Arial" w:eastAsia="Arial" w:hAnsi="Arial"/>
          <w:sz w:val="16"/>
          <w:szCs w:val="16"/>
          <w:color w:val="auto"/>
        </w:rPr>
        <w:t>As previously mentioned, the Company has entered into agreements to purchase certain assets of Asbury Automotive Atlanta, LLC. The Company anticipates that the purchase price for the assets of Asbury Automotive Atlanta, LLC, will be paid in cash and partially financed under the Company’s floor plan and accounts receivable financing arrangements and the incurrence of long-term debt for the real estate. The completion of the acquisition is subject to several closing conditions, including the approval of the non-Peterbilt manufacturers currently represented by Nalley Motor Trucks, and is expected to close in the first quarter of 2011.</w:t>
      </w:r>
    </w:p>
    <w:p>
      <w:pPr>
        <w:spacing w:after="0" w:line="118"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The Company has no other material commitments for capital expenditures as of December 31, 2010, except that the Company will continue to purchase vehicles for its lease and rental division and authorize capital expenditures for improvement and expansion of its existing dealership facilities and construction of new facilities based on market opportunities. The Company expects to purchase or lease trucks worth approximately $55.0 million for its leasing operations in 2011, depending on customer demand, all of which will be financed.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202" w:lineRule="exact"/>
        <w:rPr>
          <w:sz w:val="20"/>
          <w:szCs w:val="20"/>
          <w:color w:val="auto"/>
        </w:rPr>
      </w:pPr>
    </w:p>
    <w:p>
      <w:pPr>
        <w:jc w:val="both"/>
        <w:ind w:left="340" w:right="159" w:firstLine="778"/>
        <w:spacing w:after="0" w:line="286" w:lineRule="auto"/>
        <w:rPr>
          <w:sz w:val="20"/>
          <w:szCs w:val="20"/>
          <w:color w:val="auto"/>
        </w:rPr>
      </w:pPr>
      <w:r>
        <w:rPr>
          <w:rFonts w:ascii="Arial" w:cs="Arial" w:eastAsia="Arial" w:hAnsi="Arial"/>
          <w:sz w:val="17"/>
          <w:szCs w:val="17"/>
          <w:color w:val="auto"/>
        </w:rPr>
        <w:t>Cash and cash equivalents increased by $19.9 million during the year ended December 31, 2010, and decreased by $2.7 million during the year ended December 31, 2009. The major components of these changes are discussed below. Cash flows from discontinued operations are included in the components of the statement of cash flows as described below.</w:t>
      </w:r>
    </w:p>
    <w:p>
      <w:pPr>
        <w:spacing w:after="0" w:line="200" w:lineRule="exact"/>
        <w:rPr>
          <w:sz w:val="20"/>
          <w:szCs w:val="20"/>
          <w:color w:val="auto"/>
        </w:rPr>
      </w:pPr>
    </w:p>
    <w:p>
      <w:pPr>
        <w:spacing w:after="0" w:line="31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98" w:lineRule="exact"/>
        <w:rPr>
          <w:sz w:val="20"/>
          <w:szCs w:val="20"/>
          <w:color w:val="auto"/>
        </w:rPr>
      </w:pPr>
    </w:p>
    <w:p>
      <w:pPr>
        <w:jc w:val="both"/>
        <w:ind w:left="340" w:right="159" w:firstLine="778"/>
        <w:spacing w:after="0" w:line="297" w:lineRule="auto"/>
        <w:rPr>
          <w:sz w:val="20"/>
          <w:szCs w:val="20"/>
          <w:color w:val="auto"/>
        </w:rPr>
      </w:pPr>
      <w:r>
        <w:rPr>
          <w:rFonts w:ascii="Arial" w:cs="Arial" w:eastAsia="Arial" w:hAnsi="Arial"/>
          <w:sz w:val="16"/>
          <w:szCs w:val="16"/>
          <w:color w:val="auto"/>
        </w:rPr>
        <w:t>Cash flows from operating activities include net income adjusted for non-cash items and the effects of changes in working capital. During 2010, operating activities resulted in net cash provided by operations of $66.4 million. Cash provided by operating activities was primarily impacted by the increased levels of inventory and the increase in other current assets, offset by increases in accounts payable and accrued expenses. The majority of commercial vehicle inventory is financed through the Company’s floor plan credit agreement. During 2009, operating activities resulted in net cash provided by operations of $150.3 million.</w:t>
      </w:r>
    </w:p>
    <w:p>
      <w:pPr>
        <w:spacing w:after="0" w:line="118" w:lineRule="exact"/>
        <w:rPr>
          <w:sz w:val="20"/>
          <w:szCs w:val="20"/>
          <w:color w:val="auto"/>
        </w:rPr>
      </w:pPr>
    </w:p>
    <w:p>
      <w:pPr>
        <w:jc w:val="both"/>
        <w:ind w:left="340" w:right="159" w:firstLine="778"/>
        <w:spacing w:after="0" w:line="272" w:lineRule="auto"/>
        <w:rPr>
          <w:sz w:val="20"/>
          <w:szCs w:val="20"/>
          <w:color w:val="auto"/>
        </w:rPr>
      </w:pPr>
      <w:r>
        <w:rPr>
          <w:rFonts w:ascii="Arial" w:cs="Arial" w:eastAsia="Arial" w:hAnsi="Arial"/>
          <w:sz w:val="17"/>
          <w:szCs w:val="17"/>
          <w:color w:val="auto"/>
        </w:rPr>
        <w:t>Cash flows from operating activities as adjusted for all draws and (payments) on floor plan notes (“Adjusted Cash Flows from Operating Activities”) was $110.2 million for the year ended December 31, 2010, and $56.8 million for the year ended December 31, 2009. Generally, all vehicle dealers finance the purchase of vehicles with floor plan borrowings, and our agreements with our floor plan providers require us to repay amounts borrowed for the purchase of such vehicles immediately after they are sold. As a result, changes in floor plan notes payable are directly linked to changes in vehicle inventory. However, as reflected in our consolidated statements of cash flows, changes in inventory are recorded as cash flows from operating activities, and draws and (payments) on floor plan notes are recorded as cash flows from financing activities.</w:t>
      </w:r>
    </w:p>
    <w:p>
      <w:pPr>
        <w:spacing w:after="0" w:line="137" w:lineRule="exact"/>
        <w:rPr>
          <w:sz w:val="20"/>
          <w:szCs w:val="20"/>
          <w:color w:val="auto"/>
        </w:rPr>
      </w:pPr>
    </w:p>
    <w:p>
      <w:pPr>
        <w:jc w:val="both"/>
        <w:ind w:left="340" w:right="179" w:firstLine="778"/>
        <w:spacing w:after="0" w:line="259" w:lineRule="auto"/>
        <w:rPr>
          <w:sz w:val="20"/>
          <w:szCs w:val="20"/>
          <w:color w:val="auto"/>
        </w:rPr>
      </w:pPr>
      <w:r>
        <w:rPr>
          <w:rFonts w:ascii="Arial" w:cs="Arial" w:eastAsia="Arial" w:hAnsi="Arial"/>
          <w:sz w:val="18"/>
          <w:szCs w:val="18"/>
          <w:color w:val="auto"/>
        </w:rPr>
        <w:t>Management believes that information about Adjusted Cash Flows from Operating Activities provides investors with a relevant measure of liquidity and a useful basis for assessing the Company’s ability to fund its activities and obligations from operating activities. Floor plan notes payable is classified as a current liability and, therefore, is included in the working capital amounts discussed above.</w:t>
      </w:r>
    </w:p>
    <w:p>
      <w:pPr>
        <w:spacing w:after="0" w:line="160" w:lineRule="exact"/>
        <w:rPr>
          <w:sz w:val="20"/>
          <w:szCs w:val="20"/>
          <w:color w:val="auto"/>
        </w:rPr>
      </w:pPr>
    </w:p>
    <w:p>
      <w:pPr>
        <w:jc w:val="both"/>
        <w:ind w:left="340" w:right="159" w:firstLine="778"/>
        <w:spacing w:after="0" w:line="273" w:lineRule="auto"/>
        <w:rPr>
          <w:sz w:val="20"/>
          <w:szCs w:val="20"/>
          <w:color w:val="auto"/>
        </w:rPr>
      </w:pPr>
      <w:r>
        <w:rPr>
          <w:rFonts w:ascii="Arial" w:cs="Arial" w:eastAsia="Arial" w:hAnsi="Arial"/>
          <w:sz w:val="17"/>
          <w:szCs w:val="17"/>
          <w:color w:val="auto"/>
        </w:rPr>
        <w:t>Adjusted Cash Flows from Operating Activities is a non-GAAP financial measure and should be considered in addition to, and not as a substitute for, cash flows from operating activities as reported in our consolidated statements of cash flows in accordance with U.S. GAAP. Additionally, this measure may vary among other companies; thus, Adjusted Cash Flows from Operating Activities as presented herein may not be comparable to similarly titled non-GAAP financial measures of other companies. Set forth below is a reconciliation of cash flow from operating activities as reported in our consolidated statement of cash flows, as if all changes in floor plan notes payable were classified as an operating activity (in thousands).</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5"/>
          </w:tcPr>
          <w:p>
            <w:pPr>
              <w:jc w:val="right"/>
              <w:ind w:right="320"/>
              <w:spacing w:after="0"/>
              <w:rPr>
                <w:sz w:val="20"/>
                <w:szCs w:val="20"/>
                <w:color w:val="auto"/>
              </w:rPr>
            </w:pPr>
            <w:r>
              <w:rPr>
                <w:rFonts w:ascii="Arial" w:cs="Arial" w:eastAsia="Arial" w:hAnsi="Arial"/>
                <w:sz w:val="18"/>
                <w:szCs w:val="18"/>
                <w:color w:val="auto"/>
                <w:w w:val="90"/>
              </w:rPr>
              <w:t>Year Ended December 31,</w:t>
            </w:r>
          </w:p>
        </w:tc>
      </w:tr>
      <w:tr>
        <w:trPr>
          <w:trHeight w:val="210"/>
        </w:trPr>
        <w:tc>
          <w:tcPr>
            <w:tcW w:w="5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r>
      <w:tr>
        <w:trPr>
          <w:trHeight w:val="210"/>
        </w:trPr>
        <w:tc>
          <w:tcPr>
            <w:tcW w:w="5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(GAAP)</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66,433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150,293</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(Payments) draws on floor plan notes payable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43,724</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(93,446)</w:t>
            </w:r>
          </w:p>
        </w:tc>
      </w:tr>
      <w:tr>
        <w:trPr>
          <w:trHeight w:val="223"/>
        </w:trPr>
        <w:tc>
          <w:tcPr>
            <w:tcW w:w="5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Adjusted Cash Flows from Operating Activities (Non-GAAP)</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110,157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56,847</w:t>
            </w:r>
          </w:p>
        </w:tc>
      </w:tr>
      <w:tr>
        <w:trPr>
          <w:trHeight w:val="20"/>
        </w:trPr>
        <w:tc>
          <w:tcPr>
            <w:tcW w:w="5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85" w:lineRule="exact"/>
        <w:rPr>
          <w:sz w:val="20"/>
          <w:szCs w:val="20"/>
          <w:color w:val="auto"/>
        </w:rPr>
      </w:pPr>
    </w:p>
    <w:p>
      <w:pPr>
        <w:jc w:val="both"/>
        <w:ind w:left="340" w:right="159" w:firstLine="778"/>
        <w:spacing w:after="0" w:line="269" w:lineRule="auto"/>
        <w:rPr>
          <w:sz w:val="20"/>
          <w:szCs w:val="20"/>
          <w:color w:val="auto"/>
        </w:rPr>
      </w:pPr>
      <w:r>
        <w:rPr>
          <w:rFonts w:ascii="Arial" w:cs="Arial" w:eastAsia="Arial" w:hAnsi="Arial"/>
          <w:sz w:val="17"/>
          <w:szCs w:val="17"/>
          <w:color w:val="auto"/>
        </w:rPr>
        <w:t>During 2010, cash used in investing activities was $96.7 million. Cash flows used in investing activities consist primarily of cash used for capital expenditures and business acquisitions offset by proceeds from the sale of Rush Equipment Centers. Capital expenditures of $84.3 million consisted of purchases of property and equipment, improvements to our existing dealerships and the purchase of a dealership facility in Phoenix, Arizona. Property and equipment purchases during 2010 consisted of $47.5 million for additional units for the rental and leasing operations, which was directly offset by borrowings of long-term debt. The Company expects to purchase or lease trucks worth approximately $55.0 million for its leasing operations in 2011, depending on customer demand, all of which will be financed. Cash proceeds from the disposition of Rush Equipment Centers were $26.2 million. Cash used in business acquisitions was $39.3 million during the year ended December 31, 2010. During 2011, the Company expects to make capital expenditures for recurring items such as computers, shop equipment and vehicles of approximately $15.0 million, in addition to $2.5 million to $3.0 million for the SAP project described above. See Note 16 of the Notes to Consolidated Financial Statements for a detailed discussion of these acquisitions.</w:t>
      </w:r>
    </w:p>
    <w:p>
      <w:pPr>
        <w:spacing w:after="0" w:line="156" w:lineRule="exact"/>
        <w:rPr>
          <w:sz w:val="20"/>
          <w:szCs w:val="20"/>
          <w:color w:val="auto"/>
        </w:rPr>
      </w:pPr>
    </w:p>
    <w:p>
      <w:pPr>
        <w:jc w:val="both"/>
        <w:ind w:left="340" w:right="179" w:firstLine="778"/>
        <w:spacing w:after="0" w:line="257" w:lineRule="auto"/>
        <w:rPr>
          <w:sz w:val="20"/>
          <w:szCs w:val="20"/>
          <w:color w:val="auto"/>
        </w:rPr>
      </w:pPr>
      <w:r>
        <w:rPr>
          <w:rFonts w:ascii="Arial" w:cs="Arial" w:eastAsia="Arial" w:hAnsi="Arial"/>
          <w:sz w:val="18"/>
          <w:szCs w:val="18"/>
          <w:color w:val="auto"/>
        </w:rPr>
        <w:t>During 2009, cash used in investing activities was $49.8 million. Cash flows used in investing activities consist primarily of cash used for capital expenditures. Capital expenditures of $50.5 million consisted of purchases of property and equipment, improvements to our existing dealership facilities and construction of our new facility in Oklahoma City, Oklahoma. Property and equipment purchases during 2009 consisted of $21.2 million for additional units for the rental and leasing operations, which was directly offset by borrowings of long-term debt.</w:t>
      </w: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98" w:lineRule="exact"/>
        <w:rPr>
          <w:sz w:val="20"/>
          <w:szCs w:val="20"/>
          <w:color w:val="auto"/>
        </w:rPr>
      </w:pPr>
    </w:p>
    <w:p>
      <w:pPr>
        <w:jc w:val="both"/>
        <w:ind w:left="340" w:right="159" w:firstLine="778"/>
        <w:spacing w:after="0" w:line="276" w:lineRule="auto"/>
        <w:rPr>
          <w:sz w:val="20"/>
          <w:szCs w:val="20"/>
          <w:color w:val="auto"/>
        </w:rPr>
      </w:pPr>
      <w:r>
        <w:rPr>
          <w:rFonts w:ascii="Arial" w:cs="Arial" w:eastAsia="Arial" w:hAnsi="Arial"/>
          <w:sz w:val="17"/>
          <w:szCs w:val="17"/>
          <w:color w:val="auto"/>
        </w:rPr>
        <w:t>Cash flows used in financing activities include borrowings and repayments of long-term debt and net payments of floor plan notes payable. Cash provided by financing activities was $50.2 million during 2010. The Company had borrowings of long-term debt of $66.6 million and repayments of long-term debt and capital lease obligations of $63.2 million during 2010. The Company had net borrowings of floor plan notes payable of $43.7 million during 2010. The borrowings of long-term debt were primarily related to units for the rental and leasing operations, refinancing existing real estate.</w:t>
      </w:r>
    </w:p>
    <w:p>
      <w:pPr>
        <w:spacing w:after="0" w:line="132" w:lineRule="exact"/>
        <w:rPr>
          <w:sz w:val="20"/>
          <w:szCs w:val="20"/>
          <w:color w:val="auto"/>
        </w:rPr>
      </w:pPr>
    </w:p>
    <w:p>
      <w:pPr>
        <w:jc w:val="both"/>
        <w:ind w:left="340" w:right="159" w:firstLine="778"/>
        <w:spacing w:after="0" w:line="302" w:lineRule="auto"/>
        <w:rPr>
          <w:sz w:val="20"/>
          <w:szCs w:val="20"/>
          <w:color w:val="auto"/>
        </w:rPr>
      </w:pPr>
      <w:r>
        <w:rPr>
          <w:rFonts w:ascii="Arial" w:cs="Arial" w:eastAsia="Arial" w:hAnsi="Arial"/>
          <w:sz w:val="16"/>
          <w:szCs w:val="16"/>
          <w:color w:val="auto"/>
        </w:rPr>
        <w:t>Cash used in financing activities was $97.9 million during 2009. The Company had borrowings of long-term debt of $50.4 million and repayments of long-term debt and capital lease obligations of $55.3 million during 2009. The Company had net payments of floor plan notes payable of $93.4 million during 2009. The borrowings of long-term debt were primarily related to units for the rental and leasing operations, refinancing existing real estate and financing the new Rush Truck Center in Oklahoma City.</w:t>
      </w:r>
    </w:p>
    <w:p>
      <w:pPr>
        <w:spacing w:after="0" w:line="114" w:lineRule="exact"/>
        <w:rPr>
          <w:sz w:val="20"/>
          <w:szCs w:val="20"/>
          <w:color w:val="auto"/>
        </w:rPr>
      </w:pPr>
    </w:p>
    <w:p>
      <w:pPr>
        <w:jc w:val="both"/>
        <w:ind w:left="340" w:right="159" w:firstLine="778"/>
        <w:spacing w:after="0" w:line="255" w:lineRule="auto"/>
        <w:rPr>
          <w:sz w:val="20"/>
          <w:szCs w:val="20"/>
          <w:color w:val="auto"/>
        </w:rPr>
      </w:pPr>
      <w:r>
        <w:rPr>
          <w:rFonts w:ascii="Arial" w:cs="Arial" w:eastAsia="Arial" w:hAnsi="Arial"/>
          <w:sz w:val="18"/>
          <w:szCs w:val="18"/>
          <w:color w:val="auto"/>
        </w:rPr>
        <w:t>Substantially all of the Company’s commercial vehicle purchases are made on terms requiring payment within 15 days or less from the date the commercial vehicles are invoiced from the factory. We financed substantially all of the purchases of commercial vehicle inventory under our wholesale security agreement with GE Capital. Interest under the wholesale security agreement was payable monthly and the rate varied from LIBOR plus 1.15% to LIBOR plus 1.50%, depending on the month-end average aggregate amount outstanding under our GE Capital floor plan financing agreement. The Company makes monthly interest payments to GE Capital on the amount financed, but is not required to commence loan principal repayments on any vehicle until such vehicle has been financed for 12 months or is sold.</w:t>
      </w:r>
    </w:p>
    <w:p>
      <w:pPr>
        <w:spacing w:after="0" w:line="162"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On December 31, 2010 the Company entered into a $450.0 million credit agreement with GE Capital to replace the wholesale security agreement. All principal amounts outstanding bear interest at a rate per annum equal to the sum of the LIBOR rate plus 2.95% which is payable monthly. The credit agreement allows for prepayment of the inventory loans, up to 65% of the aggregate inventory loans outstanding, with monthly adjustments to the interest due. On December 31, 2010, the Company had approximately $229.9 million outstanding under its credit agreement with GE Capital.</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Cyclicality</w:t>
      </w:r>
    </w:p>
    <w:p>
      <w:pPr>
        <w:spacing w:after="0" w:line="189" w:lineRule="exact"/>
        <w:rPr>
          <w:sz w:val="20"/>
          <w:szCs w:val="20"/>
          <w:color w:val="auto"/>
        </w:rPr>
      </w:pPr>
    </w:p>
    <w:p>
      <w:pPr>
        <w:jc w:val="both"/>
        <w:ind w:left="340" w:right="159" w:firstLine="778"/>
        <w:spacing w:after="0" w:line="271" w:lineRule="auto"/>
        <w:rPr>
          <w:sz w:val="20"/>
          <w:szCs w:val="20"/>
          <w:color w:val="auto"/>
        </w:rPr>
      </w:pPr>
      <w:r>
        <w:rPr>
          <w:rFonts w:ascii="Arial" w:cs="Arial" w:eastAsia="Arial" w:hAnsi="Arial"/>
          <w:sz w:val="17"/>
          <w:szCs w:val="17"/>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 A summary of our operating lease obligations by fiscal year is included in the “Contractual Obligations” section below.</w:t>
      </w: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left="340" w:right="159" w:firstLine="778"/>
        <w:spacing w:after="0" w:line="277" w:lineRule="auto"/>
        <w:rPr>
          <w:sz w:val="20"/>
          <w:szCs w:val="20"/>
          <w:color w:val="auto"/>
        </w:rPr>
      </w:pPr>
      <w:r>
        <w:rPr>
          <w:rFonts w:ascii="Arial" w:cs="Arial" w:eastAsia="Arial" w:hAnsi="Arial"/>
          <w:sz w:val="18"/>
          <w:szCs w:val="18"/>
          <w:color w:val="auto"/>
        </w:rPr>
        <w:t>The Company has certain contractual obligations that will impact its short and long-term liquidity. At December 31, 2010, such obligations were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b w:val="1"/>
                <w:bCs w:val="1"/>
                <w:color w:val="auto"/>
                <w:w w:val="89"/>
              </w:rPr>
              <w:t>Payments Due by Period</w:t>
            </w: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3"/>
          </w:tcPr>
          <w:p>
            <w:pPr>
              <w:ind w:left="40"/>
              <w:spacing w:after="0" w:line="191" w:lineRule="exact"/>
              <w:rPr>
                <w:sz w:val="20"/>
                <w:szCs w:val="20"/>
                <w:color w:val="auto"/>
              </w:rPr>
            </w:pPr>
            <w:r>
              <w:rPr>
                <w:rFonts w:ascii="Arial" w:cs="Arial" w:eastAsia="Arial" w:hAnsi="Arial"/>
                <w:sz w:val="18"/>
                <w:szCs w:val="18"/>
                <w:b w:val="1"/>
                <w:bCs w:val="1"/>
                <w:color w:val="auto"/>
              </w:rPr>
              <w:t>Less than 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1-3</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3-5</w:t>
            </w:r>
          </w:p>
        </w:tc>
        <w:tc>
          <w:tcPr>
            <w:tcW w:w="380" w:type="dxa"/>
            <w:vAlign w:val="bottom"/>
          </w:tcPr>
          <w:p>
            <w:pPr>
              <w:spacing w:after="0"/>
              <w:rPr>
                <w:sz w:val="16"/>
                <w:szCs w:val="16"/>
                <w:color w:val="auto"/>
              </w:rPr>
            </w:pPr>
          </w:p>
        </w:tc>
        <w:tc>
          <w:tcPr>
            <w:tcW w:w="9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r>
      <w:tr>
        <w:trPr>
          <w:trHeight w:val="234"/>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years</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years</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r>
      <w:tr>
        <w:trPr>
          <w:trHeight w:val="210"/>
        </w:trPr>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5"/>
              </w:rPr>
              <w:t>(in thousands)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obligations (1)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252,129</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62,279</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95,582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81,668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12,600</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Capital lease obligations(2)</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46,548</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9,186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18,470</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13,836</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5,056</w:t>
            </w:r>
          </w:p>
        </w:tc>
      </w:tr>
      <w:tr>
        <w:trPr>
          <w:trHeight w:val="216"/>
        </w:trPr>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obligations(3)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34,493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10,088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5,621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11,551</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Floor plan debt obligation</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237,810</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237,810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obligations (4)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40,848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14,551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5,782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Purchase obligations(5)</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6,062</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5,126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617,890</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341,792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139,627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106,907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29,564</w:t>
            </w:r>
          </w:p>
        </w:tc>
      </w:tr>
      <w:tr>
        <w:trPr>
          <w:trHeight w:val="20"/>
        </w:trPr>
        <w:tc>
          <w:tcPr>
            <w:tcW w:w="1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1740" w:type="dxa"/>
            <w:vAlign w:val="bottom"/>
            <w:tcBorders>
              <w:bottom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75" w:lineRule="exact"/>
        <w:rPr>
          <w:sz w:val="20"/>
          <w:szCs w:val="20"/>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 to Note 8 of Notes to Consolidated Financial Statements.</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 to Note 10 of Notes to Consolidated Financial Statements. Amounts include interest.</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 to Note 10 of Notes to Consolidated Financial Statements.</w:t>
      </w:r>
    </w:p>
    <w:p>
      <w:pPr>
        <w:spacing w:after="0" w:line="76" w:lineRule="exact"/>
        <w:rPr>
          <w:rFonts w:ascii="Arial" w:cs="Arial" w:eastAsia="Arial" w:hAnsi="Arial"/>
          <w:sz w:val="18"/>
          <w:szCs w:val="18"/>
          <w:color w:val="auto"/>
        </w:rPr>
      </w:pPr>
    </w:p>
    <w:p>
      <w:pPr>
        <w:jc w:val="both"/>
        <w:ind w:left="720" w:right="159" w:hanging="388"/>
        <w:spacing w:after="0" w:line="311"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computing interest expense, the Company used its weighted average interest rate outstanding on fixed rate debt to estimate its interest expense on fixed rate debt. The Company used its weighted average variable interest rate on outstanding variable rate debt at December 31, 2010 and added 0.25 percent per year to estimate its interest expense on variable rate debt.</w:t>
      </w:r>
    </w:p>
    <w:p>
      <w:pPr>
        <w:ind w:left="720" w:right="159" w:hanging="388"/>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 obligations represent non-cancelable contractual obligations at December 31, 2010 related to the Company’s SAP implementation and the construction contract for the dealership in Fort Worth, Texas.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jc w:val="both"/>
        <w:ind w:left="340" w:right="159" w:firstLine="778"/>
        <w:spacing w:after="0" w:line="342" w:lineRule="auto"/>
        <w:rPr>
          <w:sz w:val="20"/>
          <w:szCs w:val="20"/>
          <w:color w:val="auto"/>
        </w:rPr>
      </w:pPr>
      <w:r>
        <w:rPr>
          <w:rFonts w:ascii="Arial" w:cs="Arial" w:eastAsia="Arial" w:hAnsi="Arial"/>
          <w:sz w:val="16"/>
          <w:szCs w:val="16"/>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83" w:lineRule="exact"/>
        <w:rPr>
          <w:sz w:val="20"/>
          <w:szCs w:val="20"/>
          <w:color w:val="auto"/>
        </w:rPr>
      </w:pPr>
    </w:p>
    <w:p>
      <w:pPr>
        <w:jc w:val="both"/>
        <w:ind w:left="340" w:right="159" w:firstLine="778"/>
        <w:spacing w:after="0" w:line="290" w:lineRule="auto"/>
        <w:rPr>
          <w:sz w:val="20"/>
          <w:szCs w:val="20"/>
          <w:color w:val="auto"/>
        </w:rPr>
      </w:pPr>
      <w:r>
        <w:rPr>
          <w:rFonts w:ascii="Arial" w:cs="Arial" w:eastAsia="Arial" w:hAnsi="Arial"/>
          <w:sz w:val="16"/>
          <w:szCs w:val="16"/>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December 31, 2010, the Company had floor plan borrowings and variable rate real estate debt of approximately $320.5 million. Assuming an increase or decrease in LIBOR of 100 basis points, annual interest expense could correspondingly increase or decrease by approximately $3.1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26" w:lineRule="exact"/>
        <w:rPr>
          <w:sz w:val="20"/>
          <w:szCs w:val="20"/>
          <w:color w:val="auto"/>
        </w:rPr>
      </w:pPr>
    </w:p>
    <w:p>
      <w:pPr>
        <w:jc w:val="both"/>
        <w:ind w:left="340" w:right="159" w:firstLine="778"/>
        <w:spacing w:after="0" w:line="273" w:lineRule="auto"/>
        <w:rPr>
          <w:sz w:val="20"/>
          <w:szCs w:val="20"/>
          <w:color w:val="auto"/>
        </w:rPr>
      </w:pPr>
      <w:r>
        <w:rPr>
          <w:rFonts w:ascii="Arial" w:cs="Arial" w:eastAsia="Arial" w:hAnsi="Arial"/>
          <w:sz w:val="17"/>
          <w:szCs w:val="17"/>
          <w:color w:val="auto"/>
        </w:rPr>
        <w:t>The Company is exposed to some market risk through interest rate swaps on some of the Company’s variable real estate debt. As of December 31, 2010, the Company has interest rate swaps with a total notional amount of $45.0 million. The swaps were designed to provide a hedge against changes in interest rates on some of the Company’s variable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9 — Financial Instruments and Fair Value of the notes thereto.</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778"/>
        <w:spacing w:after="0" w:line="255"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which totaled $169.0 million on December 31, 2010.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$1.7 million.</w:t>
      </w:r>
    </w:p>
    <w:p>
      <w:pPr>
        <w:spacing w:after="0" w:line="162"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In the past, the Company invested in interest-bearing short-term investments consisting of investment-grade auction rate securities classified as available-for-sale. As a result of the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48" w:lineRule="exact"/>
        <w:rPr>
          <w:sz w:val="20"/>
          <w:szCs w:val="20"/>
          <w:color w:val="auto"/>
        </w:rPr>
      </w:pPr>
    </w:p>
    <w:p>
      <w:pPr>
        <w:jc w:val="both"/>
        <w:ind w:left="340" w:right="159" w:firstLine="778"/>
        <w:spacing w:after="0" w:line="255" w:lineRule="auto"/>
        <w:rPr>
          <w:sz w:val="20"/>
          <w:szCs w:val="20"/>
          <w:color w:val="auto"/>
        </w:rPr>
      </w:pPr>
      <w:r>
        <w:rPr>
          <w:rFonts w:ascii="Arial" w:cs="Arial" w:eastAsia="Arial" w:hAnsi="Arial"/>
          <w:sz w:val="18"/>
          <w:szCs w:val="18"/>
          <w:color w:val="auto"/>
        </w:rPr>
        <w:t>As of December 31, 2010, the Company holds $7.6 million of auction rate securities with underlying tax-exempt municipal bonds that mature in 2030. Given the current market conditions in the auction rate securities market, if the Company determines that the fair value of these securities has temporarily decreased by 10%, the Company’s equity could correspondingly decrease by approximately $0.8 million. If it is determined that the fair value of these securities is other-than-temporarily impaired by 10%, the Company could record a loss on its Consolidated Statements of Operations of approximately $0.8 million. For further discussion of the risks related to our auction rate securities, see Note 9 — Financial Instruments and Fair Value of the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520" w:type="dxa"/>
            <w:vAlign w:val="bottom"/>
            <w:gridSpan w:val="7"/>
          </w:tcPr>
          <w:p>
            <w:pPr>
              <w:spacing w:after="0"/>
              <w:rPr>
                <w:sz w:val="17"/>
                <w:szCs w:val="17"/>
                <w:color w:val="auto"/>
              </w:rPr>
            </w:pPr>
          </w:p>
        </w:tc>
        <w:tc>
          <w:tcPr>
            <w:tcW w:w="10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854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80" w:type="dxa"/>
            <w:vAlign w:val="bottom"/>
          </w:tcPr>
          <w:p>
            <w:pPr>
              <w:spacing w:after="0"/>
              <w:rPr>
                <w:sz w:val="24"/>
                <w:szCs w:val="24"/>
                <w:color w:val="auto"/>
              </w:rPr>
            </w:pPr>
          </w:p>
        </w:tc>
      </w:tr>
      <w:tr>
        <w:trPr>
          <w:trHeight w:val="608"/>
        </w:trPr>
        <w:tc>
          <w:tcPr>
            <w:tcW w:w="340" w:type="dxa"/>
            <w:vAlign w:val="bottom"/>
          </w:tcPr>
          <w:p>
            <w:pPr>
              <w:spacing w:after="0"/>
              <w:rPr>
                <w:sz w:val="24"/>
                <w:szCs w:val="24"/>
                <w:color w:val="auto"/>
              </w:rPr>
            </w:pPr>
          </w:p>
        </w:tc>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Report of Independent Registered Public Accounting Firm</w:t>
              </w:r>
            </w:hyperlink>
          </w:p>
        </w:tc>
        <w:tc>
          <w:tcPr>
            <w:tcW w:w="4320" w:type="dxa"/>
            <w:vAlign w:val="bottom"/>
            <w:gridSpan w:val="5"/>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340" w:type="dxa"/>
            <w:vAlign w:val="bottom"/>
          </w:tcPr>
          <w:p>
            <w:pPr>
              <w:spacing w:after="0"/>
              <w:rPr>
                <w:sz w:val="24"/>
                <w:szCs w:val="24"/>
                <w:color w:val="auto"/>
              </w:rPr>
            </w:pPr>
          </w:p>
        </w:tc>
        <w:tc>
          <w:tcPr>
            <w:tcW w:w="854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Balance Sheets as of December 31, 2010 and 2009</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3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54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Statements of Income for the Years Ended December 31, 2010, 2009 and 2008</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6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Shareholders’ Equity for the Years Ended December 31, 2010, 2009 and 2008</w:t>
              </w:r>
            </w:hyperlink>
          </w:p>
        </w:tc>
        <w:tc>
          <w:tcPr>
            <w:tcW w:w="9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340" w:type="dxa"/>
            <w:vAlign w:val="bottom"/>
          </w:tcPr>
          <w:p>
            <w:pPr>
              <w:spacing w:after="0"/>
              <w:rPr>
                <w:sz w:val="24"/>
                <w:szCs w:val="24"/>
                <w:color w:val="auto"/>
              </w:rPr>
            </w:pPr>
          </w:p>
        </w:tc>
        <w:tc>
          <w:tcPr>
            <w:tcW w:w="69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Statements of Cash Flows for the Years Ended December 31, 2010, 2009 and 2008</w:t>
              </w:r>
            </w:hyperlink>
          </w:p>
        </w:tc>
        <w:tc>
          <w:tcPr>
            <w:tcW w:w="1580" w:type="dxa"/>
            <w:vAlign w:val="bottom"/>
            <w:gridSpan w:val="2"/>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340" w:type="dxa"/>
            <w:vAlign w:val="bottom"/>
          </w:tcPr>
          <w:p>
            <w:pPr>
              <w:spacing w:after="0"/>
              <w:rPr>
                <w:sz w:val="24"/>
                <w:szCs w:val="24"/>
                <w:color w:val="auto"/>
              </w:rPr>
            </w:pPr>
          </w:p>
        </w:tc>
        <w:tc>
          <w:tcPr>
            <w:tcW w:w="8540" w:type="dxa"/>
            <w:vAlign w:val="bottom"/>
            <w:gridSpan w:val="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3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Rush Enterprises, Inc.</w:t>
      </w:r>
    </w:p>
    <w:p>
      <w:pPr>
        <w:spacing w:after="0" w:line="170"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We have audited the accompanying consolidated balance sheets of Rush Enterprises, Inc. and subsidiaries (“the Company”) as of December 31, 2010 and 2009, and the related consolidated statements of income, shareholders’ equity, and cash flows for each of the three years in the period ended December 31, 2010. These financial statements are the responsibility of the Company’s management. Our responsibility is to express an opinion on these financial statements based on our audits.</w:t>
      </w:r>
    </w:p>
    <w:p>
      <w:pPr>
        <w:spacing w:after="0" w:line="131"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Rush Enterprises, Inc. and subsidiaries at December 31, 2010 and 2009, and the consolidated results of their operations and their cash flows for each of the three years in the period ended December 31, 2010, in conformity with U.S. generally accepted accounting principles.</w:t>
      </w:r>
    </w:p>
    <w:p>
      <w:pPr>
        <w:spacing w:after="0" w:line="146"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Rush Enterprises, Inc.’s internal control over financial reporting as of December 31, 2010, based on criteria established in Internal Control-Integrated Framework issued by the Committee of Sponsoring Organizations of the Treadway Commission and our report dated March 11, 2011 expressed an unqualified opinion thereon.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San Antonio, Texas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11, 2011</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7480" w:type="dxa"/>
            <w:vAlign w:val="bottom"/>
            <w:gridSpan w:val="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RUSH ENTERPRISES, INC. AND SUBSIDIARIES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CONSOLIDATED BALANCE SHEETS</w:t>
            </w:r>
          </w:p>
        </w:tc>
        <w:tc>
          <w:tcPr>
            <w:tcW w:w="8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20" w:type="dxa"/>
            <w:vAlign w:val="bottom"/>
            <w:gridSpan w:val="5"/>
          </w:tcPr>
          <w:p>
            <w:pPr>
              <w:jc w:val="center"/>
              <w:ind w:left="1470"/>
              <w:spacing w:after="0"/>
              <w:rPr>
                <w:sz w:val="20"/>
                <w:szCs w:val="20"/>
                <w:color w:val="auto"/>
              </w:rPr>
            </w:pPr>
            <w:r>
              <w:rPr>
                <w:rFonts w:ascii="Arial" w:cs="Arial" w:eastAsia="Arial" w:hAnsi="Arial"/>
                <w:sz w:val="18"/>
                <w:szCs w:val="18"/>
                <w:color w:val="auto"/>
                <w:w w:val="88"/>
              </w:rPr>
              <w:t>(In Thousands, Except Shares and Per Share Amounts)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168,976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43,513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38,869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321,933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252,219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14,104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10,281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11,414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558,807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477,966</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140" w:type="dxa"/>
            <w:vAlign w:val="bottom"/>
            <w:gridSpan w:val="6"/>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7,575</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445,919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spacing w:after="0"/>
              <w:rPr>
                <w:sz w:val="20"/>
                <w:szCs w:val="20"/>
                <w:color w:val="auto"/>
              </w:rPr>
            </w:pPr>
            <w:r>
              <w:rPr>
                <w:rFonts w:ascii="Arial" w:cs="Arial" w:eastAsia="Arial" w:hAnsi="Arial"/>
                <w:sz w:val="18"/>
                <w:szCs w:val="18"/>
                <w:color w:val="auto"/>
              </w:rPr>
              <w:t>Goodwill,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150,388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136,761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140" w:type="dxa"/>
            <w:vAlign w:val="bottom"/>
            <w:gridSpan w:val="6"/>
            <w:vMerge w:val="continue"/>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1,167,933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977,297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Floor plan notes payable</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237,810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62,279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55,545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Current maturities of capital lease obligations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7,971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Trade accounts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37,933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22,427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69,036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40,843</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7140" w:type="dxa"/>
            <w:vAlign w:val="bottom"/>
            <w:gridSpan w:val="6"/>
          </w:tcPr>
          <w:p>
            <w:pPr>
              <w:ind w:left="6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415,029</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189,850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34,231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28,714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gridSpan w:val="6"/>
          </w:tcPr>
          <w:p>
            <w:pPr>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63,540</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54,600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gridSpan w:val="6"/>
          </w:tcPr>
          <w:p>
            <w:pPr>
              <w:ind w:left="200"/>
              <w:spacing w:after="0" w:line="201" w:lineRule="exact"/>
              <w:rPr>
                <w:sz w:val="20"/>
                <w:szCs w:val="20"/>
                <w:color w:val="auto"/>
              </w:rPr>
            </w:pPr>
            <w:r>
              <w:rPr>
                <w:rFonts w:ascii="Arial" w:cs="Arial" w:eastAsia="Arial" w:hAnsi="Arial"/>
                <w:sz w:val="18"/>
                <w:szCs w:val="18"/>
                <w:color w:val="auto"/>
                <w:w w:val="90"/>
              </w:rPr>
              <w:t>Preferred stock, par value $.01 per share; 1,000,000 shares authorized; 0 shares outstanding in</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gridSpan w:val="6"/>
          </w:tcPr>
          <w:p>
            <w:pPr>
              <w:ind w:left="400"/>
              <w:spacing w:after="0"/>
              <w:rPr>
                <w:sz w:val="20"/>
                <w:szCs w:val="20"/>
                <w:color w:val="auto"/>
              </w:rPr>
            </w:pPr>
            <w:r>
              <w:rPr>
                <w:rFonts w:ascii="Arial" w:cs="Arial" w:eastAsia="Arial" w:hAnsi="Arial"/>
                <w:sz w:val="18"/>
                <w:szCs w:val="18"/>
                <w:color w:val="auto"/>
              </w:rPr>
              <w:t>2010 and 2009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gridSpan w:val="6"/>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Common stock, par value $.01 per share; 60,000,000 class A shares and 20,000,000 class B</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w w:val="91"/>
              </w:rPr>
              <w:t>shares authorized; 26,798,707 class A shares and 10,700,044 class B shares outstanding in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w w:val="94"/>
              </w:rPr>
              <w:t>2010; and 26,437,848 class A shares and 10,689,375 class B shares outstanding in 2009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391</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195,747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188,116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Treasury stock, at cost: 1,639,843 class B shares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(17,948)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286,951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255,669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net of tax</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464,919</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426,225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1,167,933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977,297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5140" w:type="dxa"/>
            <w:vAlign w:val="bottom"/>
            <w:gridSpan w:val="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38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5"/>
              </w:rPr>
              <w:t>RUSH ENTERPRISES, INC. AND SUBSIDIARIES</w:t>
            </w:r>
          </w:p>
        </w:tc>
        <w:tc>
          <w:tcPr>
            <w:tcW w:w="5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gridSpan w:val="7"/>
          </w:tcPr>
          <w:p>
            <w:pPr>
              <w:jc w:val="center"/>
              <w:ind w:right="680"/>
              <w:spacing w:after="0" w:line="196" w:lineRule="exact"/>
              <w:rPr>
                <w:sz w:val="20"/>
                <w:szCs w:val="20"/>
                <w:color w:val="auto"/>
              </w:rPr>
            </w:pPr>
            <w:r>
              <w:rPr>
                <w:rFonts w:ascii="Arial" w:cs="Arial" w:eastAsia="Arial" w:hAnsi="Arial"/>
                <w:sz w:val="18"/>
                <w:szCs w:val="18"/>
                <w:color w:val="auto"/>
                <w:w w:val="95"/>
              </w:rPr>
              <w:t>CONSOLIDATED STATEMENTS OF INCOME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0"/>
              </w:rPr>
              <w:t>(In Thousands, Except Per Share Amounts)</w:t>
            </w:r>
          </w:p>
        </w:tc>
        <w:tc>
          <w:tcPr>
            <w:tcW w:w="680" w:type="dxa"/>
            <w:vAlign w:val="bottom"/>
            <w:gridSpan w:val="3"/>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tcPr>
          <w:p>
            <w:pPr>
              <w:ind w:left="200"/>
              <w:spacing w:after="0"/>
              <w:rPr>
                <w:sz w:val="20"/>
                <w:szCs w:val="20"/>
                <w:color w:val="auto"/>
              </w:rPr>
            </w:pPr>
            <w:r>
              <w:rPr>
                <w:rFonts w:ascii="Arial" w:cs="Arial" w:eastAsia="Arial" w:hAnsi="Arial"/>
                <w:sz w:val="18"/>
                <w:szCs w:val="18"/>
                <w:color w:val="auto"/>
              </w:rPr>
              <w:t>New and used commercial vehicle sales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400"/>
              <w:spacing w:after="0"/>
              <w:rPr>
                <w:sz w:val="20"/>
                <w:szCs w:val="20"/>
                <w:color w:val="auto"/>
              </w:rPr>
            </w:pPr>
            <w:r>
              <w:rPr>
                <w:rFonts w:ascii="Arial" w:cs="Arial" w:eastAsia="Arial" w:hAnsi="Arial"/>
                <w:sz w:val="18"/>
                <w:szCs w:val="18"/>
                <w:color w:val="auto"/>
              </w:rPr>
              <w:t>926,584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738,705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1,041,189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Parts and service sales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489,259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395,133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457,669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tcPr>
          <w:p>
            <w:pPr>
              <w:ind w:left="200"/>
              <w:spacing w:after="0"/>
              <w:rPr>
                <w:sz w:val="20"/>
                <w:szCs w:val="20"/>
                <w:color w:val="auto"/>
              </w:rPr>
            </w:pPr>
            <w:r>
              <w:rPr>
                <w:rFonts w:ascii="Arial" w:cs="Arial" w:eastAsia="Arial" w:hAnsi="Arial"/>
                <w:sz w:val="18"/>
                <w:szCs w:val="18"/>
                <w:color w:val="auto"/>
              </w:rPr>
              <w:t>Lease and rental</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jc w:val="right"/>
              <w:ind w:right="400"/>
              <w:spacing w:after="0"/>
              <w:rPr>
                <w:sz w:val="20"/>
                <w:szCs w:val="20"/>
                <w:color w:val="auto"/>
              </w:rPr>
            </w:pPr>
            <w:r>
              <w:rPr>
                <w:rFonts w:ascii="Arial" w:cs="Arial" w:eastAsia="Arial" w:hAnsi="Arial"/>
                <w:sz w:val="18"/>
                <w:szCs w:val="18"/>
                <w:color w:val="auto"/>
              </w:rPr>
              <w:t>67,423</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53,710</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54,813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Finance and insurance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7,922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7,468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tcPr>
          <w:p>
            <w:pPr>
              <w:ind w:left="20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jc w:val="right"/>
              <w:ind w:right="400"/>
              <w:spacing w:after="0"/>
              <w:rPr>
                <w:sz w:val="20"/>
                <w:szCs w:val="20"/>
                <w:color w:val="auto"/>
              </w:rPr>
            </w:pPr>
            <w:r>
              <w:rPr>
                <w:rFonts w:ascii="Arial" w:cs="Arial" w:eastAsia="Arial" w:hAnsi="Arial"/>
                <w:sz w:val="18"/>
                <w:szCs w:val="18"/>
                <w:color w:val="auto"/>
              </w:rPr>
              <w:t>6,739</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5,437</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w w:val="97"/>
              </w:rPr>
              <w:t>1,497,927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1,200,453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1,571,193</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800" w:type="dxa"/>
            <w:vAlign w:val="bottom"/>
            <w:gridSpan w:val="4"/>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New and used commercial vehicle sales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854,879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695,334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973,404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tcPr>
          <w:p>
            <w:pPr>
              <w:ind w:left="200"/>
              <w:spacing w:after="0"/>
              <w:rPr>
                <w:sz w:val="20"/>
                <w:szCs w:val="20"/>
                <w:color w:val="auto"/>
              </w:rPr>
            </w:pPr>
            <w:r>
              <w:rPr>
                <w:rFonts w:ascii="Arial" w:cs="Arial" w:eastAsia="Arial" w:hAnsi="Arial"/>
                <w:sz w:val="18"/>
                <w:szCs w:val="18"/>
                <w:color w:val="auto"/>
              </w:rPr>
              <w:t>Parts and service sales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jc w:val="right"/>
              <w:ind w:right="400"/>
              <w:spacing w:after="0"/>
              <w:rPr>
                <w:sz w:val="20"/>
                <w:szCs w:val="20"/>
                <w:color w:val="auto"/>
              </w:rPr>
            </w:pPr>
            <w:r>
              <w:rPr>
                <w:rFonts w:ascii="Arial" w:cs="Arial" w:eastAsia="Arial" w:hAnsi="Arial"/>
                <w:sz w:val="18"/>
                <w:szCs w:val="18"/>
                <w:color w:val="auto"/>
              </w:rPr>
              <w:t>300,783</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241,933</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270,754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Lease and rental</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57,375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47,545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46,843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800" w:type="dxa"/>
            <w:vAlign w:val="bottom"/>
            <w:gridSpan w:val="4"/>
          </w:tcPr>
          <w:p>
            <w:pPr>
              <w:ind w:left="200"/>
              <w:spacing w:after="0"/>
              <w:rPr>
                <w:sz w:val="20"/>
                <w:szCs w:val="20"/>
                <w:color w:val="auto"/>
              </w:rPr>
            </w:pPr>
            <w:r>
              <w:rPr>
                <w:rFonts w:ascii="Arial" w:cs="Arial" w:eastAsia="Arial" w:hAnsi="Arial"/>
                <w:sz w:val="18"/>
                <w:szCs w:val="18"/>
                <w:color w:val="auto"/>
              </w:rPr>
              <w:t>Total cost of products sold</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4"/>
          </w:tcPr>
          <w:p>
            <w:pPr>
              <w:jc w:val="right"/>
              <w:ind w:right="400"/>
              <w:spacing w:after="0"/>
              <w:rPr>
                <w:sz w:val="20"/>
                <w:szCs w:val="20"/>
                <w:color w:val="auto"/>
              </w:rPr>
            </w:pPr>
            <w:r>
              <w:rPr>
                <w:rFonts w:ascii="Arial" w:cs="Arial" w:eastAsia="Arial" w:hAnsi="Arial"/>
                <w:sz w:val="18"/>
                <w:szCs w:val="18"/>
                <w:color w:val="auto"/>
                <w:w w:val="97"/>
              </w:rPr>
              <w:t>1,213,037</w:t>
            </w:r>
          </w:p>
        </w:tc>
        <w:tc>
          <w:tcPr>
            <w:tcW w:w="18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984,812</w:t>
            </w:r>
          </w:p>
        </w:tc>
        <w:tc>
          <w:tcPr>
            <w:tcW w:w="1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1,291,001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284,890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215,641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jc w:val="right"/>
              <w:ind w:right="400"/>
              <w:spacing w:after="0"/>
              <w:rPr>
                <w:sz w:val="20"/>
                <w:szCs w:val="20"/>
                <w:color w:val="auto"/>
              </w:rPr>
            </w:pPr>
            <w:r>
              <w:rPr>
                <w:rFonts w:ascii="Arial" w:cs="Arial" w:eastAsia="Arial" w:hAnsi="Arial"/>
                <w:sz w:val="18"/>
                <w:szCs w:val="18"/>
                <w:color w:val="auto"/>
              </w:rPr>
              <w:t>227,467</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192,296</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218,775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15,720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15,890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(Loss) gain on sale of assets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41,667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7,617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46,272</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Interest income (expense):</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tcPr>
          <w:p>
            <w:pPr>
              <w:ind w:left="20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(5,490)</w:t>
            </w: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(5,749)</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(9,866)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Total interest expense, net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5,363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5,695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Income from continuing operations before taxes</w:t>
            </w:r>
          </w:p>
        </w:tc>
        <w:tc>
          <w:tcPr>
            <w:tcW w:w="1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800" w:type="dxa"/>
            <w:vAlign w:val="bottom"/>
            <w:gridSpan w:val="4"/>
            <w:vMerge w:val="continue"/>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4"/>
          </w:tcPr>
          <w:p>
            <w:pPr>
              <w:jc w:val="right"/>
              <w:ind w:right="400"/>
              <w:spacing w:after="0"/>
              <w:rPr>
                <w:sz w:val="20"/>
                <w:szCs w:val="20"/>
                <w:color w:val="auto"/>
              </w:rPr>
            </w:pPr>
            <w:r>
              <w:rPr>
                <w:rFonts w:ascii="Arial" w:cs="Arial" w:eastAsia="Arial" w:hAnsi="Arial"/>
                <w:sz w:val="18"/>
                <w:szCs w:val="18"/>
                <w:color w:val="auto"/>
              </w:rPr>
              <w:t>36,304</w:t>
            </w:r>
          </w:p>
        </w:tc>
        <w:tc>
          <w:tcPr>
            <w:tcW w:w="18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1,922</w:t>
            </w:r>
          </w:p>
        </w:tc>
        <w:tc>
          <w:tcPr>
            <w:tcW w:w="1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39,042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11,737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1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800" w:type="dxa"/>
            <w:vAlign w:val="bottom"/>
            <w:gridSpan w:val="4"/>
            <w:vMerge w:val="continue"/>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4"/>
          </w:tcPr>
          <w:p>
            <w:pPr>
              <w:jc w:val="right"/>
              <w:ind w:right="400"/>
              <w:spacing w:after="0"/>
              <w:rPr>
                <w:sz w:val="20"/>
                <w:szCs w:val="20"/>
                <w:color w:val="auto"/>
              </w:rPr>
            </w:pPr>
            <w:r>
              <w:rPr>
                <w:rFonts w:ascii="Arial" w:cs="Arial" w:eastAsia="Arial" w:hAnsi="Arial"/>
                <w:sz w:val="18"/>
                <w:szCs w:val="18"/>
                <w:color w:val="auto"/>
              </w:rPr>
              <w:t>24,567</w:t>
            </w:r>
          </w:p>
        </w:tc>
        <w:tc>
          <w:tcPr>
            <w:tcW w:w="18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5,095</w:t>
            </w:r>
          </w:p>
        </w:tc>
        <w:tc>
          <w:tcPr>
            <w:tcW w:w="1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25,178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6,715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800" w:type="dxa"/>
            <w:vAlign w:val="bottom"/>
            <w:gridSpan w:val="4"/>
            <w:vMerge w:val="continue"/>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400"/>
              <w:spacing w:after="0"/>
              <w:rPr>
                <w:sz w:val="20"/>
                <w:szCs w:val="20"/>
                <w:color w:val="auto"/>
              </w:rPr>
            </w:pPr>
            <w:r>
              <w:rPr>
                <w:rFonts w:ascii="Arial" w:cs="Arial" w:eastAsia="Arial" w:hAnsi="Arial"/>
                <w:sz w:val="18"/>
                <w:szCs w:val="18"/>
                <w:color w:val="auto"/>
              </w:rPr>
              <w:t>31,282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5,884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28,865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 Basic:</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400"/>
              <w:spacing w:after="0"/>
              <w:rPr>
                <w:sz w:val="20"/>
                <w:szCs w:val="20"/>
                <w:color w:val="auto"/>
              </w:rPr>
            </w:pPr>
            <w:r>
              <w:rPr>
                <w:rFonts w:ascii="Arial" w:cs="Arial" w:eastAsia="Arial" w:hAnsi="Arial"/>
                <w:sz w:val="18"/>
                <w:szCs w:val="18"/>
                <w:color w:val="auto"/>
              </w:rPr>
              <w:t>0.66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0.84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800" w:type="dxa"/>
            <w:vAlign w:val="bottom"/>
            <w:gridSpan w:val="4"/>
          </w:tcPr>
          <w:p>
            <w:pPr>
              <w:spacing w:after="0"/>
              <w:rPr>
                <w:sz w:val="20"/>
                <w:szCs w:val="20"/>
                <w:color w:val="auto"/>
              </w:rPr>
            </w:pPr>
            <w:r>
              <w:rPr>
                <w:rFonts w:ascii="Arial" w:cs="Arial" w:eastAsia="Arial" w:hAnsi="Arial"/>
                <w:sz w:val="18"/>
                <w:szCs w:val="18"/>
                <w:b w:val="1"/>
                <w:bCs w:val="1"/>
                <w:color w:val="auto"/>
              </w:rPr>
              <w:t>Earnings per common share — Diluted:</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0.64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400"/>
              <w:spacing w:after="0"/>
              <w:rPr>
                <w:sz w:val="20"/>
                <w:szCs w:val="20"/>
                <w:color w:val="auto"/>
              </w:rPr>
            </w:pPr>
            <w:r>
              <w:rPr>
                <w:rFonts w:ascii="Arial" w:cs="Arial" w:eastAsia="Arial" w:hAnsi="Arial"/>
                <w:sz w:val="18"/>
                <w:szCs w:val="18"/>
                <w:color w:val="auto"/>
              </w:rPr>
              <w:t>0.82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60"/>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u w:val="single" w:color="auto"/>
          <w:color w:val="auto"/>
        </w:rPr>
        <w:t>(In Thousands)</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540" w:type="dxa"/>
            <w:vAlign w:val="bottom"/>
            <w:gridSpan w:val="4"/>
          </w:tcPr>
          <w:p>
            <w:pPr>
              <w:jc w:val="center"/>
              <w:ind w:right="180"/>
              <w:spacing w:after="0"/>
              <w:rPr>
                <w:sz w:val="20"/>
                <w:szCs w:val="20"/>
                <w:color w:val="auto"/>
              </w:rPr>
            </w:pPr>
            <w:r>
              <w:rPr>
                <w:rFonts w:ascii="Arial" w:cs="Arial" w:eastAsia="Arial" w:hAnsi="Arial"/>
                <w:sz w:val="16"/>
                <w:szCs w:val="16"/>
                <w:color w:val="auto"/>
                <w:w w:val="91"/>
              </w:rPr>
              <w:t>Common Stock</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Accumulated</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40" w:type="dxa"/>
            <w:vAlign w:val="bottom"/>
          </w:tcPr>
          <w:p>
            <w:pPr>
              <w:spacing w:after="0"/>
              <w:rPr>
                <w:sz w:val="17"/>
                <w:szCs w:val="17"/>
                <w:color w:val="auto"/>
              </w:rPr>
            </w:pPr>
          </w:p>
        </w:tc>
        <w:tc>
          <w:tcPr>
            <w:tcW w:w="1540" w:type="dxa"/>
            <w:vAlign w:val="bottom"/>
            <w:gridSpan w:val="4"/>
          </w:tcPr>
          <w:p>
            <w:pPr>
              <w:jc w:val="center"/>
              <w:ind w:right="180"/>
              <w:spacing w:after="0"/>
              <w:rPr>
                <w:sz w:val="20"/>
                <w:szCs w:val="20"/>
                <w:color w:val="auto"/>
              </w:rPr>
            </w:pPr>
            <w:r>
              <w:rPr>
                <w:rFonts w:ascii="Arial" w:cs="Arial" w:eastAsia="Arial" w:hAnsi="Arial"/>
                <w:sz w:val="16"/>
                <w:szCs w:val="16"/>
                <w:color w:val="auto"/>
                <w:w w:val="86"/>
              </w:rPr>
              <w:t>Shares</w:t>
            </w:r>
          </w:p>
        </w:tc>
        <w:tc>
          <w:tcPr>
            <w:tcW w:w="100" w:type="dxa"/>
            <w:vAlign w:val="bottom"/>
          </w:tcPr>
          <w:p>
            <w:pPr>
              <w:spacing w:after="0"/>
              <w:rPr>
                <w:sz w:val="17"/>
                <w:szCs w:val="17"/>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w w:val="84"/>
              </w:rPr>
              <w:t>$0.01</w:t>
            </w:r>
          </w:p>
        </w:tc>
        <w:tc>
          <w:tcPr>
            <w:tcW w:w="18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Arial" w:cs="Arial" w:eastAsia="Arial" w:hAnsi="Arial"/>
                <w:sz w:val="16"/>
                <w:szCs w:val="16"/>
                <w:color w:val="auto"/>
              </w:rPr>
              <w:t>Additional</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6"/>
                <w:szCs w:val="16"/>
                <w:color w:val="auto"/>
                <w:w w:val="89"/>
              </w:rPr>
              <w:t>Other</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040" w:type="dxa"/>
            <w:vAlign w:val="bottom"/>
          </w:tcPr>
          <w:p>
            <w:pPr>
              <w:spacing w:after="0"/>
              <w:rPr>
                <w:sz w:val="18"/>
                <w:szCs w:val="18"/>
                <w:color w:val="auto"/>
              </w:rPr>
            </w:pPr>
          </w:p>
        </w:tc>
        <w:tc>
          <w:tcPr>
            <w:tcW w:w="1540" w:type="dxa"/>
            <w:vAlign w:val="bottom"/>
            <w:gridSpan w:val="4"/>
          </w:tcPr>
          <w:p>
            <w:pPr>
              <w:jc w:val="center"/>
              <w:ind w:right="180"/>
              <w:spacing w:after="0"/>
              <w:rPr>
                <w:sz w:val="20"/>
                <w:szCs w:val="20"/>
                <w:color w:val="auto"/>
              </w:rPr>
            </w:pPr>
            <w:r>
              <w:rPr>
                <w:rFonts w:ascii="Arial" w:cs="Arial" w:eastAsia="Arial" w:hAnsi="Arial"/>
                <w:sz w:val="16"/>
                <w:szCs w:val="16"/>
                <w:color w:val="auto"/>
                <w:w w:val="92"/>
              </w:rPr>
              <w:t>Outstanding</w:t>
            </w:r>
          </w:p>
        </w:tc>
        <w:tc>
          <w:tcPr>
            <w:tcW w:w="100" w:type="dxa"/>
            <w:vAlign w:val="bottom"/>
          </w:tcPr>
          <w:p>
            <w:pPr>
              <w:spacing w:after="0"/>
              <w:rPr>
                <w:sz w:val="18"/>
                <w:szCs w:val="18"/>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Par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w w:val="90"/>
              </w:rPr>
              <w:t>Paid-In</w:t>
            </w:r>
          </w:p>
        </w:tc>
        <w:tc>
          <w:tcPr>
            <w:tcW w:w="720" w:type="dxa"/>
            <w:vAlign w:val="bottom"/>
            <w:gridSpan w:val="3"/>
          </w:tcPr>
          <w:p>
            <w:pPr>
              <w:ind w:left="20"/>
              <w:spacing w:after="0"/>
              <w:rPr>
                <w:sz w:val="20"/>
                <w:szCs w:val="20"/>
                <w:color w:val="auto"/>
              </w:rPr>
            </w:pPr>
            <w:r>
              <w:rPr>
                <w:rFonts w:ascii="Arial" w:cs="Arial" w:eastAsia="Arial" w:hAnsi="Arial"/>
                <w:sz w:val="16"/>
                <w:szCs w:val="16"/>
                <w:color w:val="auto"/>
              </w:rPr>
              <w:t>Treasury</w:t>
            </w:r>
          </w:p>
        </w:tc>
        <w:tc>
          <w:tcPr>
            <w:tcW w:w="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w w:val="90"/>
              </w:rPr>
              <w:t>Retained</w:t>
            </w: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Comprehensive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0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Class A</w:t>
            </w: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Class B</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w w:val="82"/>
              </w:rPr>
              <w:t>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w w:val="92"/>
              </w:rPr>
              <w:t>Capital</w:t>
            </w:r>
          </w:p>
        </w:tc>
        <w:tc>
          <w:tcPr>
            <w:tcW w:w="10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Stock</w:t>
            </w:r>
          </w:p>
        </w:tc>
        <w:tc>
          <w:tcPr>
            <w:tcW w:w="6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w w:val="91"/>
              </w:rPr>
              <w:t>Earnings</w:t>
            </w:r>
          </w:p>
        </w:tc>
        <w:tc>
          <w:tcPr>
            <w:tcW w:w="20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color w:val="auto"/>
                <w:w w:val="88"/>
              </w:rPr>
              <w:t>Loss</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Total</w:t>
            </w:r>
          </w:p>
        </w:tc>
      </w:tr>
      <w:tr>
        <w:trPr>
          <w:trHeight w:val="196"/>
        </w:trPr>
        <w:tc>
          <w:tcPr>
            <w:tcW w:w="30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2007</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12,265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178,274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w w:val="98"/>
              </w:rPr>
              <w:t>$220,920</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$399,577</w:t>
            </w:r>
          </w:p>
        </w:tc>
      </w:tr>
      <w:tr>
        <w:trPr>
          <w:trHeight w:val="395"/>
        </w:trPr>
        <w:tc>
          <w:tcPr>
            <w:tcW w:w="3040" w:type="dxa"/>
            <w:vAlign w:val="bottom"/>
          </w:tcPr>
          <w:p>
            <w:pPr>
              <w:spacing w:after="0"/>
              <w:rPr>
                <w:sz w:val="20"/>
                <w:szCs w:val="20"/>
                <w:color w:val="auto"/>
              </w:rPr>
            </w:pPr>
            <w:r>
              <w:rPr>
                <w:rFonts w:ascii="Arial" w:cs="Arial" w:eastAsia="Arial" w:hAnsi="Arial"/>
                <w:sz w:val="16"/>
                <w:szCs w:val="16"/>
                <w:color w:val="auto"/>
              </w:rPr>
              <w:t>Stock options exercised (including tax</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040" w:type="dxa"/>
            <w:vAlign w:val="bottom"/>
          </w:tcPr>
          <w:p>
            <w:pPr>
              <w:ind w:left="200"/>
              <w:spacing w:after="0"/>
              <w:rPr>
                <w:sz w:val="20"/>
                <w:szCs w:val="20"/>
                <w:color w:val="auto"/>
              </w:rPr>
            </w:pPr>
            <w:r>
              <w:rPr>
                <w:rFonts w:ascii="Arial" w:cs="Arial" w:eastAsia="Arial" w:hAnsi="Arial"/>
                <w:sz w:val="16"/>
                <w:szCs w:val="16"/>
                <w:color w:val="auto"/>
              </w:rPr>
              <w:t>benefit of $791)</w:t>
            </w:r>
          </w:p>
        </w:tc>
        <w:tc>
          <w:tcPr>
            <w:tcW w:w="580" w:type="dxa"/>
            <w:vAlign w:val="bottom"/>
          </w:tcPr>
          <w:p>
            <w:pPr>
              <w:jc w:val="right"/>
              <w:spacing w:after="0"/>
              <w:rPr>
                <w:sz w:val="20"/>
                <w:szCs w:val="20"/>
                <w:color w:val="auto"/>
              </w:rPr>
            </w:pPr>
            <w:r>
              <w:rPr>
                <w:rFonts w:ascii="Arial" w:cs="Arial" w:eastAsia="Arial" w:hAnsi="Arial"/>
                <w:sz w:val="16"/>
                <w:szCs w:val="16"/>
                <w:color w:val="auto"/>
              </w:rPr>
              <w:t>130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1,297</w:t>
            </w:r>
          </w:p>
        </w:tc>
      </w:tr>
      <w:tr>
        <w:trPr>
          <w:trHeight w:val="196"/>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w w:val="98"/>
              </w:rPr>
              <w:t>Stock-based compensation related to stock</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304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2"/>
              </w:rPr>
              <w:t>options and employee 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3,632</w:t>
            </w:r>
          </w:p>
        </w:tc>
      </w:tr>
      <w:tr>
        <w:trPr>
          <w:trHeight w:val="193"/>
        </w:trPr>
        <w:tc>
          <w:tcPr>
            <w:tcW w:w="3040" w:type="dxa"/>
            <w:vAlign w:val="bottom"/>
          </w:tcPr>
          <w:p>
            <w:pPr>
              <w:spacing w:after="0"/>
              <w:rPr>
                <w:sz w:val="20"/>
                <w:szCs w:val="20"/>
                <w:color w:val="auto"/>
              </w:rPr>
            </w:pPr>
            <w:r>
              <w:rPr>
                <w:rFonts w:ascii="Arial" w:cs="Arial" w:eastAsia="Arial" w:hAnsi="Arial"/>
                <w:sz w:val="16"/>
                <w:szCs w:val="16"/>
                <w:color w:val="auto"/>
                <w:w w:val="97"/>
              </w:rPr>
              <w:t>Issuance of common stock under employee</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040" w:type="dxa"/>
            <w:vAlign w:val="bottom"/>
          </w:tcPr>
          <w:p>
            <w:pPr>
              <w:ind w:left="200"/>
              <w:spacing w:after="0"/>
              <w:rPr>
                <w:sz w:val="20"/>
                <w:szCs w:val="20"/>
                <w:color w:val="auto"/>
              </w:rPr>
            </w:pPr>
            <w:r>
              <w:rPr>
                <w:rFonts w:ascii="Arial" w:cs="Arial" w:eastAsia="Arial" w:hAnsi="Arial"/>
                <w:sz w:val="16"/>
                <w:szCs w:val="16"/>
                <w:color w:val="auto"/>
              </w:rPr>
              <w:t>stock purchase plan</w:t>
            </w: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618</w:t>
            </w:r>
          </w:p>
        </w:tc>
      </w:tr>
      <w:tr>
        <w:trPr>
          <w:trHeight w:val="206"/>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Common stock repurchases</w:t>
            </w:r>
          </w:p>
        </w:tc>
        <w:tc>
          <w:tcPr>
            <w:tcW w:w="5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(17,948)</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(17,948)</w:t>
            </w: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Net income</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28,865</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28,865</w:t>
            </w:r>
          </w:p>
        </w:tc>
      </w:tr>
      <w:tr>
        <w:trPr>
          <w:trHeight w:val="210"/>
        </w:trPr>
        <w:tc>
          <w:tcPr>
            <w:tcW w:w="30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2008</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10,685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(17,948)</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249,785</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416,041</w:t>
            </w:r>
          </w:p>
        </w:tc>
      </w:tr>
      <w:tr>
        <w:trPr>
          <w:trHeight w:val="395"/>
        </w:trPr>
        <w:tc>
          <w:tcPr>
            <w:tcW w:w="3040" w:type="dxa"/>
            <w:vAlign w:val="bottom"/>
          </w:tcPr>
          <w:p>
            <w:pPr>
              <w:spacing w:after="0"/>
              <w:rPr>
                <w:sz w:val="20"/>
                <w:szCs w:val="20"/>
                <w:color w:val="auto"/>
              </w:rPr>
            </w:pPr>
            <w:r>
              <w:rPr>
                <w:rFonts w:ascii="Arial" w:cs="Arial" w:eastAsia="Arial" w:hAnsi="Arial"/>
                <w:sz w:val="16"/>
                <w:szCs w:val="16"/>
                <w:color w:val="auto"/>
                <w:w w:val="97"/>
              </w:rPr>
              <w:t>Stock options exercised (including tax effect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040" w:type="dxa"/>
            <w:vAlign w:val="bottom"/>
          </w:tcPr>
          <w:p>
            <w:pPr>
              <w:ind w:left="200"/>
              <w:spacing w:after="0"/>
              <w:rPr>
                <w:sz w:val="20"/>
                <w:szCs w:val="20"/>
                <w:color w:val="auto"/>
              </w:rPr>
            </w:pPr>
            <w:r>
              <w:rPr>
                <w:rFonts w:ascii="Arial" w:cs="Arial" w:eastAsia="Arial" w:hAnsi="Arial"/>
                <w:sz w:val="16"/>
                <w:szCs w:val="16"/>
                <w:color w:val="auto"/>
              </w:rPr>
              <w:t>of ($191))</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(55)</w:t>
            </w:r>
          </w:p>
        </w:tc>
      </w:tr>
      <w:tr>
        <w:trPr>
          <w:trHeight w:val="196"/>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w w:val="98"/>
              </w:rPr>
              <w:t>Stock-based compensation related to stock</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04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9"/>
              </w:rPr>
              <w:t>options, restricted shares and employee</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3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3,664</w:t>
            </w: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Vesting of restricted share awards</w:t>
            </w:r>
          </w:p>
        </w:tc>
        <w:tc>
          <w:tcPr>
            <w:tcW w:w="580" w:type="dxa"/>
            <w:vAlign w:val="bottom"/>
          </w:tcPr>
          <w:p>
            <w:pPr>
              <w:jc w:val="right"/>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w w:val="97"/>
              </w:rPr>
              <w:t>Issuance of common stock under employee</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3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691</w:t>
            </w: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Net income</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5,884</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5,884</w:t>
            </w:r>
          </w:p>
        </w:tc>
      </w:tr>
      <w:tr>
        <w:trPr>
          <w:trHeight w:val="210"/>
        </w:trPr>
        <w:tc>
          <w:tcPr>
            <w:tcW w:w="30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2009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10,689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188,116</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(17,948)</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255,669</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426,225</w:t>
            </w:r>
          </w:p>
        </w:tc>
      </w:tr>
      <w:tr>
        <w:trPr>
          <w:trHeight w:val="395"/>
        </w:trPr>
        <w:tc>
          <w:tcPr>
            <w:tcW w:w="3040" w:type="dxa"/>
            <w:vAlign w:val="bottom"/>
          </w:tcPr>
          <w:p>
            <w:pPr>
              <w:spacing w:after="0"/>
              <w:rPr>
                <w:sz w:val="20"/>
                <w:szCs w:val="20"/>
                <w:color w:val="auto"/>
              </w:rPr>
            </w:pPr>
            <w:r>
              <w:rPr>
                <w:rFonts w:ascii="Arial" w:cs="Arial" w:eastAsia="Arial" w:hAnsi="Arial"/>
                <w:sz w:val="16"/>
                <w:szCs w:val="16"/>
                <w:color w:val="auto"/>
              </w:rPr>
              <w:t>Stock options exercised (including tax</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040" w:type="dxa"/>
            <w:vAlign w:val="bottom"/>
          </w:tcPr>
          <w:p>
            <w:pPr>
              <w:ind w:left="200"/>
              <w:spacing w:after="0"/>
              <w:rPr>
                <w:sz w:val="20"/>
                <w:szCs w:val="20"/>
                <w:color w:val="auto"/>
              </w:rPr>
            </w:pPr>
            <w:r>
              <w:rPr>
                <w:rFonts w:ascii="Arial" w:cs="Arial" w:eastAsia="Arial" w:hAnsi="Arial"/>
                <w:sz w:val="16"/>
                <w:szCs w:val="16"/>
                <w:color w:val="auto"/>
              </w:rPr>
              <w:t>benefit of $885)</w:t>
            </w:r>
          </w:p>
        </w:tc>
        <w:tc>
          <w:tcPr>
            <w:tcW w:w="580" w:type="dxa"/>
            <w:vAlign w:val="bottom"/>
          </w:tcPr>
          <w:p>
            <w:pPr>
              <w:jc w:val="right"/>
              <w:spacing w:after="0"/>
              <w:rPr>
                <w:sz w:val="20"/>
                <w:szCs w:val="20"/>
                <w:color w:val="auto"/>
              </w:rPr>
            </w:pPr>
            <w:r>
              <w:rPr>
                <w:rFonts w:ascii="Arial" w:cs="Arial" w:eastAsia="Arial" w:hAnsi="Arial"/>
                <w:sz w:val="16"/>
                <w:szCs w:val="16"/>
                <w:color w:val="auto"/>
              </w:rPr>
              <w:t>212</w:t>
            </w: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2,488</w:t>
            </w:r>
          </w:p>
        </w:tc>
      </w:tr>
      <w:tr>
        <w:trPr>
          <w:trHeight w:val="196"/>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w w:val="98"/>
              </w:rPr>
              <w:t>Stock-based compensation related to stock</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04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9"/>
              </w:rPr>
              <w:t>options, restricted shares and employee</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3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4,468</w:t>
            </w: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Vesting of restricted share awards</w:t>
            </w:r>
          </w:p>
        </w:tc>
        <w:tc>
          <w:tcPr>
            <w:tcW w:w="580" w:type="dxa"/>
            <w:vAlign w:val="bottom"/>
          </w:tcPr>
          <w:p>
            <w:pPr>
              <w:jc w:val="right"/>
              <w:spacing w:after="0"/>
              <w:rPr>
                <w:sz w:val="20"/>
                <w:szCs w:val="20"/>
                <w:color w:val="auto"/>
              </w:rPr>
            </w:pPr>
            <w:r>
              <w:rPr>
                <w:rFonts w:ascii="Arial" w:cs="Arial" w:eastAsia="Arial" w:hAnsi="Arial"/>
                <w:sz w:val="16"/>
                <w:szCs w:val="16"/>
                <w:color w:val="auto"/>
              </w:rPr>
              <w:t>83</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w w:val="97"/>
              </w:rPr>
              <w:t>Issuance of common stock under employee</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3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678</w:t>
            </w:r>
          </w:p>
        </w:tc>
      </w:tr>
      <w:tr>
        <w:trPr>
          <w:trHeight w:val="193"/>
        </w:trPr>
        <w:tc>
          <w:tcPr>
            <w:tcW w:w="3040" w:type="dxa"/>
            <w:vAlign w:val="bottom"/>
          </w:tcPr>
          <w:p>
            <w:pPr>
              <w:spacing w:after="0"/>
              <w:rPr>
                <w:sz w:val="20"/>
                <w:szCs w:val="20"/>
                <w:color w:val="auto"/>
              </w:rPr>
            </w:pPr>
            <w:r>
              <w:rPr>
                <w:rFonts w:ascii="Arial" w:cs="Arial" w:eastAsia="Arial" w:hAnsi="Arial"/>
                <w:sz w:val="16"/>
                <w:szCs w:val="16"/>
                <w:color w:val="auto"/>
                <w:w w:val="96"/>
              </w:rPr>
              <w:t>Fair value adjustment of interest rate swaps,</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040" w:type="dxa"/>
            <w:vAlign w:val="bottom"/>
          </w:tcPr>
          <w:p>
            <w:pPr>
              <w:ind w:left="200"/>
              <w:spacing w:after="0"/>
              <w:rPr>
                <w:sz w:val="20"/>
                <w:szCs w:val="20"/>
                <w:color w:val="auto"/>
              </w:rPr>
            </w:pPr>
            <w:r>
              <w:rPr>
                <w:rFonts w:ascii="Arial" w:cs="Arial" w:eastAsia="Arial" w:hAnsi="Arial"/>
                <w:sz w:val="16"/>
                <w:szCs w:val="16"/>
                <w:color w:val="auto"/>
              </w:rPr>
              <w:t>net of tax</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(222)</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(222)</w:t>
            </w:r>
          </w:p>
        </w:tc>
      </w:tr>
      <w:tr>
        <w:trPr>
          <w:trHeight w:val="206"/>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31,282</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31,282</w:t>
            </w:r>
          </w:p>
        </w:tc>
      </w:tr>
      <w:tr>
        <w:trPr>
          <w:trHeight w:val="20"/>
        </w:trPr>
        <w:tc>
          <w:tcPr>
            <w:tcW w:w="3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9"/>
        </w:trPr>
        <w:tc>
          <w:tcPr>
            <w:tcW w:w="3040" w:type="dxa"/>
            <w:vAlign w:val="bottom"/>
          </w:tcPr>
          <w:p>
            <w:pPr>
              <w:spacing w:after="0"/>
              <w:rPr>
                <w:sz w:val="20"/>
                <w:szCs w:val="20"/>
                <w:color w:val="auto"/>
              </w:rPr>
            </w:pPr>
            <w:r>
              <w:rPr>
                <w:rFonts w:ascii="Arial" w:cs="Arial" w:eastAsia="Arial" w:hAnsi="Arial"/>
                <w:sz w:val="16"/>
                <w:szCs w:val="16"/>
                <w:b w:val="1"/>
                <w:bCs w:val="1"/>
                <w:color w:val="auto"/>
              </w:rPr>
              <w:t>Balance, December 31, 2010</w:t>
            </w:r>
          </w:p>
        </w:tc>
        <w:tc>
          <w:tcPr>
            <w:tcW w:w="580" w:type="dxa"/>
            <w:vAlign w:val="bottom"/>
          </w:tcPr>
          <w:p>
            <w:pPr>
              <w:jc w:val="right"/>
              <w:spacing w:after="0"/>
              <w:rPr>
                <w:sz w:val="20"/>
                <w:szCs w:val="20"/>
                <w:color w:val="auto"/>
              </w:rPr>
            </w:pPr>
            <w:r>
              <w:rPr>
                <w:rFonts w:ascii="Arial" w:cs="Arial" w:eastAsia="Arial" w:hAnsi="Arial"/>
                <w:sz w:val="16"/>
                <w:szCs w:val="16"/>
                <w:color w:val="auto"/>
              </w:rPr>
              <w:t>26,799</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10,700</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391</w:t>
            </w:r>
          </w:p>
        </w:tc>
        <w:tc>
          <w:tcPr>
            <w:tcW w:w="1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195,747</w:t>
            </w:r>
          </w:p>
        </w:tc>
        <w:tc>
          <w:tcPr>
            <w:tcW w:w="1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u w:val="single" w:color="auto"/>
                <w:color w:val="auto"/>
                <w:w w:val="89"/>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0"/>
              </w:rPr>
              <w:t>(17,948)</w:t>
            </w:r>
          </w:p>
        </w:tc>
        <w:tc>
          <w:tcPr>
            <w:tcW w:w="880" w:type="dxa"/>
            <w:vAlign w:val="bottom"/>
            <w:gridSpan w:val="3"/>
          </w:tcPr>
          <w:p>
            <w:pPr>
              <w:jc w:val="right"/>
              <w:ind w:right="200"/>
              <w:spacing w:after="0"/>
              <w:rPr>
                <w:sz w:val="20"/>
                <w:szCs w:val="20"/>
                <w:color w:val="auto"/>
              </w:rPr>
            </w:pPr>
            <w:r>
              <w:rPr>
                <w:rFonts w:ascii="Arial" w:cs="Arial" w:eastAsia="Arial" w:hAnsi="Arial"/>
                <w:sz w:val="16"/>
                <w:szCs w:val="16"/>
                <w:b w:val="1"/>
                <w:bCs w:val="1"/>
                <w:u w:val="single" w:color="auto"/>
                <w:color w:val="auto"/>
                <w:w w:val="98"/>
              </w:rPr>
              <w:t>$</w:t>
            </w:r>
            <w:r>
              <w:rPr>
                <w:rFonts w:ascii="Arial" w:cs="Arial" w:eastAsia="Arial" w:hAnsi="Arial"/>
                <w:sz w:val="16"/>
                <w:szCs w:val="16"/>
                <w:b w:val="1"/>
                <w:bCs w:val="1"/>
                <w:color w:val="auto"/>
                <w:w w:val="98"/>
              </w:rPr>
              <w:t>286,951</w:t>
            </w:r>
          </w:p>
        </w:tc>
        <w:tc>
          <w:tcPr>
            <w:tcW w:w="200" w:type="dxa"/>
            <w:vAlign w:val="bottom"/>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(222)</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464,919</w:t>
            </w:r>
          </w:p>
        </w:tc>
      </w:tr>
      <w:tr>
        <w:trPr>
          <w:trHeight w:val="20"/>
        </w:trPr>
        <w:tc>
          <w:tcPr>
            <w:tcW w:w="3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6280" w:type="dxa"/>
            <w:vAlign w:val="bottom"/>
            <w:gridSpan w:val="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5"/>
              </w:rPr>
              <w:t>RUSH ENTERPRISES, INC. AND SUBSIDIARIES</w:t>
            </w:r>
          </w:p>
        </w:tc>
        <w:tc>
          <w:tcPr>
            <w:tcW w:w="54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300" w:type="dxa"/>
            <w:vAlign w:val="bottom"/>
            <w:gridSpan w:val="9"/>
          </w:tcPr>
          <w:p>
            <w:pPr>
              <w:jc w:val="center"/>
              <w:ind w:left="1290"/>
              <w:spacing w:after="0" w:line="196" w:lineRule="exact"/>
              <w:rPr>
                <w:sz w:val="20"/>
                <w:szCs w:val="20"/>
                <w:color w:val="auto"/>
              </w:rPr>
            </w:pPr>
            <w:r>
              <w:rPr>
                <w:rFonts w:ascii="Arial" w:cs="Arial" w:eastAsia="Arial" w:hAnsi="Arial"/>
                <w:sz w:val="18"/>
                <w:szCs w:val="18"/>
                <w:color w:val="auto"/>
                <w:w w:val="94"/>
              </w:rPr>
              <w:t>CONSOLIDATED STATEMENTS OF CASH FLOWS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000" w:type="dxa"/>
            <w:vAlign w:val="bottom"/>
            <w:tcBorders>
              <w:top w:val="single" w:sz="8" w:color="auto"/>
            </w:tcBorders>
          </w:tcPr>
          <w:p>
            <w:pPr>
              <w:jc w:val="center"/>
              <w:ind w:left="73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89"/>
              </w:rPr>
              <w:t>Year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31,282</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5,884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28,865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940" w:type="dxa"/>
            <w:vAlign w:val="bottom"/>
            <w:gridSpan w:val="4"/>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Adjustments to reconcile net income to net cash used in operating</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94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activities, net of acquisitions-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tcPr>
          <w:p>
            <w:pPr>
              <w:ind w:left="6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45,920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40,698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38,508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Gain on sale of property and equipment,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tcPr>
          <w:p>
            <w:pPr>
              <w:ind w:left="600"/>
              <w:spacing w:after="0"/>
              <w:rPr>
                <w:sz w:val="20"/>
                <w:szCs w:val="20"/>
                <w:color w:val="auto"/>
              </w:rPr>
            </w:pPr>
            <w:r>
              <w:rPr>
                <w:rFonts w:ascii="Arial" w:cs="Arial" w:eastAsia="Arial" w:hAnsi="Arial"/>
                <w:sz w:val="18"/>
                <w:szCs w:val="18"/>
                <w:color w:val="auto"/>
              </w:rPr>
              <w:t>Gain on disposition of equipment centers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auto"/>
              </w:rPr>
              <w:t>(10,091)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940" w:type="dxa"/>
            <w:vAlign w:val="bottom"/>
            <w:gridSpan w:val="4"/>
            <w:shd w:val="clear" w:color="auto" w:fill="CCEEFF"/>
          </w:tcPr>
          <w:p>
            <w:pPr>
              <w:ind w:left="600"/>
              <w:spacing w:after="0" w:line="201" w:lineRule="exact"/>
              <w:rPr>
                <w:sz w:val="20"/>
                <w:szCs w:val="20"/>
                <w:color w:val="auto"/>
              </w:rPr>
            </w:pPr>
            <w:r>
              <w:rPr>
                <w:rFonts w:ascii="Arial" w:cs="Arial" w:eastAsia="Arial" w:hAnsi="Arial"/>
                <w:sz w:val="18"/>
                <w:szCs w:val="18"/>
                <w:color w:val="auto"/>
                <w:w w:val="94"/>
              </w:rPr>
              <w:t>Stock-based compensation expense related to employee stock options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940" w:type="dxa"/>
            <w:vAlign w:val="bottom"/>
            <w:gridSpan w:val="4"/>
            <w:shd w:val="clear" w:color="auto" w:fill="CCEEFF"/>
          </w:tcPr>
          <w:p>
            <w:pPr>
              <w:ind w:left="800"/>
              <w:spacing w:after="0"/>
              <w:rPr>
                <w:sz w:val="20"/>
                <w:szCs w:val="20"/>
                <w:color w:val="auto"/>
              </w:rPr>
            </w:pPr>
            <w:r>
              <w:rPr>
                <w:rFonts w:ascii="Arial" w:cs="Arial" w:eastAsia="Arial" w:hAnsi="Arial"/>
                <w:sz w:val="18"/>
                <w:szCs w:val="18"/>
                <w:color w:val="auto"/>
              </w:rPr>
              <w:t>and employee stock purchases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4,468</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3,664</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tcPr>
          <w:p>
            <w:pPr>
              <w:ind w:left="600"/>
              <w:spacing w:after="0"/>
              <w:rPr>
                <w:sz w:val="20"/>
                <w:szCs w:val="20"/>
                <w:color w:val="auto"/>
              </w:rPr>
            </w:pPr>
            <w:r>
              <w:rPr>
                <w:rFonts w:ascii="Arial" w:cs="Arial" w:eastAsia="Arial" w:hAnsi="Arial"/>
                <w:sz w:val="18"/>
                <w:szCs w:val="18"/>
                <w:color w:val="auto"/>
              </w:rPr>
              <w:t>Provision (benefit) for deferred income tax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10,215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(2,980)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Excess tax provision (benefits) from stock-based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(885)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tcPr>
          <w:p>
            <w:pPr>
              <w:ind w:left="600"/>
              <w:spacing w:after="0"/>
              <w:rPr>
                <w:sz w:val="20"/>
                <w:szCs w:val="20"/>
                <w:color w:val="auto"/>
              </w:rPr>
            </w:pPr>
            <w:r>
              <w:rPr>
                <w:rFonts w:ascii="Arial" w:cs="Arial" w:eastAsia="Arial" w:hAnsi="Arial"/>
                <w:sz w:val="18"/>
                <w:szCs w:val="18"/>
                <w:color w:val="auto"/>
              </w:rPr>
              <w:t>Change in accounts receivable,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16,405</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Change in inventories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(48,548)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104,450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tcPr>
          <w:p>
            <w:pPr>
              <w:ind w:left="600"/>
              <w:spacing w:after="0"/>
              <w:rPr>
                <w:sz w:val="20"/>
                <w:szCs w:val="20"/>
                <w:color w:val="auto"/>
              </w:rPr>
            </w:pPr>
            <w:r>
              <w:rPr>
                <w:rFonts w:ascii="Arial" w:cs="Arial" w:eastAsia="Arial" w:hAnsi="Arial"/>
                <w:sz w:val="18"/>
                <w:szCs w:val="18"/>
                <w:color w:val="auto"/>
              </w:rPr>
              <w:t>Change in prepaid expenses and other,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auto"/>
              </w:rPr>
              <w:t>(10,252)</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Change in trade accounts payable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15,331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(9,103)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tcPr>
          <w:p>
            <w:pPr>
              <w:ind w:left="600"/>
              <w:spacing w:after="0"/>
              <w:rPr>
                <w:sz w:val="20"/>
                <w:szCs w:val="20"/>
                <w:color w:val="auto"/>
              </w:rPr>
            </w:pPr>
            <w:r>
              <w:rPr>
                <w:rFonts w:ascii="Arial" w:cs="Arial" w:eastAsia="Arial" w:hAnsi="Arial"/>
                <w:sz w:val="18"/>
                <w:szCs w:val="18"/>
                <w:color w:val="auto"/>
              </w:rPr>
              <w:t>Change in accrued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29,246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(8,473)</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(11,467)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66,433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150,295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83,059</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Purchase of investments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(355,575)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tcPr>
          <w:p>
            <w:pPr>
              <w:ind w:left="200"/>
              <w:spacing w:after="0"/>
              <w:rPr>
                <w:sz w:val="20"/>
                <w:szCs w:val="20"/>
                <w:color w:val="auto"/>
              </w:rPr>
            </w:pPr>
            <w:r>
              <w:rPr>
                <w:rFonts w:ascii="Arial" w:cs="Arial" w:eastAsia="Arial" w:hAnsi="Arial"/>
                <w:sz w:val="18"/>
                <w:szCs w:val="18"/>
                <w:color w:val="auto"/>
              </w:rPr>
              <w:t>Proceeds from the sale of investments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348,000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Acquisition of property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(84,303)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(50,485)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tcPr>
          <w:p>
            <w:pPr>
              <w:ind w:left="200"/>
              <w:spacing w:after="0"/>
              <w:rPr>
                <w:sz w:val="20"/>
                <w:szCs w:val="20"/>
                <w:color w:val="auto"/>
              </w:rPr>
            </w:pPr>
            <w:r>
              <w:rPr>
                <w:rFonts w:ascii="Arial" w:cs="Arial" w:eastAsia="Arial" w:hAnsi="Arial"/>
                <w:sz w:val="18"/>
                <w:szCs w:val="18"/>
                <w:color w:val="auto"/>
              </w:rPr>
              <w:t>Proceeds from the sale of property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Business acquisitions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(39,268)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tcPr>
          <w:p>
            <w:pPr>
              <w:ind w:left="200"/>
              <w:spacing w:after="0"/>
              <w:rPr>
                <w:sz w:val="20"/>
                <w:szCs w:val="20"/>
                <w:color w:val="auto"/>
              </w:rPr>
            </w:pPr>
            <w:r>
              <w:rPr>
                <w:rFonts w:ascii="Arial" w:cs="Arial" w:eastAsia="Arial" w:hAnsi="Arial"/>
                <w:sz w:val="18"/>
                <w:szCs w:val="18"/>
                <w:color w:val="auto"/>
              </w:rPr>
              <w:t>Proceeds from disposition of equipment centers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26,234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5940" w:type="dxa"/>
            <w:vAlign w:val="bottom"/>
            <w:gridSpan w:val="4"/>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auto"/>
              </w:rPr>
              <w:t>(96,707)</w:t>
            </w:r>
          </w:p>
        </w:tc>
        <w:tc>
          <w:tcPr>
            <w:tcW w:w="20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(49,758)</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(111,043)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tcPr>
          <w:p>
            <w:pPr>
              <w:ind w:left="200"/>
              <w:spacing w:after="0"/>
              <w:rPr>
                <w:sz w:val="20"/>
                <w:szCs w:val="20"/>
                <w:color w:val="auto"/>
              </w:rPr>
            </w:pPr>
            <w:r>
              <w:rPr>
                <w:rFonts w:ascii="Arial" w:cs="Arial" w:eastAsia="Arial" w:hAnsi="Arial"/>
                <w:sz w:val="18"/>
                <w:szCs w:val="18"/>
                <w:color w:val="auto"/>
              </w:rPr>
              <w:t>(Payments) draws on floor plan notes payable,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43,724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(93,446)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Proceeds from long-term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66,614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50,417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tcPr>
          <w:p>
            <w:pPr>
              <w:ind w:left="200"/>
              <w:spacing w:after="0"/>
              <w:rPr>
                <w:sz w:val="20"/>
                <w:szCs w:val="20"/>
                <w:color w:val="auto"/>
              </w:rPr>
            </w:pPr>
            <w:r>
              <w:rPr>
                <w:rFonts w:ascii="Arial" w:cs="Arial" w:eastAsia="Arial" w:hAnsi="Arial"/>
                <w:sz w:val="18"/>
                <w:szCs w:val="18"/>
                <w:color w:val="auto"/>
              </w:rPr>
              <w:t>Principal payments on long-term debt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auto"/>
              </w:rPr>
              <w:t>(55,575)</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(50,591)</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(43,344)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(7,595)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(4,693)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940" w:type="dxa"/>
            <w:vAlign w:val="bottom"/>
            <w:gridSpan w:val="4"/>
          </w:tcPr>
          <w:p>
            <w:pPr>
              <w:ind w:left="200"/>
              <w:spacing w:after="0" w:line="201" w:lineRule="exact"/>
              <w:rPr>
                <w:sz w:val="20"/>
                <w:szCs w:val="20"/>
                <w:color w:val="auto"/>
              </w:rPr>
            </w:pPr>
            <w:r>
              <w:rPr>
                <w:rFonts w:ascii="Arial" w:cs="Arial" w:eastAsia="Arial" w:hAnsi="Arial"/>
                <w:sz w:val="18"/>
                <w:szCs w:val="18"/>
                <w:color w:val="auto"/>
                <w:w w:val="97"/>
              </w:rPr>
              <w:t>Proceeds from issuance of shares relating to employee stock options and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940" w:type="dxa"/>
            <w:vAlign w:val="bottom"/>
            <w:gridSpan w:val="4"/>
          </w:tcPr>
          <w:p>
            <w:pPr>
              <w:ind w:left="400"/>
              <w:spacing w:after="0"/>
              <w:rPr>
                <w:sz w:val="20"/>
                <w:szCs w:val="20"/>
                <w:color w:val="auto"/>
              </w:rPr>
            </w:pPr>
            <w:r>
              <w:rPr>
                <w:rFonts w:ascii="Arial" w:cs="Arial" w:eastAsia="Arial" w:hAnsi="Arial"/>
                <w:sz w:val="18"/>
                <w:szCs w:val="18"/>
                <w:color w:val="auto"/>
              </w:rPr>
              <w:t>employee stock purchases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2,281</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827</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Excess tax (provision) benefits from stock-based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tcPr>
          <w:p>
            <w:pPr>
              <w:ind w:left="200"/>
              <w:spacing w:after="0"/>
              <w:rPr>
                <w:sz w:val="20"/>
                <w:szCs w:val="20"/>
                <w:color w:val="auto"/>
              </w:rPr>
            </w:pPr>
            <w:r>
              <w:rPr>
                <w:rFonts w:ascii="Arial" w:cs="Arial" w:eastAsia="Arial" w:hAnsi="Arial"/>
                <w:sz w:val="18"/>
                <w:szCs w:val="18"/>
                <w:color w:val="auto"/>
              </w:rPr>
              <w:t>Purchase of treasury stock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5940" w:type="dxa"/>
            <w:vAlign w:val="bottom"/>
            <w:gridSpan w:val="4"/>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50,155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(97,853)</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(12,614)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19,881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(40,598)</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149,095</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146,411</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187,009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168,976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149,095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146,411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9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Cash paid during the year for: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tcPr>
          <w:p>
            <w:pPr>
              <w:ind w:left="400"/>
              <w:spacing w:after="0"/>
              <w:rPr>
                <w:sz w:val="20"/>
                <w:szCs w:val="20"/>
                <w:color w:val="auto"/>
              </w:rPr>
            </w:pPr>
            <w:r>
              <w:rPr>
                <w:rFonts w:ascii="Arial" w:cs="Arial" w:eastAsia="Arial" w:hAnsi="Arial"/>
                <w:sz w:val="18"/>
                <w:szCs w:val="18"/>
                <w:color w:val="auto"/>
              </w:rPr>
              <w:t>Interest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13,264</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14,298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16,605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94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Income taxes, net of refunds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7,544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40" w:type="dxa"/>
            <w:vAlign w:val="bottom"/>
            <w:gridSpan w:val="4"/>
            <w:vMerge w:val="restart"/>
          </w:tcPr>
          <w:p>
            <w:pPr>
              <w:ind w:left="200"/>
              <w:spacing w:after="0"/>
              <w:rPr>
                <w:sz w:val="20"/>
                <w:szCs w:val="20"/>
                <w:color w:val="auto"/>
              </w:rPr>
            </w:pPr>
            <w:r>
              <w:rPr>
                <w:rFonts w:ascii="Arial" w:cs="Arial" w:eastAsia="Arial" w:hAnsi="Arial"/>
                <w:sz w:val="18"/>
                <w:szCs w:val="18"/>
                <w:color w:val="auto"/>
              </w:rPr>
              <w:t>Noncash investing and financing activities:</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94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4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Note receivable related to disposition of equipment centers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4,453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40" w:type="dxa"/>
            <w:vAlign w:val="bottom"/>
            <w:gridSpan w:val="4"/>
            <w:vMerge w:val="restart"/>
          </w:tcPr>
          <w:p>
            <w:pPr>
              <w:ind w:left="400"/>
              <w:spacing w:after="0"/>
              <w:rPr>
                <w:sz w:val="20"/>
                <w:szCs w:val="20"/>
                <w:color w:val="auto"/>
              </w:rPr>
            </w:pPr>
            <w:r>
              <w:rPr>
                <w:rFonts w:ascii="Arial" w:cs="Arial" w:eastAsia="Arial" w:hAnsi="Arial"/>
                <w:sz w:val="18"/>
                <w:szCs w:val="18"/>
                <w:color w:val="auto"/>
              </w:rPr>
              <w:t>Assets acquired under capital leases</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940" w:type="dxa"/>
            <w:vAlign w:val="bottom"/>
            <w:gridSpan w:val="4"/>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15,353</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24,317</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82"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82"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80"/>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84" w:lineRule="exact"/>
        <w:rPr>
          <w:sz w:val="20"/>
          <w:szCs w:val="20"/>
          <w:color w:val="auto"/>
        </w:rPr>
      </w:pPr>
    </w:p>
    <w:p>
      <w:pPr>
        <w:ind w:left="520" w:hanging="188"/>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ORGANIZATION AND OPERATIONS</w:t>
      </w:r>
      <w:r>
        <w:rPr>
          <w:rFonts w:ascii="Arial" w:cs="Arial" w:eastAsia="Arial" w:hAnsi="Arial"/>
          <w:sz w:val="18"/>
          <w:szCs w:val="18"/>
          <w:color w:val="auto"/>
        </w:rPr>
        <w:t>:</w:t>
      </w:r>
    </w:p>
    <w:p>
      <w:pPr>
        <w:spacing w:after="0" w:line="185"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Rush Enterprises, Inc. (the “Company”) was incorporated in 1965 under the laws of the State of Texas. The Company operates a Truck Segment. The Truck Segment operates a regional network of Rush Truck Centers. Rush Truck Centers primarily sell commercial vehicles manufactured by Peterbilt, International, Hino, UD, Ford, Isuzu, Mitsubishi Fuso, IC Bus or Blue Bird. Through its strategically located network of Rush Truck Centers, the Company provides one-stop service for the needs of its customers, including retail sales of new and used commercial vehicles, aftermarket parts sales, service and repair facilities, financing, leasing and rental, and insurance products. The Company’s Rush Truck Centers are located in areas on or near major highways in Alabama, Arizona, California, Colorado, Florida, Georgia, Idaho, New Mexico, North Carolina, Oklahoma, Oregon, Tennessee, Texas and Utah. See Note 21 of the Notes to Consolidated Financial Statements for segment information.</w:t>
      </w:r>
    </w:p>
    <w:p>
      <w:pPr>
        <w:spacing w:after="0" w:line="138"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Certain amounts reflected in the accompanying Consolidated Balance Sheet as of December 31, 2009, have been classified as Assets Held for Sale related to the sale of the construction equipment business in September 2010. Amounts in the accompanying Consolidated Statements of Income for the years ended December 31, 2009 and 2008, have been reclassified to reflect the results of the equipment center business sold during 2010, as if the Company had classified the equipment center business as discontinued operations for all years presented.</w:t>
      </w:r>
    </w:p>
    <w:p>
      <w:pPr>
        <w:spacing w:after="0" w:line="161" w:lineRule="exact"/>
        <w:rPr>
          <w:sz w:val="20"/>
          <w:szCs w:val="20"/>
          <w:color w:val="auto"/>
        </w:rPr>
      </w:pPr>
    </w:p>
    <w:p>
      <w:pPr>
        <w:ind w:left="340" w:right="6459" w:hanging="8"/>
        <w:spacing w:after="0" w:line="45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Principles of Consolidation</w:t>
      </w:r>
    </w:p>
    <w:p>
      <w:pPr>
        <w:jc w:val="both"/>
        <w:ind w:left="340" w:right="179"/>
        <w:spacing w:after="0" w:line="277" w:lineRule="auto"/>
        <w:rPr>
          <w:sz w:val="20"/>
          <w:szCs w:val="20"/>
          <w:color w:val="auto"/>
        </w:rPr>
      </w:pPr>
      <w:r>
        <w:rPr>
          <w:rFonts w:ascii="Arial" w:cs="Arial" w:eastAsia="Arial" w:hAnsi="Arial"/>
          <w:sz w:val="18"/>
          <w:szCs w:val="18"/>
          <w:color w:val="auto"/>
        </w:rPr>
        <w:t>The consolidated financial statements presented herein include the accounts of Rush Enterprises, Inc. together with our consolidated subsidiaries. All significant inter-company balances and transactions have been eliminated in consolidation.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Estimates in Financial Statements</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and Cash Equivalents</w:t>
      </w:r>
    </w:p>
    <w:p>
      <w:pPr>
        <w:spacing w:after="0" w:line="198"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Cash and cash equivalents generally consist of cash and other money market instruments. The Company considers all highly liquid investments with an original maturity of ninety days or less to be cash equivalents.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Allowance for Doubtful Receivables and Repossession Losses</w:t>
      </w:r>
    </w:p>
    <w:p>
      <w:pPr>
        <w:spacing w:after="0" w:line="18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Company provides an allowance for doubtful receivables and repossession losses after considering historical loss experience and other factors that might affect the collection of accounts receivable and the ability of customers to meet their obligations on finance contracts sold by the Company.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Inventories</w:t>
      </w:r>
    </w:p>
    <w:p>
      <w:pPr>
        <w:spacing w:after="0" w:line="185"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truck and construction equipment inventory and by the first-in, first-out method for tires, parts and accessories. An allowance is provided when it is anticipated that cost will exceed net realizable value plus a reasonable profit margin.</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Property and Equipment</w:t>
      </w:r>
    </w:p>
    <w:p>
      <w:pPr>
        <w:spacing w:after="0" w:line="19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capitalized interest of $0.5 million related to major capital projects during 2010. The cost, accumulated depreciation and amortization and estimated useful lives are summarized as follows (in thousands):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Estimated Life</w:t>
            </w:r>
          </w:p>
        </w:tc>
      </w:tr>
      <w:tr>
        <w:trPr>
          <w:trHeight w:val="230"/>
        </w:trPr>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20"/>
                <w:szCs w:val="20"/>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(Years)</w:t>
            </w:r>
          </w:p>
        </w:tc>
      </w:tr>
      <w:tr>
        <w:trPr>
          <w:trHeight w:val="210"/>
        </w:trPr>
        <w:tc>
          <w:tcPr>
            <w:tcW w:w="5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60,032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45,432</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143,989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93,755</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9"/>
              </w:rPr>
              <w:t>31 – 39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21,164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20,584</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 – 39</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Machinery and shop equipment</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31,287</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27,337</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5 – 20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computers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29,812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26,037</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 – 15</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31,611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28,464</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2 – 15</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 vehicles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258,847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207,820</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 – 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37,513</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46,082</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(168,336)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(141,670)</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445,919</w:t>
            </w:r>
          </w:p>
        </w:tc>
        <w:tc>
          <w:tcPr>
            <w:tcW w:w="38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353,841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As of December 31, 2010, the Company had $53.5 million in lease and rental vehicles under various capital leases included in property and equipment, net of accumulated depreciation of $12.6 million. The Company recorded depreciation expense of $39.6 million and amortization expense of $6.3 million for the year ended December 31, 2010, and depreciation expense of $36.1 million and amortization expense of $4.6 million for the year ended December 31, 2009. Depreciation and amortization of vehicles related to lease and rental operations is included in lease and rental cost of products sold.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Goodwill</w:t>
      </w:r>
    </w:p>
    <w:p>
      <w:pPr>
        <w:spacing w:after="0" w:line="198"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Goodwill is the excess of the purchase price over the fair value of identifiable net assets acquired in business combinations accounted for under the purchase method. The Company does not amortize goodwill, but tests goodwill for impairment annually in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A reporting unit is an operating segment, for which discrete financial information is prepared and regularly reviewed by segment management. The Company has deemed its reporting unit to be its operating segment, the Truck Segment, which is the level at which segment management regularly reviews operating results and makes resource allocation decisions.</w:t>
      </w:r>
    </w:p>
    <w:p>
      <w:pPr>
        <w:spacing w:after="0" w:line="138"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Then, the implied fair value of the reporting unit’s goodwill is compared to the carrying amount of that goodwill. If the carrying amount of the reporting unit’s goodwill exceeds the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each reporting unit discounted at rates consistent with the cost of capital specific to the reporting unit.</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An interim evaluation of goodwill was required during the second quarter of 2009 due to General Motors’ decision to terminate production of medium-duty GMC trucks, which resulted in the winding-down of the Company’s medium-duty GMC truck franchises. The goodwill allocation was based on the relative fair values of the medium-duty GMC truck franchises and the portion of the Company’s Truck Segment remaining. The Company’s Truck Segment recorded a non-cash charge of $0.8 million related to the impairment of the goodwill of its medium-duty GMC truck franchises. See Note 18 for further discussion of the wind-down of the Company’s medium-duty GMC truck franchise agreements.</w:t>
      </w:r>
    </w:p>
    <w:p>
      <w:pPr>
        <w:spacing w:after="0" w:line="166"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Goodwill was tested for impairment during the fourth quarter of 2010 and no impairment write down was required. However, the Company cannot predict the occurrence of certain events that might adversely affect the reported value of goodwill in the future. Such events may include, but are not limited to, strategic decisions made in response to economic and competitive conditions or another significant decrease in general economic conditions in the United States.</w:t>
      </w:r>
    </w:p>
    <w:p>
      <w:pPr>
        <w:spacing w:after="0" w:line="146"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following table sets forth the change in the carrying amount of goodwill for the Company for the period ended December 31, 2010:</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136,761</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Acquisition of Lake City International (See Note 16)</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9,231</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Joe Cooper Truck Center, LLC (See Note 16)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Acquisition of Metro Ford Truck Sales (See Note 16)</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2,957</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Balance December 31, 2010</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Income Taxes</w:t>
      </w:r>
    </w:p>
    <w:p>
      <w:pPr>
        <w:spacing w:after="0" w:line="198"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37"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In determining our provision for income taxes, the Company uses an annual effective income tax rate based on annual income, permanent differences between book and tax income, and statutory income tax rates. The effective income tax rate also reflects our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148"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The Company’s income tax returns, like those of most companies, are periodically audited by U.S. federal, state and local tax authorities. These audits include questions regarding the Company’s tax filing positions, including the timing and amount of deductions. At any one time, multiple tax years are subject to audit by the various tax authorities. In evaluating the tax benefits associated with the Company’s various tax filing positions, it records a tax benefit for uncertain tax positions. A number of years may elapse before a particular matter, for which the Company has established a liability, is audited and effectively settled. The Company adjusts its liability for unrecognized tax benefits in the period in which it determines the issue is effectively settled with the tax authorities, the statute of limitations expires for the relevant taxing authority to examine the tax position, or when more information becomes available. The Company includes its liability for unrecognized tax benefits, including accrued interest, in accrued liabilities on the Company’s Consolidated Balance Sheet and in income tax expense in the Company’s Consolidated Statement of Income.</w:t>
      </w:r>
    </w:p>
    <w:p>
      <w:pPr>
        <w:spacing w:after="0" w:line="140"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Effective January 1, 2007, the Company adopted ASC topic 740-10, “Income Taxes.” ASC topic 740-10 clarified the accounting for uncertainty in income taxes recognized in the financial statements by prescribing a recognition threshold and measurement attribute for a tax position taken or expected to be taken in a tax return. ASC topic 740-10 provides guidance regarding the recognition, measurement, presentation and disclosure in the financial statements of tax positions taken or expected to be taken on a tax return. ASC topic 740-10 requires that only income tax benefits that meet the “more likely than not” recognition threshold be recognized or continue to be recognized on its effective date.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 Recognition Policies</w:t>
      </w:r>
    </w:p>
    <w:p>
      <w:pPr>
        <w:spacing w:after="0" w:line="185"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Income on the sale of a vehicle (a “unit”) is recognized when the seller and customer execute a purchase contract, delivery has occurred and there are no significant uncertainties related to financing or collectibility. Finance income related to the sale of a unit is recognized over the period of the respective finance contract, based on the effective interest rate method, if the finance contract is retained by the Company. During 2010, 2009 and 2008, no finance contracts were retained for any significant length of time by the Company but were generally sold, with limited recourse, to certain finance companies concurrent with the sale of the related unit. Gain or loss is recognized by the Company upon the sale of such finance contracts to the finance companies, net of a provision for estimated repossession losses and early repayment penalties. Lease and rental income is recognized over the period of the related lease or rental agreement. Contingent rental income is recognized when it is earned. Parts and services revenue is earned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Cost of Sales</w:t>
      </w:r>
    </w:p>
    <w:p>
      <w:pPr>
        <w:spacing w:after="0" w:line="198"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For the Company’s new and used commercial vehicle operations and its parts operations, cost of sales consists primarily of the Company’s actual purchase price, less manufacturer’s incentives, for new and used commercial vehicles and parts. The Company is subject to a chargeback of manufacturer incentives for commercial vehicles that are not sold to the customer for which they were ordered. The Company records a liability for a potential chargeback of manufacturer incentives in its financial statements. For the Company’s service and body shop operations, technician labor cost is the primary component of cost of sales. For the Company’s rental and leasing operations, cost of sales consists primarily of depreciation and amortization, rent, and interest expense on the lease and rental fleet owned and leased by the Company, and the maintenance cost of the lease and rental fleet. There are no costs of sales associated with the Company’s finance and insurance revenue or other revenue.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Taxes Assessed by a Governmental Authority</w:t>
      </w:r>
    </w:p>
    <w:p>
      <w:pPr>
        <w:spacing w:after="0" w:line="18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Company accounts for sales taxes assessed by a governmental authority, that are directly imposed on a revenue-producing transaction, on a net (excluded from revenues) basis.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18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Selling, general and administrative expenses consist primarily of incentive-based compensation for sales, finance and general management personnel, salaries for administrative personnel and expenses for rent, marketing, insurance, utilities, shipping and handling costs and other general operating purposes.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Based Compensation</w:t>
      </w:r>
    </w:p>
    <w:p>
      <w:pPr>
        <w:spacing w:after="0" w:line="19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Company applies the provisions of ASC topic 718-10, “Compensation — Stock Compensation,” which requires the measurement and recognition of compensation expense for all share-based payment awards made to employees and directors including grants of employee stock options and restricted stock and employee stock purchases under the Employee Stock Purchase Plan based on estimated fair values.</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Statements of Income.</w:t>
      </w:r>
    </w:p>
    <w:p>
      <w:pPr>
        <w:spacing w:after="0" w:line="154"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Stock-based compensation expense recognized is based on the fair value of the portion of share-based payment awards that is ultimately expected to vest during the period. Compensation expense for all share-based payment awards is recognized using the straight-line single-option method. As stock-based compensation expense recognized in the Consolidated Statements of Income is based on awards ultimately expected to vest, it has been reduced for estimated forfeitures. Forfeitures are estimated at the time of grant and revised, if necessary, in subsequent periods if actual forfeitures differ from those estimates.</w:t>
      </w:r>
    </w:p>
    <w:p>
      <w:pPr>
        <w:spacing w:after="0" w:line="132"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certain characteristics that are significantly different from traded options, and because changes in the subjective assumptions can materially affect the estimated value, in management’s opinion, the existing valuation models may not provide an accurate measure of the fair value of the Company’s stock options. Although the fair value of stock options is determined in accordance with ASC topic 718-10 using an option-pricing model, that value may not be indicative of the fair value observed in a market transaction between a willing buyer and a willing seller.</w:t>
      </w:r>
    </w:p>
    <w:p>
      <w:pPr>
        <w:spacing w:after="0" w:line="137"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4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volatility</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46.3%</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35.7% - 36.7%</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Weighted-average stock volatility</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46.3%</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36.7%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1.87%</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2.41%</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Weighted-average fair value of stock options granted</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5.80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3.25</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$5.62</w:t>
            </w:r>
          </w:p>
        </w:tc>
      </w:tr>
    </w:tbl>
    <w:p>
      <w:pPr>
        <w:spacing w:after="0" w:line="160"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Advertising Costs</w:t>
      </w:r>
    </w:p>
    <w:p>
      <w:pPr>
        <w:spacing w:after="0" w:line="185"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Advertising costs are expensed as incurred. Advertising and marketing expense was $2.9 million for 2010, $2.1 million for 2009 and $3.6 million for 2008. Advertising and marketing expense is included in selling, general and administrative expense.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Accounting for Internal Use Software</w:t>
      </w:r>
    </w:p>
    <w:p>
      <w:pPr>
        <w:spacing w:after="0" w:line="185"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Company’s accounting policy with respect to accounting for computer software developed or obtained for internal use is consistent with ASC topic 350-40 which provides guidance on accounting for the costs of computer software developed or obtained for internal use and identifies characteristics of internal-use software. The Company has capitalized software costs, including capitalized interest, of approximately $36.7 million at December 31, 2010, and $28.5 million at December 31, 2009.</w:t>
      </w:r>
    </w:p>
    <w:p>
      <w:pPr>
        <w:spacing w:after="0" w:line="200" w:lineRule="exact"/>
        <w:rPr>
          <w:sz w:val="20"/>
          <w:szCs w:val="20"/>
          <w:color w:val="auto"/>
        </w:rPr>
      </w:pPr>
    </w:p>
    <w:p>
      <w:pPr>
        <w:spacing w:after="0" w:line="33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Insurance</w:t>
      </w:r>
    </w:p>
    <w:p>
      <w:pPr>
        <w:spacing w:after="0" w:line="19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Derivative Instruments and Hedging Activities</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160"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At December 31, 2010, the Company had an aggregate $45.0 million notional amount of interest rate swap contracts, which have been designated as cash flow hedges, to pay fixed rates of interest and receive a floating interest rate based on LIBOR. The fixed interest rates specified in the interest rate swap contracts become effective on or about January 1, 2012.</w:t>
      </w:r>
    </w:p>
    <w:p>
      <w:pPr>
        <w:spacing w:after="0" w:line="125" w:lineRule="exact"/>
        <w:rPr>
          <w:sz w:val="20"/>
          <w:szCs w:val="20"/>
          <w:color w:val="auto"/>
        </w:rPr>
      </w:pPr>
    </w:p>
    <w:p>
      <w:pPr>
        <w:ind w:left="340" w:right="5819" w:hanging="8"/>
        <w:spacing w:after="0" w:line="489"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SUPPLIER AND CUSTOMER CONCENTRATION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Major Suppliers and Dealership Agreements</w:t>
      </w:r>
    </w:p>
    <w:p>
      <w:pPr>
        <w:jc w:val="both"/>
        <w:ind w:left="340" w:right="159"/>
        <w:spacing w:after="0" w:line="259" w:lineRule="auto"/>
        <w:rPr>
          <w:sz w:val="20"/>
          <w:szCs w:val="20"/>
          <w:color w:val="auto"/>
        </w:rPr>
      </w:pPr>
      <w:r>
        <w:rPr>
          <w:rFonts w:ascii="Arial" w:cs="Arial" w:eastAsia="Arial" w:hAnsi="Arial"/>
          <w:sz w:val="18"/>
          <w:szCs w:val="18"/>
          <w:color w:val="auto"/>
        </w:rPr>
        <w:t>The Company has entered into dealership agreements with various manufacturers of vehicles (“Manufacturers”). These agreements are nonexclusive agreements that allow the Company to stock, sell at retail and service commercial vehicles and products of the Manufacturers in the Company’s defined market. The agreements allow the Company to use the Manufacturers’ names, trade symbols and intellectual property and expire as follows: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Distributor</w:t>
            </w:r>
          </w:p>
        </w:tc>
        <w:tc>
          <w:tcPr>
            <w:tcW w:w="26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Dates</w:t>
            </w: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Peterbilt</w:t>
            </w:r>
          </w:p>
        </w:tc>
        <w:tc>
          <w:tcPr>
            <w:tcW w:w="2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2011 through July 2013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May 2013 through May 2015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Autocar</w:t>
            </w:r>
          </w:p>
        </w:tc>
        <w:tc>
          <w:tcPr>
            <w:tcW w:w="2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2011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Mitsubishi Fuso</w:t>
            </w:r>
          </w:p>
        </w:tc>
        <w:tc>
          <w:tcPr>
            <w:tcW w:w="2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May 2015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Isuzu</w:t>
            </w:r>
          </w:p>
        </w:tc>
        <w:tc>
          <w:tcPr>
            <w:tcW w:w="2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Hino</w:t>
            </w:r>
          </w:p>
        </w:tc>
        <w:tc>
          <w:tcPr>
            <w:tcW w:w="2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UD</w:t>
            </w:r>
          </w:p>
        </w:tc>
        <w:tc>
          <w:tcPr>
            <w:tcW w:w="2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Ford</w:t>
            </w:r>
          </w:p>
        </w:tc>
        <w:tc>
          <w:tcPr>
            <w:tcW w:w="2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Blue Bird</w:t>
            </w:r>
          </w:p>
        </w:tc>
        <w:tc>
          <w:tcPr>
            <w:tcW w:w="2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August 2013</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IC Bus</w:t>
            </w:r>
          </w:p>
        </w:tc>
        <w:tc>
          <w:tcPr>
            <w:tcW w:w="26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May 2015</w:t>
            </w:r>
          </w:p>
        </w:tc>
      </w:tr>
    </w:tbl>
    <w:p>
      <w:pPr>
        <w:spacing w:after="0" w:line="147"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46"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Company purchases its new Peterbilt vehicles and most of its parts from PACCAR, the maker of Peterbilt trucks and parts, at prevailing prices charged to all franchised dealers. Sales of new Peterbilt trucks accounted for approximately 77.1% of the Company’s new vehicle sales for the year ended December 31, 2010, and 80.5% of the Company’s new vehicle sales for the year ended December 31, 2009.</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Primary Lenders</w:t>
      </w:r>
    </w:p>
    <w:p>
      <w:pPr>
        <w:spacing w:after="0" w:line="198" w:lineRule="exact"/>
        <w:rPr>
          <w:sz w:val="20"/>
          <w:szCs w:val="20"/>
          <w:color w:val="auto"/>
        </w:rPr>
      </w:pPr>
    </w:p>
    <w:p>
      <w:pPr>
        <w:jc w:val="both"/>
        <w:ind w:left="340" w:right="1360"/>
        <w:spacing w:after="0" w:line="297" w:lineRule="auto"/>
        <w:rPr>
          <w:sz w:val="20"/>
          <w:szCs w:val="20"/>
          <w:color w:val="auto"/>
        </w:rPr>
      </w:pPr>
      <w:r>
        <w:rPr>
          <w:rFonts w:ascii="Arial" w:cs="Arial" w:eastAsia="Arial" w:hAnsi="Arial"/>
          <w:sz w:val="16"/>
          <w:szCs w:val="16"/>
          <w:color w:val="auto"/>
        </w:rPr>
        <w:t>The Company purchases its new and used commercial vehicle inventories with the assistance of floor plan financing programs. The Company’s floor plan financing agreements provide that the occurrence of certain events will be considered events of default. There were no known events of default as of December 31, 2010.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pacing w:after="0" w:line="118" w:lineRule="exact"/>
        <w:rPr>
          <w:sz w:val="20"/>
          <w:szCs w:val="20"/>
          <w:color w:val="auto"/>
        </w:rPr>
      </w:pPr>
    </w:p>
    <w:p>
      <w:pPr>
        <w:jc w:val="both"/>
        <w:ind w:left="340" w:right="1380"/>
        <w:spacing w:after="0" w:line="259" w:lineRule="auto"/>
        <w:rPr>
          <w:sz w:val="20"/>
          <w:szCs w:val="20"/>
          <w:color w:val="auto"/>
        </w:rPr>
      </w:pPr>
      <w:r>
        <w:rPr>
          <w:rFonts w:ascii="Arial" w:cs="Arial" w:eastAsia="Arial" w:hAnsi="Arial"/>
          <w:sz w:val="18"/>
          <w:szCs w:val="18"/>
          <w:color w:val="auto"/>
        </w:rPr>
        <w:t>The Company’s long-term real estate debt agreements and floor plan financing arrangements require the Company to satisfy various financial ratios such as the debt to worth ratio, leverage ratio, the fixed charge coverage ratio and certain requirements for tangible net worth and GAAP net worth. At December 31, 2010, the Company was in compliance with all debt covenants. The Company does not anticipate any breach of the covenants in the foreseeable future.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Concentrations of Credit Risks</w:t>
      </w:r>
    </w:p>
    <w:p>
      <w:pPr>
        <w:spacing w:after="0" w:line="198"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As of December 31, 2010, the Company had deposits in excess of federal insurance protection totaling approximately $42.5 million.</w:t>
      </w:r>
    </w:p>
    <w:p>
      <w:pPr>
        <w:spacing w:after="0" w:line="146" w:lineRule="exact"/>
        <w:rPr>
          <w:sz w:val="20"/>
          <w:szCs w:val="20"/>
          <w:color w:val="auto"/>
        </w:rPr>
      </w:pPr>
    </w:p>
    <w:p>
      <w:pPr>
        <w:jc w:val="both"/>
        <w:ind w:left="340" w:right="1360"/>
        <w:spacing w:after="0" w:line="279" w:lineRule="auto"/>
        <w:rPr>
          <w:sz w:val="20"/>
          <w:szCs w:val="20"/>
          <w:color w:val="auto"/>
        </w:rPr>
      </w:pPr>
      <w:r>
        <w:rPr>
          <w:rFonts w:ascii="Arial" w:cs="Arial" w:eastAsia="Arial" w:hAnsi="Arial"/>
          <w:sz w:val="17"/>
          <w:szCs w:val="17"/>
          <w:color w:val="auto"/>
        </w:rPr>
        <w:t>The Company controls credit risk through credit approvals and by selling a majority of its trade receivables without recourse. Concentrations of credit risk with respect to trade receivables are reduced because a large number of geographically diverse customers make up the Company’s customer base, thus spreading the trade credit risk. A majority of the Company’s business, however, is concentrated in the United States commercial vehicle markets and related aftermarkets.</w:t>
      </w:r>
    </w:p>
    <w:p>
      <w:pPr>
        <w:spacing w:after="0" w:line="131" w:lineRule="exact"/>
        <w:rPr>
          <w:sz w:val="20"/>
          <w:szCs w:val="20"/>
          <w:color w:val="auto"/>
        </w:rPr>
      </w:pPr>
    </w:p>
    <w:p>
      <w:pPr>
        <w:jc w:val="both"/>
        <w:ind w:left="340" w:right="1360"/>
        <w:spacing w:after="0" w:line="302" w:lineRule="auto"/>
        <w:rPr>
          <w:sz w:val="20"/>
          <w:szCs w:val="20"/>
          <w:color w:val="auto"/>
        </w:rPr>
      </w:pPr>
      <w:r>
        <w:rPr>
          <w:rFonts w:ascii="Arial" w:cs="Arial" w:eastAsia="Arial" w:hAnsi="Arial"/>
          <w:sz w:val="16"/>
          <w:szCs w:val="16"/>
          <w:color w:val="auto"/>
        </w:rPr>
        <w:t>The Company generally sells finance contracts it enters into with customers to finance the purchase of commercial vehicles to third parties. These finance contracts are sold both with and without recourse. A majority of the Company’s finance contracts are sold without recourse. The Company provides an allowance for doubtful receivables and a reserve for repossession losses related to finance contracts sold. Historically, the Company’s allowance and reserve have covered losses inherent in these receivables.</w:t>
      </w:r>
    </w:p>
    <w:p>
      <w:pPr>
        <w:spacing w:after="0" w:line="127" w:lineRule="exact"/>
        <w:rPr>
          <w:sz w:val="20"/>
          <w:szCs w:val="20"/>
          <w:color w:val="auto"/>
        </w:rPr>
      </w:pPr>
    </w:p>
    <w:p>
      <w:pPr>
        <w:ind w:left="520" w:hanging="188"/>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accounts receivable, net,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from sale of vehicles</w:t>
            </w:r>
          </w:p>
        </w:tc>
        <w:tc>
          <w:tcPr>
            <w:tcW w:w="3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Trade receivables other than vehicles</w:t>
            </w: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13,450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10,073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3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4,283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10,674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9,629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bad debt and warranty receivable</w:t>
            </w:r>
          </w:p>
        </w:tc>
        <w:tc>
          <w:tcPr>
            <w:tcW w:w="3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3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43,513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38,869</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20" w:type="dxa"/>
            <w:vAlign w:val="bottom"/>
            <w:vMerge w:val="restart"/>
          </w:tcPr>
          <w:p>
            <w:pPr>
              <w:jc w:val="right"/>
              <w:ind w:right="2270"/>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22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Pr>
          <w:p>
            <w:pPr>
              <w:spacing w:after="0"/>
              <w:rPr>
                <w:sz w:val="24"/>
                <w:szCs w:val="24"/>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5. INVENTORIES: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820" w:type="dxa"/>
            <w:vAlign w:val="bottom"/>
            <w:gridSpan w:val="11"/>
          </w:tcPr>
          <w:p>
            <w:pPr>
              <w:spacing w:after="0"/>
              <w:rPr>
                <w:sz w:val="20"/>
                <w:szCs w:val="20"/>
                <w:color w:val="auto"/>
              </w:rPr>
            </w:pPr>
            <w:r>
              <w:rPr>
                <w:rFonts w:ascii="Arial" w:cs="Arial" w:eastAsia="Arial" w:hAnsi="Arial"/>
                <w:sz w:val="18"/>
                <w:szCs w:val="18"/>
                <w:color w:val="auto"/>
              </w:rPr>
              <w:t>The Company’s inventories consisted of the following (in thousands):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2010</w:t>
            </w: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New commercial vehicles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209,969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Used commercial vehicles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27,002</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Parts and accessories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83,215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5,078</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Less allowance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321,933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252,219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20" w:type="dxa"/>
            <w:vAlign w:val="bottom"/>
            <w:gridSpan w:val="5"/>
            <w:vMerge w:val="restart"/>
          </w:tcPr>
          <w:p>
            <w:pPr>
              <w:spacing w:after="0"/>
              <w:rPr>
                <w:sz w:val="20"/>
                <w:szCs w:val="20"/>
                <w:color w:val="auto"/>
              </w:rPr>
            </w:pPr>
            <w:r>
              <w:rPr>
                <w:rFonts w:ascii="Arial" w:cs="Arial" w:eastAsia="Arial" w:hAnsi="Arial"/>
                <w:sz w:val="18"/>
                <w:szCs w:val="18"/>
                <w:color w:val="auto"/>
              </w:rPr>
              <w:t>6. VALUATION ACCOUNTS:</w:t>
            </w: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322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3"/>
            <w:shd w:val="clear" w:color="auto" w:fill="000000"/>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5820" w:type="dxa"/>
            <w:vAlign w:val="bottom"/>
            <w:gridSpan w:val="11"/>
          </w:tcPr>
          <w:p>
            <w:pPr>
              <w:spacing w:after="0"/>
              <w:rPr>
                <w:sz w:val="20"/>
                <w:szCs w:val="20"/>
                <w:color w:val="auto"/>
              </w:rPr>
            </w:pPr>
            <w:r>
              <w:rPr>
                <w:rFonts w:ascii="Arial" w:cs="Arial" w:eastAsia="Arial" w:hAnsi="Arial"/>
                <w:sz w:val="18"/>
                <w:szCs w:val="18"/>
                <w:color w:val="auto"/>
              </w:rPr>
              <w:t>Valuation and allowance accounts include the following (in thousands):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Balance</w:t>
            </w: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Net Charged</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Beginning</w:t>
            </w: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to Costs and</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Net Write-</w:t>
            </w:r>
          </w:p>
        </w:tc>
        <w:tc>
          <w:tcPr>
            <w:tcW w:w="1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End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of Year</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Expenses</w:t>
            </w:r>
          </w:p>
        </w:tc>
        <w:tc>
          <w:tcPr>
            <w:tcW w:w="160" w:type="dxa"/>
            <w:vAlign w:val="bottom"/>
          </w:tcPr>
          <w:p>
            <w:pPr>
              <w:spacing w:after="0"/>
              <w:rPr>
                <w:sz w:val="20"/>
                <w:szCs w:val="20"/>
                <w:color w:val="auto"/>
              </w:rPr>
            </w:pPr>
          </w:p>
        </w:tc>
        <w:tc>
          <w:tcPr>
            <w:tcW w:w="1440" w:type="dxa"/>
            <w:vAlign w:val="bottom"/>
            <w:gridSpan w:val="4"/>
          </w:tcPr>
          <w:p>
            <w:pPr>
              <w:jc w:val="right"/>
              <w:ind w:right="500"/>
              <w:spacing w:after="0"/>
              <w:rPr>
                <w:sz w:val="20"/>
                <w:szCs w:val="20"/>
                <w:color w:val="auto"/>
              </w:rPr>
            </w:pPr>
            <w:r>
              <w:rPr>
                <w:rFonts w:ascii="Arial" w:cs="Arial" w:eastAsia="Arial" w:hAnsi="Arial"/>
                <w:sz w:val="18"/>
                <w:szCs w:val="18"/>
                <w:color w:val="auto"/>
                <w:w w:val="95"/>
              </w:rPr>
              <w:t>Acquisitions</w:t>
            </w: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96"/>
              </w:rPr>
              <w:t>Offs</w:t>
            </w: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of Year</w:t>
            </w:r>
          </w:p>
        </w:tc>
        <w:tc>
          <w:tcPr>
            <w:tcW w:w="0" w:type="dxa"/>
            <w:vAlign w:val="bottom"/>
          </w:tcPr>
          <w:p>
            <w:pPr>
              <w:spacing w:after="0"/>
              <w:rPr>
                <w:sz w:val="1"/>
                <w:szCs w:val="1"/>
                <w:color w:val="auto"/>
              </w:rPr>
            </w:pPr>
          </w:p>
        </w:tc>
      </w:tr>
      <w:tr>
        <w:trPr>
          <w:trHeight w:val="210"/>
        </w:trPr>
        <w:tc>
          <w:tcPr>
            <w:tcW w:w="34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Reserve for accounts receivable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1,645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(809)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Reserve for warranty receivable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Reserve for parts inventory</w:t>
            </w: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1,360</w:t>
            </w:r>
          </w:p>
        </w:tc>
        <w:tc>
          <w:tcPr>
            <w:tcW w:w="5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(1,304)</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Reserve for construction equipment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1,497</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(1,497)</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5"/>
          </w:tcPr>
          <w:p>
            <w:pPr>
              <w:spacing w:after="0" w:line="201" w:lineRule="exact"/>
              <w:rPr>
                <w:sz w:val="20"/>
                <w:szCs w:val="20"/>
                <w:color w:val="auto"/>
              </w:rPr>
            </w:pPr>
            <w:r>
              <w:rPr>
                <w:rFonts w:ascii="Arial" w:cs="Arial" w:eastAsia="Arial" w:hAnsi="Arial"/>
                <w:sz w:val="18"/>
                <w:szCs w:val="18"/>
                <w:color w:val="auto"/>
              </w:rPr>
              <w:t>Reserve for commercial vehicle</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4"/>
          </w:tcPr>
          <w:p>
            <w:pPr>
              <w:ind w:left="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2,909</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4,024</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(5,658)</w:t>
            </w:r>
          </w:p>
        </w:tc>
        <w:tc>
          <w:tcPr>
            <w:tcW w:w="1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Reserve for accounts receivable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Reserve for warranty receivable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Reserve for parts inventory</w:t>
            </w: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1,638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(1,295)</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Reserve for construction equipment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5"/>
          </w:tcPr>
          <w:p>
            <w:pPr>
              <w:spacing w:after="0" w:line="201" w:lineRule="exact"/>
              <w:rPr>
                <w:sz w:val="20"/>
                <w:szCs w:val="20"/>
                <w:color w:val="auto"/>
              </w:rPr>
            </w:pPr>
            <w:r>
              <w:rPr>
                <w:rFonts w:ascii="Arial" w:cs="Arial" w:eastAsia="Arial" w:hAnsi="Arial"/>
                <w:sz w:val="18"/>
                <w:szCs w:val="18"/>
                <w:color w:val="auto"/>
              </w:rPr>
              <w:t>Reserve for commercial vehicle</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4"/>
          </w:tcPr>
          <w:p>
            <w:pPr>
              <w:ind w:left="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3,463</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13,277</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(13,831)</w:t>
            </w:r>
          </w:p>
        </w:tc>
        <w:tc>
          <w:tcPr>
            <w:tcW w:w="1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Reserve for accounts receivable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Reserve for warranty receivable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Reserve for parts inventory</w:t>
            </w: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5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(1,238)</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Reserve for construction equipment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5"/>
          </w:tcPr>
          <w:p>
            <w:pPr>
              <w:spacing w:after="0" w:line="201" w:lineRule="exact"/>
              <w:rPr>
                <w:sz w:val="20"/>
                <w:szCs w:val="20"/>
                <w:color w:val="auto"/>
              </w:rPr>
            </w:pPr>
            <w:r>
              <w:rPr>
                <w:rFonts w:ascii="Arial" w:cs="Arial" w:eastAsia="Arial" w:hAnsi="Arial"/>
                <w:sz w:val="18"/>
                <w:szCs w:val="18"/>
                <w:color w:val="auto"/>
              </w:rPr>
              <w:t>Reserve for commercial vehicle</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4"/>
          </w:tcPr>
          <w:p>
            <w:pPr>
              <w:ind w:left="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15,413</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(15,088)</w:t>
            </w:r>
          </w:p>
        </w:tc>
        <w:tc>
          <w:tcPr>
            <w:tcW w:w="1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Doubtful Receivables</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Company provides an allowance for uncollectible warranty receivables. The Company evaluates the collectibility of its warranty claims receivable based on a combination of factors, including aging and correspondence with the applicable manufacturer. Management reviews the warranty claims receivable aging and adjusts the allowance based on historical experience. The Company records charge-offs related to warranty receivables on an as-needed basis.</w:t>
      </w:r>
    </w:p>
    <w:p>
      <w:pPr>
        <w:spacing w:after="0" w:line="146"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Company sells a majority of its customer accounts receivable on a non-recourse basis to a third party that is responsible for qualifying the customer for credit at the point of sale. If the third party approves the customer for credit, then the third party assumes all credit risk related to the transaction. The Company provides an allowance for doubtful receivables after considering historical loss experience and other factors that might affect the collection of accounts receivable.</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Inventory</w:t>
      </w:r>
    </w:p>
    <w:p>
      <w:pPr>
        <w:spacing w:after="0" w:line="198"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adjust the reserve balance until the inventory is sold.</w:t>
      </w:r>
    </w:p>
    <w:p>
      <w:pPr>
        <w:spacing w:after="0" w:line="141"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The valuation for new and used commercial vehicle inventory is based on specific identification. A detail of new and used commercial vehicle is reviewed and, if necessary, adjustments to the value of specific units are made on a quarterly basis.</w:t>
      </w:r>
    </w:p>
    <w:p>
      <w:pPr>
        <w:spacing w:after="0" w:line="106" w:lineRule="exact"/>
        <w:rPr>
          <w:sz w:val="20"/>
          <w:szCs w:val="20"/>
          <w:color w:val="auto"/>
        </w:rPr>
      </w:pPr>
    </w:p>
    <w:p>
      <w:pPr>
        <w:ind w:left="340" w:right="5139" w:hanging="8"/>
        <w:spacing w:after="0" w:line="4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FLOOR PLAN NOTES PAYABLE AND LINES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Plan Notes Payable</w:t>
      </w:r>
    </w:p>
    <w:p>
      <w:pPr>
        <w:spacing w:after="0" w:line="2"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Floor plan notes are financing agreements to facilitate the Company’s purchase of new and used commercial vehicles. These notes are collateralized by the inventory purchased and accounts receivable arising from the sale thereof. The Company’s wholesale security agreement with GE Capital has the interest rate benchmarked to LIBOR, as defined in the agreement.</w:t>
      </w:r>
    </w:p>
    <w:p>
      <w:pPr>
        <w:spacing w:after="0" w:line="125"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interest rate applicable to the GE Capital wholesale security agreement was approximately 1.41% as of December 31, 2010. The Company’s weighted average interest rate for floor plan notes payable was 1.09% for the year ended December 31, 2010, and 1.28% for the year ended December 31, 2009. The wholesale security agreement allowed for prepayments with monthly adjustments to the interest due on outstanding advances, which reduced the Company’s weighted average interest rate.</w:t>
      </w:r>
    </w:p>
    <w:p>
      <w:pPr>
        <w:spacing w:after="0" w:line="144"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On December 31, 2010, the Company entered into a new credit agreement with GE Capital. The interest rate under the new credit agreement is LIBOR plus 2.95%. The GE Capital credit agreement allows for prepayment of the inventory loans, up to 65% of the aggregate inventory loans outstanding, with monthly adjustments to the interest due. Amounts borrowed under the agreement are due when the related commercial vehicle inventory (collateral) is sold and the sales proceeds are collected by the Company. This agreement may be modified, suspended or terminated by the lender as described in Note 3.</w:t>
      </w:r>
    </w:p>
    <w:p>
      <w:pPr>
        <w:spacing w:after="0" w:line="132"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The Company finances substantially all of the purchase price of its new commercial vehicle inventory, and the loan value of its used commercial vehicle inventory under the credit agreement with GE Capital, under which GE Capital pays the manufacturer directly with respect to new commercial vehicles. On December 31, 2010, the Company had approximately $229.9 million outstanding under its credit agreement with GE Capital.</w:t>
      </w:r>
    </w:p>
    <w:p>
      <w:pPr>
        <w:spacing w:after="0" w:line="146"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Navistar Financial Corporation offers a floor plan program that provides an interest free financing period, which varies depending on the commercial vehicle purchased. If the commercial vehicle financed by Navistar is not sold within the interest free finance period, the Company transfers the financed commercial vehicle to the GE Capital credit agreement. On December 31, 2010, the Company had approximately $7.9 million outstanding under its floor plan program with Navistar Financial Corporation.</w:t>
      </w:r>
    </w:p>
    <w:p>
      <w:pPr>
        <w:spacing w:after="0" w:line="144"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Pursuant to the disposition of Rush Equipment Centers, the Company’s floor plan agreement with Chase and the dealership agreement John Deere were terminated. At December 31, 2010, there was not a balance outstanding under the floor plan agreement with Chase or the dealership agreement John Deere.</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w w:val="92"/>
              </w:rPr>
              <w:t>Assets pledged as collateral as of December 31, 2010 and 2009 were as follows (in thousands):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Inventories, new and used vehicles at cost based on specific identification, net of allowance</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235,429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168,606</w:t>
            </w:r>
          </w:p>
        </w:tc>
      </w:tr>
      <w:tr>
        <w:trPr>
          <w:trHeight w:val="202"/>
        </w:trPr>
        <w:tc>
          <w:tcPr>
            <w:tcW w:w="340" w:type="dxa"/>
            <w:vAlign w:val="bottom"/>
          </w:tcPr>
          <w:p>
            <w:pPr>
              <w:spacing w:after="0"/>
              <w:rPr>
                <w:sz w:val="17"/>
                <w:szCs w:val="17"/>
                <w:color w:val="auto"/>
              </w:rPr>
            </w:pPr>
          </w:p>
        </w:tc>
        <w:tc>
          <w:tcPr>
            <w:tcW w:w="7060" w:type="dxa"/>
            <w:vAlign w:val="bottom"/>
            <w:gridSpan w:val="2"/>
          </w:tcPr>
          <w:p>
            <w:pPr>
              <w:spacing w:after="0" w:line="201" w:lineRule="exact"/>
              <w:rPr>
                <w:sz w:val="20"/>
                <w:szCs w:val="20"/>
                <w:color w:val="auto"/>
              </w:rPr>
            </w:pPr>
            <w:r>
              <w:rPr>
                <w:rFonts w:ascii="Arial" w:cs="Arial" w:eastAsia="Arial" w:hAnsi="Arial"/>
                <w:sz w:val="18"/>
                <w:szCs w:val="18"/>
                <w:color w:val="auto"/>
                <w:w w:val="94"/>
              </w:rPr>
              <w:t>Inventories, new and used equipment at cost based on specific identification, net of allowance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included in assets held for sale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16,440</w:t>
            </w: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 and equipment sale related accounts receivable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16,425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14,419</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251,854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199,465</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plan notes payable related to vehicles and equipment(1)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237,810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189,256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159" w:hanging="388"/>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Floor plan notes payable include construction equipment inventory which is included in assets held for sale for the year ended December 31, 2009.</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Lines of Credit</w:t>
      </w:r>
    </w:p>
    <w:p>
      <w:pPr>
        <w:spacing w:after="0" w:line="185"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The Company has a secured line of credit that provides for a maximum borrowing of $8.0 million. There were no advances outstanding under this secured line of credit at December 31, 2010; however, $7.1 million was pledged to secure various letters of credit related to self-insurance products, leaving $0.9 million available for future borrowings as of December 31, 2010.</w:t>
      </w:r>
    </w:p>
    <w:p>
      <w:pPr>
        <w:spacing w:after="0" w:line="10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8. LONG-TERM DEBT:</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3"/>
          </w:tcPr>
          <w:p>
            <w:pPr>
              <w:spacing w:after="0"/>
              <w:rPr>
                <w:sz w:val="20"/>
                <w:szCs w:val="20"/>
                <w:color w:val="auto"/>
              </w:rPr>
            </w:pPr>
            <w:r>
              <w:rPr>
                <w:rFonts w:ascii="Arial" w:cs="Arial" w:eastAsia="Arial" w:hAnsi="Arial"/>
                <w:sz w:val="18"/>
                <w:szCs w:val="18"/>
                <w:color w:val="auto"/>
              </w:rPr>
              <w:t>Long-term debt was comprised of the following (in thousands):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interest rate term notes</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82,707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44,543</w:t>
            </w:r>
          </w:p>
        </w:tc>
        <w:tc>
          <w:tcPr>
            <w:tcW w:w="0" w:type="dxa"/>
            <w:vAlign w:val="bottom"/>
          </w:tcPr>
          <w:p>
            <w:pPr>
              <w:spacing w:after="0"/>
              <w:rPr>
                <w:sz w:val="1"/>
                <w:szCs w:val="1"/>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Fixed interest rate term notes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169,422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164,959</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252,129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209,502</w:t>
            </w:r>
          </w:p>
        </w:tc>
        <w:tc>
          <w:tcPr>
            <w:tcW w:w="0" w:type="dxa"/>
            <w:vAlign w:val="bottom"/>
          </w:tcPr>
          <w:p>
            <w:pPr>
              <w:spacing w:after="0"/>
              <w:rPr>
                <w:sz w:val="1"/>
                <w:szCs w:val="1"/>
                <w:color w:val="auto"/>
              </w:rPr>
            </w:pPr>
          </w:p>
        </w:tc>
      </w:tr>
      <w:tr>
        <w:trPr>
          <w:trHeight w:val="432"/>
        </w:trPr>
        <w:tc>
          <w:tcPr>
            <w:tcW w:w="6300" w:type="dxa"/>
            <w:vAlign w:val="bottom"/>
            <w:gridSpan w:val="3"/>
          </w:tcPr>
          <w:p>
            <w:pPr>
              <w:spacing w:after="0"/>
              <w:rPr>
                <w:sz w:val="20"/>
                <w:szCs w:val="20"/>
                <w:color w:val="auto"/>
              </w:rPr>
            </w:pPr>
            <w:r>
              <w:rPr>
                <w:rFonts w:ascii="Arial" w:cs="Arial" w:eastAsia="Arial" w:hAnsi="Arial"/>
                <w:sz w:val="18"/>
                <w:szCs w:val="18"/>
                <w:color w:val="auto"/>
              </w:rPr>
              <w:t>Less: current maturities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(62,279)</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(55,545)</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189,850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153,957</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Arial" w:cs="Arial" w:eastAsia="Arial" w:hAnsi="Arial"/>
                <w:sz w:val="18"/>
                <w:szCs w:val="18"/>
                <w:color w:val="auto"/>
              </w:rPr>
              <w:t>As of December 31, 2010, debt maturities were as follows (in thousands):</w:t>
            </w: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30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4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62,279</w:t>
            </w: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2012</w:t>
            </w:r>
          </w:p>
        </w:tc>
        <w:tc>
          <w:tcPr>
            <w:tcW w:w="4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47,754</w:t>
            </w: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4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47,828</w:t>
            </w: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2014</w:t>
            </w:r>
          </w:p>
        </w:tc>
        <w:tc>
          <w:tcPr>
            <w:tcW w:w="4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36,005</w:t>
            </w: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4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45,663</w:t>
            </w:r>
          </w:p>
        </w:tc>
        <w:tc>
          <w:tcPr>
            <w:tcW w:w="0" w:type="dxa"/>
            <w:vAlign w:val="bottom"/>
          </w:tcPr>
          <w:p>
            <w:pPr>
              <w:spacing w:after="0"/>
              <w:rPr>
                <w:sz w:val="1"/>
                <w:szCs w:val="1"/>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12,600</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252,129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interest rates on the Company’s variable interest rate notes are based on LIBOR. The interest rates on the notes range from approximately 1.55% to 3.375% on December 31, 2010. Payments on the notes range from $1,910 to $50,300 per month, plus interest. Maturities of these notes range from December 2012 to September 2015.</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The Company’s fixed interest rate notes are with financial institutions and had interest rates that ranged from approximately 3.04% to 8.60% on December 31, 2010. Payments on the notes range from $302 to $76,196 per month, plus interest. Maturities of these notes range from January 2011, to May 2019.</w:t>
      </w:r>
    </w:p>
    <w:p>
      <w:pPr>
        <w:spacing w:after="0" w:line="154" w:lineRule="exact"/>
        <w:rPr>
          <w:sz w:val="20"/>
          <w:szCs w:val="20"/>
          <w:color w:val="auto"/>
        </w:rPr>
      </w:pPr>
    </w:p>
    <w:p>
      <w:pPr>
        <w:jc w:val="both"/>
        <w:ind w:left="340" w:right="159"/>
        <w:spacing w:after="0" w:line="308" w:lineRule="auto"/>
        <w:rPr>
          <w:sz w:val="20"/>
          <w:szCs w:val="20"/>
          <w:color w:val="auto"/>
        </w:rPr>
      </w:pPr>
      <w:r>
        <w:rPr>
          <w:rFonts w:ascii="Arial" w:cs="Arial" w:eastAsia="Arial" w:hAnsi="Arial"/>
          <w:sz w:val="17"/>
          <w:szCs w:val="17"/>
          <w:color w:val="auto"/>
        </w:rPr>
        <w:t>The proceeds from the issuance of the notes were used primarily to acquire land, buildings and improvements, transportation equipment and leasing vehicles. The notes are secured by the assets acquired with the proceeds of such notes.</w:t>
      </w:r>
    </w:p>
    <w:p>
      <w:pPr>
        <w:spacing w:after="0" w:line="106"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Company’s long-term real estate debt agreements and floor plan arrangement require the Company to satisfy various financial ratios such as the debt to worth ratio, leverage ratio, the fixed charge coverage ratio and certain requirements for tangible net worth and GAAP net worth. At December 31, 2010, the Company was in compliance with all debt covenants related to debt secured by real estate. The Company does not anticipate any breach of the covenants in the foreseeable future.</w:t>
      </w:r>
    </w:p>
    <w:p>
      <w:pPr>
        <w:spacing w:after="0" w:line="131" w:lineRule="exact"/>
        <w:rPr>
          <w:sz w:val="20"/>
          <w:szCs w:val="20"/>
          <w:color w:val="auto"/>
        </w:rPr>
      </w:pPr>
    </w:p>
    <w:p>
      <w:pPr>
        <w:ind w:left="520" w:hanging="188"/>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FAIR VALUE</w:t>
      </w:r>
      <w:r>
        <w:rPr>
          <w:rFonts w:ascii="Arial" w:cs="Arial" w:eastAsia="Arial" w:hAnsi="Arial"/>
          <w:sz w:val="18"/>
          <w:szCs w:val="18"/>
          <w:color w:val="auto"/>
        </w:rPr>
        <w:t>:</w:t>
      </w:r>
    </w:p>
    <w:p>
      <w:pPr>
        <w:spacing w:after="0" w:line="198"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Certain methods and assumptions were used by the Company in estimating the fair value of financial instruments at December 31, 2010. The carrying value of current assets and current liabilities approximates the fair value due to the short maturity of these items.</w:t>
      </w:r>
    </w:p>
    <w:p>
      <w:pPr>
        <w:spacing w:after="0" w:line="83"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fair value of the Company’s long-term debt is based on secondary market indicators.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41"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operations.</w:t>
      </w:r>
    </w:p>
    <w:p>
      <w:pPr>
        <w:spacing w:after="0" w:line="12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48"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As a result of the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24" w:lineRule="exact"/>
        <w:rPr>
          <w:sz w:val="20"/>
          <w:szCs w:val="20"/>
          <w:color w:val="auto"/>
        </w:rPr>
      </w:pPr>
    </w:p>
    <w:p>
      <w:pPr>
        <w:jc w:val="both"/>
        <w:ind w:left="340" w:right="159"/>
        <w:spacing w:after="0" w:line="342" w:lineRule="auto"/>
        <w:rPr>
          <w:sz w:val="20"/>
          <w:szCs w:val="20"/>
          <w:color w:val="auto"/>
        </w:rPr>
      </w:pPr>
      <w:r>
        <w:rPr>
          <w:rFonts w:ascii="Arial" w:cs="Arial" w:eastAsia="Arial" w:hAnsi="Arial"/>
          <w:sz w:val="16"/>
          <w:szCs w:val="16"/>
          <w:color w:val="auto"/>
        </w:rPr>
        <w:t>As of December 31, 2010 and December 31, 2009, the Company held $7.6 million of auction rate securities with underlying tax-exempt municipal bonds that mature in 2030. These bonds have credit wrap insurance and a credit rating of A by Standard &amp; Poor’s.</w:t>
      </w:r>
    </w:p>
    <w:p>
      <w:pPr>
        <w:spacing w:after="0" w:line="97"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The Company believes that the credit quality and fair value of the auction rate securities it holds has not been negatively impacted; therefore, no impairment charges have been recorded as of December 31, 2010. As of December 31, 2010, the Company has valued these investments at fair value, which approximates cost. The Company used observable inputs to determine fair value, including consideration of broker quotes, the overall quality of the underlying municipality, the credit quality of the insurance company, as well as successful subsequent auctions. Accordingly, the Company has considered this fair value to be a Level 2 valuation under ASC 820-10, “Fair Value Measurements and Disclosures.” If the credit quality of these investments deteriorates, or adverse developments occur in the bond insurance market, the Company may be required to record an impairment charge on these investments in the future.</w:t>
      </w:r>
    </w:p>
    <w:p>
      <w:pPr>
        <w:spacing w:after="0" w:line="200" w:lineRule="exact"/>
        <w:rPr>
          <w:sz w:val="20"/>
          <w:szCs w:val="20"/>
          <w:color w:val="auto"/>
        </w:rPr>
      </w:pPr>
    </w:p>
    <w:p>
      <w:pPr>
        <w:spacing w:after="0" w:line="31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Swap Agreements</w:t>
      </w:r>
    </w:p>
    <w:p>
      <w:pPr>
        <w:spacing w:after="0" w:line="198" w:lineRule="exact"/>
        <w:rPr>
          <w:sz w:val="20"/>
          <w:szCs w:val="20"/>
          <w:color w:val="auto"/>
        </w:rPr>
      </w:pPr>
    </w:p>
    <w:p>
      <w:pPr>
        <w:jc w:val="both"/>
        <w:ind w:left="340" w:right="1360"/>
        <w:spacing w:after="0" w:line="293" w:lineRule="auto"/>
        <w:rPr>
          <w:sz w:val="20"/>
          <w:szCs w:val="20"/>
          <w:color w:val="auto"/>
        </w:rPr>
      </w:pPr>
      <w:r>
        <w:rPr>
          <w:rFonts w:ascii="Arial" w:cs="Arial" w:eastAsia="Arial" w:hAnsi="Arial"/>
          <w:sz w:val="16"/>
          <w:szCs w:val="16"/>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24" w:lineRule="exact"/>
        <w:rPr>
          <w:sz w:val="20"/>
          <w:szCs w:val="20"/>
          <w:color w:val="auto"/>
        </w:rPr>
      </w:pPr>
    </w:p>
    <w:p>
      <w:pPr>
        <w:jc w:val="both"/>
        <w:ind w:left="340" w:right="1360"/>
        <w:spacing w:after="0" w:line="291" w:lineRule="auto"/>
        <w:rPr>
          <w:sz w:val="20"/>
          <w:szCs w:val="20"/>
          <w:color w:val="auto"/>
        </w:rPr>
      </w:pPr>
      <w:r>
        <w:rPr>
          <w:rFonts w:ascii="Arial" w:cs="Arial" w:eastAsia="Arial" w:hAnsi="Arial"/>
          <w:sz w:val="16"/>
          <w:szCs w:val="16"/>
          <w:color w:val="auto"/>
        </w:rPr>
        <w:t>At December 31, 2010, the Company had an aggregate $45.0 million notional amount of interest rate swap contracts, which have been designated as cash flow hedges, to pay fixed rates of interest and receive a floating interest rate based on LIBOR. The fixed interest rates specified in the interest rate swap contracts become effective on or about January 1, 2012. The Company’s interest rate swaps qualify for cash flow hedge accounting treatment. Unrealized gains or losses are recorded in accumulated other comprehensive income. Realized gains and losses will be recognized in interest expense, if they occur. Amounts to be received or paid under the contracts will be recognized as interest expense over the life of the contracts. The Company did not have any interest rate swap contracts in place as of December 31, 2009. There was no ineffectiveness for these swaps during the year ended December 31, 2010.</w:t>
      </w:r>
    </w:p>
    <w:p>
      <w:pPr>
        <w:spacing w:after="0" w:line="127"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The fair value of cash flow swaps is calculated as the present value of expected future cash flows, determined on the basis of forward interest rates and present value factors. As such, the carrying amounts for these swaps are designated to be level 2 fair values and totaled $0.4 million as of December 31, 2010. The carrying value of these swaps is included in Other Long-Term Liabilities on the accompanying Consolidated Balance Sheet as of December 31, 2010.</w:t>
      </w:r>
    </w:p>
    <w:p>
      <w:pPr>
        <w:spacing w:after="0" w:line="160"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As of December 31, 2010 the Company was party to derivative financial instruments, as described in the following table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Fixed</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Notional</w:t>
            </w: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Interest</w:t>
            </w: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Underlying</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Agreement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Amount</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440" w:type="dxa"/>
            <w:vAlign w:val="bottom"/>
          </w:tcPr>
          <w:p>
            <w:pPr>
              <w:spacing w:after="0"/>
              <w:rPr>
                <w:sz w:val="20"/>
                <w:szCs w:val="20"/>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Rate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2"/>
              </w:rPr>
              <w:t>Expiration Date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5.075%</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month LIBOR</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July 1, 2015</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Interest Rate Swap</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4,536</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5.075%</w:t>
            </w:r>
          </w:p>
        </w:tc>
        <w:tc>
          <w:tcPr>
            <w:tcW w:w="1320" w:type="dxa"/>
            <w:vAlign w:val="bottom"/>
            <w:gridSpan w:val="2"/>
          </w:tcPr>
          <w:p>
            <w:pPr>
              <w:spacing w:after="0"/>
              <w:rPr>
                <w:sz w:val="20"/>
                <w:szCs w:val="20"/>
                <w:color w:val="auto"/>
              </w:rPr>
            </w:pPr>
            <w:r>
              <w:rPr>
                <w:rFonts w:ascii="Arial" w:cs="Arial" w:eastAsia="Arial" w:hAnsi="Arial"/>
                <w:sz w:val="18"/>
                <w:szCs w:val="18"/>
                <w:color w:val="auto"/>
              </w:rPr>
              <w:t>3 month LIBOR</w:t>
            </w:r>
          </w:p>
        </w:tc>
        <w:tc>
          <w:tcPr>
            <w:tcW w:w="14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July 1, 2015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7,847</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month LIBOR</w:t>
            </w:r>
          </w:p>
        </w:tc>
        <w:tc>
          <w:tcPr>
            <w:tcW w:w="1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December 31, 2014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Interest Rate Swap</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1,517</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1320" w:type="dxa"/>
            <w:vAlign w:val="bottom"/>
            <w:gridSpan w:val="2"/>
          </w:tcPr>
          <w:p>
            <w:pPr>
              <w:spacing w:after="0"/>
              <w:rPr>
                <w:sz w:val="20"/>
                <w:szCs w:val="20"/>
                <w:color w:val="auto"/>
              </w:rPr>
            </w:pPr>
            <w:r>
              <w:rPr>
                <w:rFonts w:ascii="Arial" w:cs="Arial" w:eastAsia="Arial" w:hAnsi="Arial"/>
                <w:sz w:val="18"/>
                <w:szCs w:val="18"/>
                <w:color w:val="auto"/>
              </w:rPr>
              <w:t>1 month LIBOR</w:t>
            </w:r>
          </w:p>
        </w:tc>
        <w:tc>
          <w:tcPr>
            <w:tcW w:w="1680" w:type="dxa"/>
            <w:vAlign w:val="bottom"/>
            <w:gridSpan w:val="3"/>
          </w:tcPr>
          <w:p>
            <w:pPr>
              <w:jc w:val="center"/>
              <w:spacing w:after="0"/>
              <w:rPr>
                <w:sz w:val="20"/>
                <w:szCs w:val="20"/>
                <w:color w:val="auto"/>
              </w:rPr>
            </w:pPr>
            <w:r>
              <w:rPr>
                <w:rFonts w:ascii="Arial" w:cs="Arial" w:eastAsia="Arial" w:hAnsi="Arial"/>
                <w:sz w:val="18"/>
                <w:szCs w:val="18"/>
                <w:color w:val="auto"/>
                <w:w w:val="88"/>
              </w:rPr>
              <w:t>December 31, 2014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month LIBOR</w:t>
            </w:r>
          </w:p>
        </w:tc>
        <w:tc>
          <w:tcPr>
            <w:tcW w:w="1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December 31, 2014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Interest Rate Swap</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6,109</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1320" w:type="dxa"/>
            <w:vAlign w:val="bottom"/>
            <w:gridSpan w:val="2"/>
          </w:tcPr>
          <w:p>
            <w:pPr>
              <w:spacing w:after="0"/>
              <w:rPr>
                <w:sz w:val="20"/>
                <w:szCs w:val="20"/>
                <w:color w:val="auto"/>
              </w:rPr>
            </w:pPr>
            <w:r>
              <w:rPr>
                <w:rFonts w:ascii="Arial" w:cs="Arial" w:eastAsia="Arial" w:hAnsi="Arial"/>
                <w:sz w:val="18"/>
                <w:szCs w:val="18"/>
                <w:color w:val="auto"/>
              </w:rPr>
              <w:t>1 month LIBOR</w:t>
            </w:r>
          </w:p>
        </w:tc>
        <w:tc>
          <w:tcPr>
            <w:tcW w:w="1680" w:type="dxa"/>
            <w:vAlign w:val="bottom"/>
            <w:gridSpan w:val="3"/>
          </w:tcPr>
          <w:p>
            <w:pPr>
              <w:jc w:val="center"/>
              <w:spacing w:after="0"/>
              <w:rPr>
                <w:sz w:val="20"/>
                <w:szCs w:val="20"/>
                <w:color w:val="auto"/>
              </w:rPr>
            </w:pPr>
            <w:r>
              <w:rPr>
                <w:rFonts w:ascii="Arial" w:cs="Arial" w:eastAsia="Arial" w:hAnsi="Arial"/>
                <w:sz w:val="18"/>
                <w:szCs w:val="18"/>
                <w:color w:val="auto"/>
                <w:w w:val="88"/>
              </w:rPr>
              <w:t>December 31, 2014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5,616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month LIBOR</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June 29, 2015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Interest Rate Swap</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864</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320" w:type="dxa"/>
            <w:vAlign w:val="bottom"/>
            <w:gridSpan w:val="2"/>
          </w:tcPr>
          <w:p>
            <w:pPr>
              <w:spacing w:after="0"/>
              <w:rPr>
                <w:sz w:val="20"/>
                <w:szCs w:val="20"/>
                <w:color w:val="auto"/>
              </w:rPr>
            </w:pPr>
            <w:r>
              <w:rPr>
                <w:rFonts w:ascii="Arial" w:cs="Arial" w:eastAsia="Arial" w:hAnsi="Arial"/>
                <w:sz w:val="18"/>
                <w:szCs w:val="18"/>
                <w:color w:val="auto"/>
              </w:rPr>
              <w:t>1 month LIBOR</w:t>
            </w:r>
          </w:p>
        </w:tc>
        <w:tc>
          <w:tcPr>
            <w:tcW w:w="14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June 30, 2015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month LIBOR</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June 30, 2015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Interest Rate Swap</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8,352</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320" w:type="dxa"/>
            <w:vAlign w:val="bottom"/>
            <w:gridSpan w:val="2"/>
          </w:tcPr>
          <w:p>
            <w:pPr>
              <w:spacing w:after="0"/>
              <w:rPr>
                <w:sz w:val="20"/>
                <w:szCs w:val="20"/>
                <w:color w:val="auto"/>
              </w:rPr>
            </w:pPr>
            <w:r>
              <w:rPr>
                <w:rFonts w:ascii="Arial" w:cs="Arial" w:eastAsia="Arial" w:hAnsi="Arial"/>
                <w:sz w:val="18"/>
                <w:szCs w:val="18"/>
                <w:color w:val="auto"/>
              </w:rPr>
              <w:t>1 month LIBOR</w:t>
            </w:r>
          </w:p>
        </w:tc>
        <w:tc>
          <w:tcPr>
            <w:tcW w:w="14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June 30, 2015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month LIBOR</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June 30, 2015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Interest Rate Swap</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2,894</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320" w:type="dxa"/>
            <w:vAlign w:val="bottom"/>
            <w:gridSpan w:val="2"/>
          </w:tcPr>
          <w:p>
            <w:pPr>
              <w:spacing w:after="0"/>
              <w:rPr>
                <w:sz w:val="20"/>
                <w:szCs w:val="20"/>
                <w:color w:val="auto"/>
              </w:rPr>
            </w:pPr>
            <w:r>
              <w:rPr>
                <w:rFonts w:ascii="Arial" w:cs="Arial" w:eastAsia="Arial" w:hAnsi="Arial"/>
                <w:sz w:val="18"/>
                <w:szCs w:val="18"/>
                <w:color w:val="auto"/>
              </w:rPr>
              <w:t>1 month LIBOR</w:t>
            </w:r>
          </w:p>
        </w:tc>
        <w:tc>
          <w:tcPr>
            <w:tcW w:w="14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June 30, 2015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values of derivative instruments are on the accompanying Consolidated Balance Sheet as of December 31, 2010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Derivatives Designated</w:t>
            </w:r>
          </w:p>
        </w:tc>
        <w:tc>
          <w:tcPr>
            <w:tcW w:w="180" w:type="dxa"/>
            <w:vAlign w:val="bottom"/>
          </w:tcPr>
          <w:p>
            <w:pPr>
              <w:spacing w:after="0"/>
              <w:rPr>
                <w:sz w:val="20"/>
                <w:szCs w:val="20"/>
                <w:color w:val="auto"/>
              </w:rPr>
            </w:pPr>
          </w:p>
        </w:tc>
        <w:tc>
          <w:tcPr>
            <w:tcW w:w="3220" w:type="dxa"/>
            <w:vAlign w:val="bottom"/>
            <w:gridSpan w:val="4"/>
          </w:tcPr>
          <w:p>
            <w:pPr>
              <w:ind w:left="820"/>
              <w:spacing w:after="0"/>
              <w:rPr>
                <w:sz w:val="20"/>
                <w:szCs w:val="20"/>
                <w:color w:val="auto"/>
              </w:rPr>
            </w:pPr>
            <w:r>
              <w:rPr>
                <w:rFonts w:ascii="Arial" w:cs="Arial" w:eastAsia="Arial" w:hAnsi="Arial"/>
                <w:sz w:val="18"/>
                <w:szCs w:val="18"/>
                <w:b w:val="1"/>
                <w:bCs w:val="1"/>
                <w:color w:val="auto"/>
              </w:rPr>
              <w:t>Asset Derivatives</w:t>
            </w:r>
          </w:p>
        </w:tc>
        <w:tc>
          <w:tcPr>
            <w:tcW w:w="26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Liability Derivatives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as Hedging Instruments</w:t>
            </w:r>
          </w:p>
        </w:tc>
        <w:tc>
          <w:tcPr>
            <w:tcW w:w="180" w:type="dxa"/>
            <w:vAlign w:val="bottom"/>
          </w:tcPr>
          <w:p>
            <w:pPr>
              <w:spacing w:after="0"/>
              <w:rPr>
                <w:sz w:val="18"/>
                <w:szCs w:val="18"/>
                <w:color w:val="auto"/>
              </w:rPr>
            </w:pPr>
          </w:p>
        </w:tc>
        <w:tc>
          <w:tcPr>
            <w:tcW w:w="20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7"/>
              </w:rPr>
              <w:t>Balance Sheet Location</w:t>
            </w:r>
          </w:p>
        </w:tc>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7"/>
              </w:rPr>
              <w:t>Fair Value</w:t>
            </w:r>
          </w:p>
        </w:tc>
        <w:tc>
          <w:tcPr>
            <w:tcW w:w="26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Balance Sheet Location</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Fair Value</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Other Long-Term Liabilities</w:t>
            </w:r>
          </w:p>
        </w:tc>
        <w:tc>
          <w:tcPr>
            <w:tcW w:w="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w:t>
            </w:r>
          </w:p>
        </w:tc>
        <w:tc>
          <w:tcPr>
            <w:tcW w:w="13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80" w:type="dxa"/>
            <w:vAlign w:val="bottom"/>
            <w:gridSpan w:val="2"/>
          </w:tcPr>
          <w:p>
            <w:pPr>
              <w:jc w:val="right"/>
              <w:ind w:right="3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7759" w:hanging="8"/>
        <w:spacing w:after="0" w:line="489" w:lineRule="auto"/>
        <w:tabs>
          <w:tab w:leader="none" w:pos="61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LEASING ACTIVITIES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Vehicle Leases as Lessee</w:t>
      </w:r>
    </w:p>
    <w:p>
      <w:pPr>
        <w:jc w:val="both"/>
        <w:ind w:left="340" w:right="159"/>
        <w:spacing w:after="0" w:line="271" w:lineRule="auto"/>
        <w:rPr>
          <w:sz w:val="20"/>
          <w:szCs w:val="20"/>
          <w:color w:val="auto"/>
        </w:rPr>
      </w:pPr>
      <w:r>
        <w:rPr>
          <w:rFonts w:ascii="Arial" w:cs="Arial" w:eastAsia="Arial" w:hAnsi="Arial"/>
          <w:sz w:val="17"/>
          <w:szCs w:val="17"/>
          <w:color w:val="auto"/>
        </w:rPr>
        <w:t>The Company leases vehicles, as lessee, primarily over periods ranging from one to ten years under operating lease and capital lease arrangements. Generally, the Company is required to incur all operating costs and pay a minimum rental. The Company guarantees the residual value of vehicles under operating lease and capital lease arrangements. At December 31, 2010, the Company guaranteed vehicle residual values of $4.9 million under operating lease arrangements and $17.4 million under capital lease arrangements. Historically, the Company purchases these vehicles at the end of the lease term and recognizes a gain on the subsequent sale of the vehicle. The residual values are not reflected in the future minimum lease payments for operating leases. Vehicle lease expenses were approximately $3.8 million for the year ended December 31, 2010, $3.8 million for the year ended December 31, 2009, and $4.4 million for the year ended December 31, 2008.</w:t>
      </w:r>
    </w:p>
    <w:p>
      <w:pPr>
        <w:spacing w:after="0" w:line="138" w:lineRule="exact"/>
        <w:rPr>
          <w:sz w:val="20"/>
          <w:szCs w:val="20"/>
          <w:color w:val="auto"/>
        </w:rPr>
      </w:pPr>
    </w:p>
    <w:p>
      <w:pPr>
        <w:jc w:val="both"/>
        <w:ind w:left="340" w:right="159"/>
        <w:spacing w:after="0" w:line="342" w:lineRule="auto"/>
        <w:rPr>
          <w:sz w:val="20"/>
          <w:szCs w:val="20"/>
          <w:color w:val="auto"/>
        </w:rPr>
      </w:pPr>
      <w:r>
        <w:rPr>
          <w:rFonts w:ascii="Arial" w:cs="Arial" w:eastAsia="Arial" w:hAnsi="Arial"/>
          <w:sz w:val="16"/>
          <w:szCs w:val="16"/>
          <w:color w:val="auto"/>
        </w:rPr>
        <w:t>As discussed below, these vehicles are then subleased by the Company to customers under various agreements. Future minimum sublease rentals to be received by the Company under non-cancelable subleases, as described below, are $48.5 million.</w:t>
      </w:r>
    </w:p>
    <w:p>
      <w:pPr>
        <w:spacing w:after="0" w:line="97"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Future minimum lease payments under capital and non-cancelable vehicle leases as of December 31, 2010, are as follows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Operating</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Leases</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2"/>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2012</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10,741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7,729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2014</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5,516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Thereafter</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5,056</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46,548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(4,346)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minimum capital lease payments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42,202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Less current portion</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(7,971)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leases less current portion</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34,231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Customer Vehicle Leases as Lessor</w:t>
      </w:r>
    </w:p>
    <w:p>
      <w:pPr>
        <w:spacing w:after="0" w:line="185"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The Company leases both owned and leased trucks to customers primarily over periods of one to ten years under operating lease arrangements. These leases require a minimum rental payment and a contingent rental payment based on mileage. Rental income during the year ended December 31, 2010, consisted of minimum rental payments of approximately $53.4 million and contingent rental payments of $7.5 million. Rental income during the year ended December 31, 2009, consisted of minimum rental payments of approximately $47.2 million and contingent rental payments of $6.3 million. Rental income during the year ended December 31, 2008, consisted of minimum rental payments of approximately $41.9 million and contingent rental payments of $6.9 million. Minimum rental payments to be received for non-cancelable leases and subleases in effect at December 31, 2010, are as follows (in thousands):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43,789</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36,234</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26,356</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18,544</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7,200</w:t>
            </w:r>
          </w:p>
        </w:tc>
      </w:tr>
      <w:tr>
        <w:trPr>
          <w:trHeight w:val="223"/>
        </w:trPr>
        <w:tc>
          <w:tcPr>
            <w:tcW w:w="8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142,804</w:t>
            </w:r>
          </w:p>
        </w:tc>
      </w:tr>
      <w:tr>
        <w:trPr>
          <w:trHeight w:val="20"/>
        </w:trPr>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As of December 31, 2010, the Company had $258.8 million of lease vehicles included in property and equipment, net of accumulated depreciation of $81.3 million. As of December 31, 2009, the Company had $207.8 million of lease vehicles included in property and equipment, net of accumulated depreciation of $65.4 million.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Leases — Land and Buildings</w:t>
      </w:r>
    </w:p>
    <w:p>
      <w:pPr>
        <w:spacing w:after="0" w:line="198" w:lineRule="exact"/>
        <w:rPr>
          <w:sz w:val="20"/>
          <w:szCs w:val="20"/>
          <w:color w:val="auto"/>
        </w:rPr>
      </w:pPr>
    </w:p>
    <w:p>
      <w:pPr>
        <w:jc w:val="both"/>
        <w:ind w:left="340" w:right="179"/>
        <w:spacing w:after="0" w:line="302" w:lineRule="auto"/>
        <w:rPr>
          <w:sz w:val="20"/>
          <w:szCs w:val="20"/>
          <w:color w:val="auto"/>
        </w:rPr>
      </w:pPr>
      <w:r>
        <w:rPr>
          <w:rFonts w:ascii="Arial" w:cs="Arial" w:eastAsia="Arial" w:hAnsi="Arial"/>
          <w:sz w:val="16"/>
          <w:szCs w:val="16"/>
          <w:color w:val="auto"/>
        </w:rPr>
        <w:t>The Company leases various assets under operating leases with expiration dates ranging from January 2011, through November 2027. Monthly rental payments range from approximately $375 per month to $36,926 per month. Rental expense was $4.6 million for the year ended December 31, 2010, $4.2 million for the year ended December 31, 2009, and $4.8 million for the year ended December 31, 2008. Future minimum lease payments under non-cancelable leases at December 31, 2010, are as follows (in thousands):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4,626</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3,521</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3,057</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2,515</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11,490</w:t>
            </w:r>
          </w:p>
        </w:tc>
      </w:tr>
      <w:tr>
        <w:trPr>
          <w:trHeight w:val="223"/>
        </w:trPr>
        <w:tc>
          <w:tcPr>
            <w:tcW w:w="86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27,458</w:t>
            </w:r>
          </w:p>
        </w:tc>
      </w:tr>
      <w:tr>
        <w:trPr>
          <w:trHeight w:val="20"/>
        </w:trPr>
        <w:tc>
          <w:tcPr>
            <w:tcW w:w="8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0" w:hanging="268"/>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SHARE BASED COMPENSATION AND EMPLOYEE BENEFIT PLANS</w:t>
      </w:r>
      <w:r>
        <w:rPr>
          <w:rFonts w:ascii="Arial" w:cs="Arial" w:eastAsia="Arial" w:hAnsi="Arial"/>
          <w:sz w:val="18"/>
          <w:szCs w:val="18"/>
          <w:color w:val="auto"/>
        </w:rPr>
        <w: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Stock Purchase Plan</w:t>
      </w:r>
    </w:p>
    <w:p>
      <w:pPr>
        <w:spacing w:after="0" w:line="198"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The Company has an Employee Stock Purchase Plan that allows eligible employees to contribute up to 10% of their base earnings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w:t>
      </w:r>
      <w:r>
        <w:rPr>
          <w:rFonts w:ascii="Arial" w:cs="Arial" w:eastAsia="Arial" w:hAnsi="Arial"/>
          <w:sz w:val="14"/>
          <w:szCs w:val="14"/>
          <w:color w:val="auto"/>
        </w:rPr>
        <w:t>SM</w:t>
      </w:r>
      <w:r>
        <w:rPr>
          <w:rFonts w:ascii="Arial" w:cs="Arial" w:eastAsia="Arial" w:hAnsi="Arial"/>
          <w:sz w:val="17"/>
          <w:szCs w:val="17"/>
          <w:color w:val="auto"/>
        </w:rPr>
        <w:t>. Employees may purchase shares having a fair market value of up to $25,000 (measured as of the first day of each semi-annual offering period) for each calendar year. Under the Employee Stock Purchase Plan, there are approximately 527,000 shares remaining of the 900,000 shares of the Company’s Class A common stock that have been reserved for issuance. The Company issued 65,757 shares under the Employee Stock Purchase Plan during the year ended December 31, 2010 and 91,355 shares during the year ended December 31, 2009. Of the 3,010 employees eligible to participate, 315 were participants in the plan as of December 31, 2010.</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Non-Employee Director Stock Option Plan</w:t>
      </w:r>
    </w:p>
    <w:p>
      <w:pPr>
        <w:spacing w:after="0" w:line="185"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On May 16, 2006, the Board of Directors and shareholders adopted the Rush Enterprises, Inc. 2006 Non-Employee Director Stock Option Plan (the “Director Plan”), reserving 1,500,000 shares of Class A common stock for issuance upon exercise of any awards granted under the plan. This Director Plan was Amended and Restated on May 20, 2008 to expand the type of award that may be granted under the plan to include Class A common stock awards. The Director Plan was also amended on May 18, 2010 to reduce the number of shares reserved for issuance under the plan by 1,000,000 shares of Class A common stock.</w:t>
      </w:r>
    </w:p>
    <w:p>
      <w:pPr>
        <w:spacing w:after="0" w:line="146"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The Director Plan is designed to attract and retain highly qualified non-employee directors. Prior to 2008, each non-employee director received options to purchase 20,000 shares of the Company’s Class A common stock upon their respective date of appointment and each year on the date that they are elected or reelected by the shareholders to serve on the Board of Directors. Each option has a ten year term from the grant date and vested immediately. Beginning in 2008, each non-employee director received a grant of the Company’s Class A common stock equivalent to a compensation value of $125,000 and in 2009 the compensation value was reduced to $100,000. Each non-employee director received a grant of 8,756 shares of the Company’s Class A common stock in 2009. In 2010, two non-employee directors received a grant of 6,527 shares of the Company’s Class A common stock and three non-employee directors received a grant of 4,242 shares of the Company’s Class A common stock and $35,000 cash, for total compensation equivalent to $100,000. Under the Director Plan, there are approximately 310,000 shares remaining for issuance of the 500,000 shares of the Company’s Class A common stock that have been reserved for issuance. The Company granted 25,780 shares of Class A common stock under the Director Plan during the year ended December 31, 2010 and 43,780 shares of Class A common stock under the Director Plan during the year ended December 31, 2009.</w:t>
      </w:r>
    </w:p>
    <w:p>
      <w:pPr>
        <w:spacing w:after="0" w:line="200" w:lineRule="exact"/>
        <w:rPr>
          <w:sz w:val="20"/>
          <w:szCs w:val="20"/>
          <w:color w:val="auto"/>
        </w:rPr>
      </w:pPr>
    </w:p>
    <w:p>
      <w:pPr>
        <w:spacing w:after="0" w:line="33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Incentive Plans</w:t>
      </w:r>
    </w:p>
    <w:p>
      <w:pPr>
        <w:spacing w:after="0" w:line="198"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replaced the Rush Enterprises, Inc. Long-Term Incentive Plan (“Incentive Plan”) effective May 22, 2007. The 2007 Incentive Plan was Amended and Restated on May 18, 2010 to increase the number of shares available for issuance under the plan to 4,550,000 shares of Class A common stock.</w:t>
      </w:r>
    </w:p>
    <w:p>
      <w:pPr>
        <w:spacing w:after="0" w:line="138"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The aggregate number of shares of common stock subject to stock options or SARs that may be granted to any one participant in any year under the 2007 Incentive Plan is 100,000 shares of Class A common stock or 100,000 shares of Class B common stock. Each option, granted pursuant to the 2007 Incentive Plan, has a ten year term from the grant date and vests in three equal annual installments beginning on the third anniversary of the grant date. The Company has 4,550,000 shares of Class A common stock and 450,000 shares of Class B common stock reserved for issuance upon exercise of any awards granted under the Company’s 2007 Incentive Plan. As of December 31, 2010, approximately 2,625,000 shares of Class A common stock and 450,000 shares of Class B common stock are available for issuance upon exercise of any awards granted under the Company’s 2007 Incentive Plan. During the year ended December 31, 2010, the Company granted 627,045 options to purchase Class A common stock and 99,465 restricted Class A common stock awards under the 2007 Incentive Plan. During the year ended December 31, 2009, the Company granted 617,430 options to purchase Class A common stock and 100,775 restricted Class A common stock awards under the 2007 Incentive Plan.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and Expense Information</w:t>
      </w:r>
    </w:p>
    <w:p>
      <w:pPr>
        <w:spacing w:after="0" w:line="19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Stock-based compensation expense related to stock options, restricted stock awards and employee stock purchases was $4.5 million for the year ended December 31, 2010, $3.7 million for the year ended December 31, 2009, and $3.6 million for the year ended December 31, 2008.</w:t>
      </w:r>
    </w:p>
    <w:p>
      <w:pPr>
        <w:spacing w:after="0" w:line="141"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Cash received from options exercised and shares purchased under all share-based payment arrangements was $2.3 million for the year ended December 31, 2010, $0.8 million for the year ended December 31, 2009, and $1.1 million for the year ended December 31, 2008.</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and related information for the year ended December 31, 2010,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Remaining</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Aggregate</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1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Contractual</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Intrinsic</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Options</w:t>
            </w:r>
          </w:p>
        </w:tc>
        <w:tc>
          <w:tcPr>
            <w:tcW w:w="30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Price</w:t>
            </w:r>
          </w:p>
        </w:tc>
        <w:tc>
          <w:tcPr>
            <w:tcW w:w="1600" w:type="dxa"/>
            <w:vAlign w:val="bottom"/>
            <w:gridSpan w:val="3"/>
          </w:tcPr>
          <w:p>
            <w:pPr>
              <w:jc w:val="center"/>
              <w:ind w:right="180"/>
              <w:spacing w:after="0"/>
              <w:rPr>
                <w:sz w:val="20"/>
                <w:szCs w:val="20"/>
                <w:color w:val="auto"/>
              </w:rPr>
            </w:pPr>
            <w:r>
              <w:rPr>
                <w:rFonts w:ascii="Arial" w:cs="Arial" w:eastAsia="Arial" w:hAnsi="Arial"/>
                <w:sz w:val="18"/>
                <w:szCs w:val="18"/>
                <w:color w:val="auto"/>
                <w:w w:val="94"/>
              </w:rPr>
              <w:t>Life (in Years)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Value</w:t>
            </w:r>
          </w:p>
        </w:tc>
      </w:tr>
      <w:tr>
        <w:trPr>
          <w:trHeight w:val="210"/>
        </w:trPr>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of Outstanding Options at January 1, 2010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3,309,327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11.04</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627,045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7.67</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(222,495)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Forfeited</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13.24</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7"/>
              </w:rPr>
              <w:t>Balance of Outstanding Options at December 31, 2010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3,709,877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10.94</w:t>
            </w:r>
          </w:p>
        </w:tc>
        <w:tc>
          <w:tcPr>
            <w:tcW w:w="1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6.28</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$ 34,823,889</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280" w:type="dxa"/>
            <w:vAlign w:val="bottom"/>
          </w:tcPr>
          <w:p>
            <w:pPr>
              <w:spacing w:after="0"/>
              <w:rPr>
                <w:sz w:val="20"/>
                <w:szCs w:val="20"/>
                <w:color w:val="auto"/>
              </w:rPr>
            </w:pPr>
            <w:r>
              <w:rPr>
                <w:rFonts w:ascii="Arial" w:cs="Arial" w:eastAsia="Arial" w:hAnsi="Arial"/>
                <w:sz w:val="18"/>
                <w:szCs w:val="18"/>
                <w:color w:val="auto"/>
              </w:rPr>
              <w:t>Vested and exercisable at December 31, 2010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1,575,178</w:t>
            </w:r>
          </w:p>
        </w:tc>
        <w:tc>
          <w:tcPr>
            <w:tcW w:w="2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9.78</w:t>
            </w:r>
          </w:p>
        </w:tc>
        <w:tc>
          <w:tcPr>
            <w:tcW w:w="1600" w:type="dxa"/>
            <w:vAlign w:val="bottom"/>
            <w:gridSpan w:val="3"/>
          </w:tcPr>
          <w:p>
            <w:pPr>
              <w:jc w:val="right"/>
              <w:ind w:right="380"/>
              <w:spacing w:after="0"/>
              <w:rPr>
                <w:sz w:val="20"/>
                <w:szCs w:val="20"/>
                <w:color w:val="auto"/>
              </w:rPr>
            </w:pPr>
            <w:r>
              <w:rPr>
                <w:rFonts w:ascii="Arial" w:cs="Arial" w:eastAsia="Arial" w:hAnsi="Arial"/>
                <w:sz w:val="18"/>
                <w:szCs w:val="18"/>
                <w:color w:val="auto"/>
              </w:rPr>
              <w:t>4.25</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$ 16,610,401</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aggregate intrinsic value in the preceding table represents the total pretax intrinsic value, based on the weighted-average of the closing price as of December 31, 2010, of the Company’s Class A common stock and Class B common stock of $20.33. The total intrinsic value of options exercised was $2.3 million during the year ended December 31, 2010, $0.2 million during the year ended December 31, 2009, and $1.7 million during the year ended December 31, 2008.</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A summary of the status of the number of shares underlying Company’s non-vested options as of December 31, 2010, and changes during the year ended December 31, 2010, follows: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Number of</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Grant Date</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Non-vested Shares</w:t>
            </w:r>
          </w:p>
        </w:tc>
        <w:tc>
          <w:tcPr>
            <w:tcW w:w="30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Fair Value</w:t>
            </w:r>
          </w:p>
        </w:tc>
      </w:tr>
      <w:tr>
        <w:trPr>
          <w:trHeight w:val="210"/>
        </w:trPr>
        <w:tc>
          <w:tcPr>
            <w:tcW w:w="7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2010</w:t>
            </w:r>
          </w:p>
        </w:tc>
        <w:tc>
          <w:tcPr>
            <w:tcW w:w="1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1,980,585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627,045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(468,931)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r>
      <w:tr>
        <w:trPr>
          <w:trHeight w:val="223"/>
        </w:trPr>
        <w:tc>
          <w:tcPr>
            <w:tcW w:w="7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2010</w:t>
            </w:r>
          </w:p>
        </w:tc>
        <w:tc>
          <w:tcPr>
            <w:tcW w:w="1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2,134,699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total fair value of vested options was $2.4 million during the year ended December 31, 2010, $1.8 million during the year ended December 31, 2009, and $1.4 million during the year ended December 31, 2008. The weighted-average grant date fair value of options granted was $5.80 during the year ended December 31, 2010, $3.25 during the year ended December 31, 2009, and $5.62 during the year ended December 31, 2008.</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Awards</w:t>
      </w:r>
    </w:p>
    <w:p>
      <w:pPr>
        <w:spacing w:after="0" w:line="18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Company granted restricted stock awards to its employees under the 2007 Incentive Plan and unrestricted stock awards to its non-employee directors under the Director Plan during the year ended December 31, 2010. The shares granted to employees vest in three equal installments on the first, second and third anniversary of the grant date and are forfeited in the event the recipient’s employment or relationship with the Company is terminated prior to vesting. The fair value of the restricted stock awards to the Company’s employees is amortized to expense on a straight-line basis over the restricted stock’s vesting period. The shares granted to non-employee directors are expensed on the grant date.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Company’s non-vested stock awards outstanding at December 31, 2010:</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Number of</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Grant Date</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Non-Vested Stock Awards</w:t>
            </w:r>
          </w:p>
        </w:tc>
        <w:tc>
          <w:tcPr>
            <w:tcW w:w="30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Fair Value</w:t>
            </w:r>
          </w:p>
        </w:tc>
      </w:tr>
      <w:tr>
        <w:trPr>
          <w:trHeight w:val="210"/>
        </w:trPr>
        <w:tc>
          <w:tcPr>
            <w:tcW w:w="7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2010</w:t>
            </w:r>
          </w:p>
        </w:tc>
        <w:tc>
          <w:tcPr>
            <w:tcW w:w="1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148,610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125,245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13.08</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(83,296)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2010</w:t>
            </w:r>
          </w:p>
        </w:tc>
        <w:tc>
          <w:tcPr>
            <w:tcW w:w="1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190,559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The total fair market value of the shares issued upon the vesting of stock awards during the year ended December 31, 2010 was $1.0 million. The weighted-average grant date fair value of stock awards granted was $13.08 during the year ended December 31, 2010, $8.81 during the year ended December 31, 2009, and $15.90 during the year ended December 31, 2008.</w:t>
      </w:r>
    </w:p>
    <w:p>
      <w:pPr>
        <w:spacing w:after="0" w:line="125"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As of December 31, 2010, there was $5.1 million of total unrecognized compensation cost related to unvested share-based compensation arrangements granted under the Incentive Plan and the 2007 Incentive Plan. That cost is expected to be recognized over a weighted-average period of 3.0 years.</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Contribution Plan</w:t>
      </w:r>
    </w:p>
    <w:p>
      <w:pPr>
        <w:spacing w:after="0" w:line="198"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The Company has a defined contribution plan (the “Rush 401k Plan”), which is available to all Company employees and the employees of certain affiliates. Each employee who has completed 90 days of continuous service is entitled to enter the Rush 401k Plan on the first day of the following month. Participating employees may contribute from 1% to 50% of total gross compensation. However, certain higher paid employees are limited to a maximum contribution of 15% of total gross compensation. In March 2009, the Company discontinued its matching contributions to the Rush 401k plan. On April 1, 2010 the Company reinstated its matching contributions. For the first 10% of an employee’s contribution, the Company, at its discretion, may contribute an amount equal to 5% of the employees’ contributions for those employees with less than five years of service and an amount equal to 10% of the employees’ contributions for those employees with more than five years of service. The Company incurred expenses related to the Rush 401k Plan of approximately $0.4 million during the year ended December 31, 2010, $0.6 million during the year ended December 31, 2009, and $3.4 million during the year ended December 31, 2008.</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Deferred Compensation Plan</w:t>
      </w:r>
    </w:p>
    <w:p>
      <w:pPr>
        <w:spacing w:after="0" w:line="18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On November 6, 2010 the Board of Directors of the Company adopted the Rush Enterprises, Inc. Deferred Compensation Plan (the “Deferred Compensation Plan”) wherein selected employees and directors may elect to defer a portion of their annual compensation. The Deferred Compensation Plan also provides the Company with the discretion to make matching contributions to participants’ accounts. The Company has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currently does not provide any postretirement benefits nor does it provide any post employment benefits.</w:t>
      </w:r>
    </w:p>
    <w:p>
      <w:pPr>
        <w:spacing w:after="0" w:line="185" w:lineRule="exact"/>
        <w:rPr>
          <w:sz w:val="20"/>
          <w:szCs w:val="20"/>
          <w:color w:val="auto"/>
        </w:rPr>
      </w:pPr>
    </w:p>
    <w:p>
      <w:pPr>
        <w:ind w:left="600" w:hanging="268"/>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STOCK REPURCHASE PLAN</w:t>
      </w:r>
      <w:r>
        <w:rPr>
          <w:rFonts w:ascii="Arial" w:cs="Arial" w:eastAsia="Arial" w:hAnsi="Arial"/>
          <w:sz w:val="18"/>
          <w:szCs w:val="18"/>
          <w:color w:val="auto"/>
        </w:rPr>
        <w: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Repurchase Plan</w:t>
      </w:r>
    </w:p>
    <w:p>
      <w:pPr>
        <w:spacing w:after="0" w:line="198" w:lineRule="exact"/>
        <w:rPr>
          <w:sz w:val="20"/>
          <w:szCs w:val="20"/>
          <w:color w:val="auto"/>
        </w:rPr>
      </w:pPr>
    </w:p>
    <w:p>
      <w:pPr>
        <w:jc w:val="both"/>
        <w:ind w:left="340" w:right="159"/>
        <w:spacing w:after="0" w:line="253" w:lineRule="auto"/>
        <w:rPr>
          <w:sz w:val="20"/>
          <w:szCs w:val="20"/>
          <w:color w:val="auto"/>
        </w:rPr>
      </w:pPr>
      <w:r>
        <w:rPr>
          <w:rFonts w:ascii="Arial" w:cs="Arial" w:eastAsia="Arial" w:hAnsi="Arial"/>
          <w:sz w:val="18"/>
          <w:szCs w:val="18"/>
          <w:color w:val="auto"/>
        </w:rPr>
        <w:t>On July 22, 2008, the Company’s Board of Directors approved a stock repurchase program authorizing the Company to repurchase, from time to time, up to an aggregate of $20,000,000 of its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including those related to the ownership requirements of its dealership agreements with manufacturers it represents. The stock repurchase program has no expiration date and may be suspended or discontinued at any time. While the stock repurchase program does not obligate the Company to acquire any particular amount or class of common stock, the Company anticipates that it will be repurchasing primarily shares of its Class B common stock.</w:t>
      </w:r>
    </w:p>
    <w:p>
      <w:pPr>
        <w:spacing w:after="0" w:line="157"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During the year ended December 31, 2008, the Company repurchased 1,639,843 shares of Class B common stock at a cost of $17.9 million. The Company is holding the repurchased shares of the common stock as treasury stock and is accounting for the treasury stock pursuant to the cost method. The Company includes treasury stock as a component of stockholders’ equity. On November 6, 2010, the Board of Directors of the Company approved the termination of the stock repurchase program.</w:t>
      </w:r>
    </w:p>
    <w:p>
      <w:pPr>
        <w:spacing w:after="0" w:line="131" w:lineRule="exact"/>
        <w:rPr>
          <w:sz w:val="20"/>
          <w:szCs w:val="20"/>
          <w:color w:val="auto"/>
        </w:rPr>
      </w:pPr>
    </w:p>
    <w:p>
      <w:pPr>
        <w:ind w:left="600" w:hanging="268"/>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w:t>
      </w:r>
    </w:p>
    <w:p>
      <w:pPr>
        <w:spacing w:after="0" w:line="198"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and restricted shares that were outstanding during the period. The Company’s Class A common stock and Class B common stock have equal claims on earnings of the Company. The following is a reconciliation of the numerators and the denominators of the basic and diluted per share computations for income from continuing operations.</w:t>
      </w: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0"/>
              <w:spacing w:after="0"/>
              <w:rPr>
                <w:sz w:val="20"/>
                <w:szCs w:val="20"/>
                <w:color w:val="auto"/>
              </w:rPr>
            </w:pPr>
            <w:r>
              <w:rPr>
                <w:rFonts w:ascii="Arial" w:cs="Arial" w:eastAsia="Arial" w:hAnsi="Arial"/>
                <w:sz w:val="18"/>
                <w:szCs w:val="18"/>
                <w:color w:val="auto"/>
              </w:rPr>
              <w:t>Numerator for basic and diluted earnings per share-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Income from continuing operations available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24,567,000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5,095,000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25,178,000</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Denominator for basic earnings per share, weighted average shares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37,307,453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37,065,654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38,088,687</w:t>
            </w:r>
          </w:p>
        </w:tc>
        <w:tc>
          <w:tcPr>
            <w:tcW w:w="0" w:type="dxa"/>
            <w:vAlign w:val="bottom"/>
          </w:tcPr>
          <w:p>
            <w:pPr>
              <w:spacing w:after="0"/>
              <w:rPr>
                <w:sz w:val="1"/>
                <w:szCs w:val="1"/>
                <w:color w:val="auto"/>
              </w:rPr>
            </w:pPr>
          </w:p>
        </w:tc>
      </w:tr>
      <w:tr>
        <w:trPr>
          <w:trHeight w:val="432"/>
        </w:trPr>
        <w:tc>
          <w:tcPr>
            <w:tcW w:w="594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options and restricted shares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910,727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530,853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498,263</w:t>
            </w:r>
          </w:p>
        </w:tc>
        <w:tc>
          <w:tcPr>
            <w:tcW w:w="0" w:type="dxa"/>
            <w:vAlign w:val="bottom"/>
          </w:tcPr>
          <w:p>
            <w:pPr>
              <w:spacing w:after="0"/>
              <w:rPr>
                <w:sz w:val="1"/>
                <w:szCs w:val="1"/>
                <w:color w:val="auto"/>
              </w:rPr>
            </w:pPr>
          </w:p>
        </w:tc>
      </w:tr>
      <w:tr>
        <w:trPr>
          <w:trHeight w:val="425"/>
        </w:trPr>
        <w:tc>
          <w:tcPr>
            <w:tcW w:w="5940" w:type="dxa"/>
            <w:vAlign w:val="bottom"/>
          </w:tcPr>
          <w:p>
            <w:pPr>
              <w:ind w:left="200"/>
              <w:spacing w:after="0"/>
              <w:rPr>
                <w:sz w:val="20"/>
                <w:szCs w:val="20"/>
                <w:color w:val="auto"/>
              </w:rPr>
            </w:pPr>
            <w:r>
              <w:rPr>
                <w:rFonts w:ascii="Arial" w:cs="Arial" w:eastAsia="Arial" w:hAnsi="Arial"/>
                <w:sz w:val="18"/>
                <w:szCs w:val="18"/>
                <w:color w:val="auto"/>
              </w:rPr>
              <w:t>Denominator for diluted earnings per share, adjusted weighted average</w:t>
            </w: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400"/>
              <w:spacing w:after="0"/>
              <w:rPr>
                <w:sz w:val="20"/>
                <w:szCs w:val="20"/>
                <w:color w:val="auto"/>
              </w:rPr>
            </w:pPr>
            <w:r>
              <w:rPr>
                <w:rFonts w:ascii="Arial" w:cs="Arial" w:eastAsia="Arial" w:hAnsi="Arial"/>
                <w:sz w:val="18"/>
                <w:szCs w:val="18"/>
                <w:color w:val="auto"/>
              </w:rPr>
              <w:t>shares and assumed conversions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38,218,180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37,596,507</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38,586,950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40" w:type="dxa"/>
            <w:vAlign w:val="bottom"/>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0.64</w:t>
            </w:r>
          </w:p>
        </w:tc>
        <w:tc>
          <w:tcPr>
            <w:tcW w:w="4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360"/>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years ended December 31, 2010, 2009 and 2008 that were not included in the computation of diluted earnings per share because the effect would have been anti-dilutive are as follows:</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504,830</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1,557,356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545,215</w:t>
            </w:r>
          </w:p>
        </w:tc>
      </w:tr>
      <w:tr>
        <w:trPr>
          <w:trHeight w:val="20"/>
        </w:trPr>
        <w:tc>
          <w:tcPr>
            <w:tcW w:w="5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940" w:type="dxa"/>
            <w:vAlign w:val="bottom"/>
          </w:tcPr>
          <w:p>
            <w:pPr>
              <w:spacing w:after="0"/>
              <w:rPr>
                <w:sz w:val="20"/>
                <w:szCs w:val="20"/>
                <w:color w:val="auto"/>
              </w:rPr>
            </w:pPr>
            <w:r>
              <w:rPr>
                <w:rFonts w:ascii="Arial" w:cs="Arial" w:eastAsia="Arial" w:hAnsi="Arial"/>
                <w:sz w:val="18"/>
                <w:szCs w:val="18"/>
                <w:color w:val="auto"/>
              </w:rPr>
              <w:t>Total anti-dilutive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504,830</w:t>
            </w:r>
          </w:p>
        </w:tc>
        <w:tc>
          <w:tcPr>
            <w:tcW w:w="40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1,557,356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545,215</w:t>
            </w:r>
          </w:p>
        </w:tc>
      </w:tr>
      <w:tr>
        <w:trPr>
          <w:trHeight w:val="20"/>
        </w:trPr>
        <w:tc>
          <w:tcPr>
            <w:tcW w:w="5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9100" w:hanging="8"/>
        <w:spacing w:after="0" w:line="519" w:lineRule="auto"/>
        <w:tabs>
          <w:tab w:leader="none" w:pos="61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Provision for Income Taxes</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tax provisions (benefits) are summarized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 (benefit)-</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Federal</w:t>
            </w:r>
          </w:p>
        </w:tc>
        <w:tc>
          <w:tcPr>
            <w:tcW w:w="2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3,850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(688)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1,965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5,815</w:t>
            </w: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6,273</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Deferred provision (benefit)-</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Federal</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9,962</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(2,614)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9,809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10,215</w:t>
            </w:r>
          </w:p>
        </w:tc>
        <w:tc>
          <w:tcPr>
            <w:tcW w:w="20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(2,869)</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9,949</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60" w:type="dxa"/>
            <w:vAlign w:val="bottom"/>
            <w:vMerge w:val="restart"/>
          </w:tcPr>
          <w:p>
            <w:pPr>
              <w:jc w:val="right"/>
              <w:ind w:right="910"/>
              <w:spacing w:after="0"/>
              <w:rPr>
                <w:sz w:val="20"/>
                <w:szCs w:val="20"/>
                <w:color w:val="auto"/>
              </w:rPr>
            </w:pPr>
            <w:r>
              <w:rPr>
                <w:rFonts w:ascii="Arial" w:cs="Arial" w:eastAsia="Arial" w:hAnsi="Arial"/>
                <w:sz w:val="18"/>
                <w:szCs w:val="18"/>
                <w:color w:val="auto"/>
              </w:rPr>
              <w:t>63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A reconciliation of taxes based on the federal statutory rates and the provisions (benefits) for income taxes are summarized as follows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1,418</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422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1,236</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Tax effect of permanent differences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Alternative fuel tax credits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(2,461)</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(5,304)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Federal tax settlement</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net</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23"/>
        </w:trPr>
        <w:tc>
          <w:tcPr>
            <w:tcW w:w="4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16,222</w:t>
            </w:r>
          </w:p>
        </w:tc>
      </w:tr>
      <w:tr>
        <w:trPr>
          <w:trHeight w:val="20"/>
        </w:trPr>
        <w:tc>
          <w:tcPr>
            <w:tcW w:w="4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Following is a summary of the Company’s income tax provision for the years ended December 31, 2010, 2009 and 2008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r>
      <w:tr>
        <w:trPr>
          <w:trHeight w:val="210"/>
        </w:trPr>
        <w:tc>
          <w:tcPr>
            <w:tcW w:w="4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on continuing operations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Income tax provision from discontinued operations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4,293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505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2,358</w:t>
            </w:r>
          </w:p>
        </w:tc>
      </w:tr>
      <w:tr>
        <w:trPr>
          <w:trHeight w:val="223"/>
        </w:trPr>
        <w:tc>
          <w:tcPr>
            <w:tcW w:w="4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16,222</w:t>
            </w:r>
          </w:p>
        </w:tc>
      </w:tr>
      <w:tr>
        <w:trPr>
          <w:trHeight w:val="20"/>
        </w:trPr>
        <w:tc>
          <w:tcPr>
            <w:tcW w:w="4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the components of deferred tax assets and liabilities included in the balance sheet (in thousands):</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16"/>
        </w:trPr>
        <w:tc>
          <w:tcPr>
            <w:tcW w:w="708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lease obligations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16"/>
        </w:trPr>
        <w:tc>
          <w:tcPr>
            <w:tcW w:w="708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958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Alternative fuel tax credits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7080" w:type="dxa"/>
            <w:vAlign w:val="bottom"/>
          </w:tcPr>
          <w:p>
            <w:pPr>
              <w:ind w:left="4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1,671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 net operating loss carry forward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7080" w:type="dxa"/>
            <w:vAlign w:val="bottom"/>
          </w:tcPr>
          <w:p>
            <w:pPr>
              <w:ind w:left="400"/>
              <w:spacing w:after="0"/>
              <w:rPr>
                <w:sz w:val="20"/>
                <w:szCs w:val="20"/>
                <w:color w:val="auto"/>
              </w:rPr>
            </w:pPr>
            <w:r>
              <w:rPr>
                <w:rFonts w:ascii="Arial" w:cs="Arial" w:eastAsia="Arial" w:hAnsi="Arial"/>
                <w:sz w:val="18"/>
                <w:szCs w:val="18"/>
                <w:color w:val="auto"/>
              </w:rPr>
              <w:t>State tax credit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Current deferred tax asset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10,281</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lease obligations</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9,538</w:t>
            </w:r>
          </w:p>
        </w:tc>
        <w:tc>
          <w:tcPr>
            <w:tcW w:w="0" w:type="dxa"/>
            <w:vAlign w:val="bottom"/>
          </w:tcPr>
          <w:p>
            <w:pPr>
              <w:spacing w:after="0"/>
              <w:rPr>
                <w:sz w:val="1"/>
                <w:szCs w:val="1"/>
                <w:color w:val="auto"/>
              </w:rPr>
            </w:pPr>
          </w:p>
        </w:tc>
      </w:tr>
      <w:tr>
        <w:trPr>
          <w:trHeight w:val="216"/>
        </w:trPr>
        <w:tc>
          <w:tcPr>
            <w:tcW w:w="708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3,833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15,662</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00"/>
              <w:spacing w:after="0"/>
              <w:rPr>
                <w:sz w:val="20"/>
                <w:szCs w:val="20"/>
                <w:color w:val="auto"/>
              </w:rPr>
            </w:pPr>
            <w:r>
              <w:rPr>
                <w:rFonts w:ascii="Arial" w:cs="Arial" w:eastAsia="Arial" w:hAnsi="Arial"/>
                <w:sz w:val="18"/>
                <w:szCs w:val="18"/>
                <w:color w:val="auto"/>
              </w:rPr>
              <w:t>Difference between book and tax basis-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(78,793)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(66,399)</w:t>
            </w:r>
          </w:p>
        </w:tc>
        <w:tc>
          <w:tcPr>
            <w:tcW w:w="0" w:type="dxa"/>
            <w:vAlign w:val="bottom"/>
          </w:tcPr>
          <w:p>
            <w:pPr>
              <w:spacing w:after="0"/>
              <w:rPr>
                <w:sz w:val="1"/>
                <w:szCs w:val="1"/>
                <w:color w:val="auto"/>
              </w:rPr>
            </w:pPr>
          </w:p>
        </w:tc>
      </w:tr>
      <w:tr>
        <w:trPr>
          <w:trHeight w:val="216"/>
        </w:trPr>
        <w:tc>
          <w:tcPr>
            <w:tcW w:w="7080" w:type="dxa"/>
            <w:vAlign w:val="bottom"/>
          </w:tcPr>
          <w:p>
            <w:pPr>
              <w:ind w:left="600"/>
              <w:spacing w:after="0"/>
              <w:rPr>
                <w:sz w:val="20"/>
                <w:szCs w:val="20"/>
                <w:color w:val="auto"/>
              </w:rPr>
            </w:pPr>
            <w:r>
              <w:rPr>
                <w:rFonts w:ascii="Arial" w:cs="Arial" w:eastAsia="Arial" w:hAnsi="Arial"/>
                <w:sz w:val="18"/>
                <w:szCs w:val="18"/>
                <w:color w:val="auto"/>
              </w:rPr>
              <w:t>LIFO inventory valuation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tax liability</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(63,540)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(54,600)</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w w:val="93"/>
              </w:rPr>
              <w:t>The Company’s various state net operating loss carry forwards expire from 2011 through 2024.</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The Company included accruals for unrecognized income tax benefits totaling $1.5 million as a component of accrued liabilities as of December 31, 2010, and $1.8 million as of December 31, 2009. The unrecognized tax benefits of $1.5 million at December 31, 2010, and $1.8 million as of December 31, 2009, if recognized, would impact the Company’s effective tax rate. An unfavorable settlement would require a charge to income tax expense and a favorable resolution would be recognized as a reduction to income tax expense. As of December 31, 2010, the Company accrued interest of $130,000 related to unrecognized tax benefits in the current provision for income taxes. No amounts were accrued for penalties.</w:t>
      </w:r>
    </w:p>
    <w:p>
      <w:pPr>
        <w:spacing w:after="0" w:line="151"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December 31, 2010, the tax years ended December 31, 2008 through 2010 remained subject to audit by federal tax authorities and the tax years ended December 31, 2006 through 2010, remained subject to audit by state tax authorities.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change in the unrecognized tax benefits from January 1, 2008, to December 31, 2010, is as follows:</w:t>
      </w:r>
    </w:p>
    <w:p>
      <w:pPr>
        <w:sectPr>
          <w:pgSz w:w="11900" w:h="16838" w:orient="portrait"/>
          <w:cols w:equalWidth="0" w:num="1">
            <w:col w:w="10219"/>
          </w:cols>
          <w:pgMar w:left="240" w:top="419" w:right="1440"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Unrecognized tax benefits at January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17474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increases — tax positions in current year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Reductions due to 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Unrecognized tax benefits at December 31, 2008</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increases — tax positions in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Gross increases — tax positions in current year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Decreases related to settlements with taxing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-116205</wp:posOffset>
            </wp:positionV>
            <wp:extent cx="617474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Reductions due to lapse of statute of limitations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Unrecognized tax benefits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17474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increases — tax positions in current year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Reductions due to 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Unrecognized tax benefits at December 31, 2010</w:t>
      </w:r>
    </w:p>
    <w:p>
      <w:pPr>
        <w:spacing w:after="0" w:line="239" w:lineRule="exact"/>
        <w:rPr>
          <w:sz w:val="20"/>
          <w:szCs w:val="20"/>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40" w:hanging="237"/>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1,965,428</w:t>
      </w:r>
    </w:p>
    <w:p>
      <w:pPr>
        <w:spacing w:after="0" w:line="34"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7"/>
          <w:szCs w:val="17"/>
          <w:color w:val="auto"/>
        </w:rPr>
        <w:t>426,590</w:t>
      </w:r>
    </w:p>
    <w:p>
      <w:pPr>
        <w:spacing w:after="0" w:line="21"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(453,334)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089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1,938,684</w:t>
      </w:r>
    </w:p>
    <w:p>
      <w:pPr>
        <w:spacing w:after="0" w:line="35"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345,863</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94,053</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(344,737)</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(272,468)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089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1,761,395</w:t>
      </w:r>
    </w:p>
    <w:p>
      <w:pPr>
        <w:spacing w:after="0" w:line="23"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177,236</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(472,689)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089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1,465,942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6089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2">
            <w:col w:w="8280" w:space="720"/>
            <w:col w:w="1219"/>
          </w:cols>
          <w:pgMar w:left="240" w:top="419" w:right="1440" w:bottom="1440" w:gutter="0" w:footer="0" w:header="0"/>
          <w:type w:val="continuous"/>
        </w:sectPr>
      </w:pPr>
    </w:p>
    <w:p>
      <w:pPr>
        <w:jc w:val="both"/>
        <w:ind w:left="340" w:right="159"/>
        <w:spacing w:after="0" w:line="276" w:lineRule="auto"/>
        <w:rPr>
          <w:sz w:val="20"/>
          <w:szCs w:val="20"/>
          <w:color w:val="auto"/>
        </w:rPr>
      </w:pPr>
      <w:r>
        <w:rPr>
          <w:rFonts w:ascii="Arial" w:cs="Arial" w:eastAsia="Arial" w:hAnsi="Arial"/>
          <w:sz w:val="17"/>
          <w:szCs w:val="17"/>
          <w:color w:val="auto"/>
        </w:rPr>
        <w:t>The Company is contingently liable to finance companies for certain notes initiated on behalf of such finance companies related to the sale of commercial vehicles.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The Company provides for an allowance for repossession losses and early repayment penalties that it may be liable for under finance contracts sold without recourse.</w:t>
      </w:r>
    </w:p>
    <w:p>
      <w:pPr>
        <w:spacing w:after="0" w:line="132"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48"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In 2006, the Company signed an agreement with Titan Technology Partners to implement SAP enterprise software and a new SAP dealership management system. The cost of the SAP software and implementation is estimated at approximately $39.0 million, of which $36.2 million was expended at December 31, 2010.</w:t>
      </w:r>
    </w:p>
    <w:p>
      <w:pPr>
        <w:spacing w:after="0" w:line="154" w:lineRule="exact"/>
        <w:rPr>
          <w:sz w:val="20"/>
          <w:szCs w:val="20"/>
          <w:color w:val="auto"/>
        </w:rPr>
      </w:pPr>
    </w:p>
    <w:p>
      <w:pPr>
        <w:ind w:left="600" w:hanging="268"/>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ACQUISITIONS</w:t>
      </w:r>
      <w:r>
        <w:rPr>
          <w:rFonts w:ascii="Arial" w:cs="Arial" w:eastAsia="Arial" w:hAnsi="Arial"/>
          <w:sz w:val="18"/>
          <w:szCs w:val="18"/>
          <w:color w:val="auto"/>
        </w:rPr>
        <w:t>:</w:t>
      </w:r>
    </w:p>
    <w:p>
      <w:pPr>
        <w:spacing w:after="0" w:line="18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All of the following acquisitions, unless otherwise noted, were considered business combinations accounted for under ASC 805 “Business Combinations.” Pro forma information is not included in accordance with ASC 805 since no acquisitions were considered material individually or in the aggregate.</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60"/>
        <w:spacing w:after="0" w:line="255" w:lineRule="auto"/>
        <w:rPr>
          <w:sz w:val="20"/>
          <w:szCs w:val="20"/>
          <w:color w:val="auto"/>
        </w:rPr>
      </w:pPr>
      <w:r>
        <w:rPr>
          <w:rFonts w:ascii="Arial" w:cs="Arial" w:eastAsia="Arial" w:hAnsi="Arial"/>
          <w:sz w:val="18"/>
          <w:szCs w:val="18"/>
          <w:color w:val="auto"/>
        </w:rPr>
        <w:t>On October 12, 2010, the Company acquired certain assets of Metro Ford Truck Sales, Inc., which consisted of a Ford and Isuzu commercial vehicle dealership in Dallas, Texas. The Company is operating the facility as a full-service Rush Medium-Duty Truck Center offering medium-duty trucks, parts and service. The transaction was valued at approximately $5.6 million, with the purchase price paid in cash. The operations of Metro Ford Truck Sales, Inc. are included in the accompanying consolidated financial statements from the date of the acquisition. The purchase price was allocated based on the fair values of the assets at the date of acquisition as follows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including real estate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8"/>
                <w:szCs w:val="18"/>
                <w:color w:val="auto"/>
              </w:rPr>
            </w:pPr>
          </w:p>
        </w:tc>
      </w:tr>
      <w:tr>
        <w:trPr>
          <w:trHeight w:val="439"/>
        </w:trPr>
        <w:tc>
          <w:tcPr>
            <w:tcW w:w="866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5,592</w:t>
            </w:r>
          </w:p>
        </w:tc>
        <w:tc>
          <w:tcPr>
            <w:tcW w:w="100" w:type="dxa"/>
            <w:vAlign w:val="bottom"/>
          </w:tcPr>
          <w:p>
            <w:pPr>
              <w:spacing w:after="0"/>
              <w:rPr>
                <w:sz w:val="24"/>
                <w:szCs w:val="24"/>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goodwill acquired in the Metro Ford Truck Sales, Inc. acquisition will be amortized over 15 years for tax purposes.</w:t>
      </w:r>
    </w:p>
    <w:p>
      <w:pPr>
        <w:spacing w:after="0" w:line="185" w:lineRule="exact"/>
        <w:rPr>
          <w:sz w:val="20"/>
          <w:szCs w:val="20"/>
          <w:color w:val="auto"/>
        </w:rPr>
      </w:pPr>
    </w:p>
    <w:p>
      <w:pPr>
        <w:jc w:val="both"/>
        <w:ind w:left="340" w:right="1360"/>
        <w:spacing w:after="0" w:line="293" w:lineRule="auto"/>
        <w:rPr>
          <w:sz w:val="20"/>
          <w:szCs w:val="20"/>
          <w:color w:val="auto"/>
        </w:rPr>
      </w:pPr>
      <w:r>
        <w:rPr>
          <w:rFonts w:ascii="Arial" w:cs="Arial" w:eastAsia="Arial" w:hAnsi="Arial"/>
          <w:sz w:val="16"/>
          <w:szCs w:val="16"/>
          <w:color w:val="auto"/>
        </w:rPr>
        <w:t>On July 12, 2010, the Company acquired certain assets of Joe Cooper Truck Center, LLC, which consisted of a Ford franchise in Oklahoma City, Oklahoma. The newly acquired Ford franchise was added to the Company’s existing dealership in Oklahoma City, Oklahoma. The transaction was valued at approximately $1.2 million, with the purchase price paid in cash, and $1.1 million of the purchase price was allocated to goodwill based on the fair value of the assets at the date of acquisition. The operations of Joe Cooper Truck Center, LLC are included in the accompanying consolidated financial statements from the date of the acquisition. All of the goodwill acquired in the Joe Cooper Truck Center, LLC acquisition will be amortized over 15 years for tax purposes.</w:t>
      </w:r>
    </w:p>
    <w:p>
      <w:pPr>
        <w:spacing w:after="0" w:line="124" w:lineRule="exact"/>
        <w:rPr>
          <w:sz w:val="20"/>
          <w:szCs w:val="20"/>
          <w:color w:val="auto"/>
        </w:rPr>
      </w:pPr>
    </w:p>
    <w:p>
      <w:pPr>
        <w:jc w:val="both"/>
        <w:ind w:left="340" w:right="1360"/>
        <w:spacing w:after="0" w:line="270" w:lineRule="auto"/>
        <w:rPr>
          <w:sz w:val="20"/>
          <w:szCs w:val="20"/>
          <w:color w:val="auto"/>
        </w:rPr>
      </w:pPr>
      <w:r>
        <w:rPr>
          <w:rFonts w:ascii="Arial" w:cs="Arial" w:eastAsia="Arial" w:hAnsi="Arial"/>
          <w:sz w:val="17"/>
          <w:szCs w:val="17"/>
          <w:color w:val="auto"/>
        </w:rPr>
        <w:t>On May 24, 2010, the Company acquired certain assets of Lake City Companies, LLC and certain of its subsidiaries and affiliates (collectively, “Lake City International”). Lake City International operated a commercial truck and bus sales, service, parts, finance and leasing business representing multiple brands. The newly acquired dealerships include five locations in Utah, five locations in Idaho and one location in Oregon. These locations are operating as Rush Truck Centers and offer commercial vehicles manufactured by International, Autocar, Mitsubishi Fuso, IC Bus and now Workhorse Custom Chassis in addition to parts, service, body shop, financing and insurance capabilities. Rush Truck Leasing operates Idealease truck rental and leasing franchises at existing locations in Salt Lake City, Utah, and Boise, Idaho. The transaction, including the real estate, was valued at approximately $70.0 million. The purchase price for the assets of the business was paid in cash and the purchase price for the real estate was partially paid in cash with the remainder financed with long-term debt.</w:t>
      </w:r>
    </w:p>
    <w:p>
      <w:pPr>
        <w:spacing w:after="0" w:line="155" w:lineRule="exact"/>
        <w:rPr>
          <w:sz w:val="20"/>
          <w:szCs w:val="20"/>
          <w:color w:val="auto"/>
        </w:rPr>
      </w:pPr>
    </w:p>
    <w:p>
      <w:pPr>
        <w:jc w:val="both"/>
        <w:ind w:left="340" w:right="1360"/>
        <w:spacing w:after="0" w:line="264" w:lineRule="auto"/>
        <w:rPr>
          <w:sz w:val="20"/>
          <w:szCs w:val="20"/>
          <w:color w:val="auto"/>
        </w:rPr>
      </w:pPr>
      <w:r>
        <w:rPr>
          <w:rFonts w:ascii="Arial" w:cs="Arial" w:eastAsia="Arial" w:hAnsi="Arial"/>
          <w:sz w:val="18"/>
          <w:szCs w:val="18"/>
          <w:color w:val="auto"/>
        </w:rPr>
        <w:t>The operations of Lake City International are included in the accompanying consolidated financial statements from the date of the acquisition. The preliminary purchase price has been allocated based on the fair values of the assets at the date of acquisition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5,955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4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Property and equipment, including real estate</w:t>
            </w:r>
          </w:p>
        </w:tc>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47,802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Accounts payable</w:t>
            </w:r>
          </w:p>
        </w:tc>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4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Goodwill</w:t>
            </w:r>
          </w:p>
        </w:tc>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9,231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69,974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640" w:type="dxa"/>
            <w:vAlign w:val="bottom"/>
            <w:vMerge w:val="restart"/>
          </w:tcPr>
          <w:p>
            <w:pPr>
              <w:jc w:val="right"/>
              <w:ind w:right="3630"/>
              <w:spacing w:after="0"/>
              <w:rPr>
                <w:sz w:val="20"/>
                <w:szCs w:val="20"/>
                <w:color w:val="auto"/>
              </w:rPr>
            </w:pPr>
            <w:r>
              <w:rPr>
                <w:rFonts w:ascii="Arial" w:cs="Arial" w:eastAsia="Arial" w:hAnsi="Arial"/>
                <w:sz w:val="18"/>
                <w:szCs w:val="18"/>
                <w:color w:val="auto"/>
              </w:rPr>
              <w:t>66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As the value of certain assets and liabilities are preliminary in nature, they are subject to adjustment as additional information is obtained about the facts and circumstances that existed at the acquisition date. When the valuation is final, any changes to the preliminary valuation of acquired assets and liabilities could result in adjustments to identified intangibles and goodwill. The Company financed approximately $37.5 million of the purchase price under its floor plan, accounts receivable, lease and rental truck financing arrangements and a real estate loan. As part of the Lake City International acquisition, the Company assumed certain contingent liabilities for notes initiated on behalf of Lake City International related to the sale of commercial vehicles. The contingent liability had an estimated fair value of $2.0 million and was recorded as an accrued liability. For federal tax purposes the goodwill will be amortized over 15 years.</w:t>
      </w:r>
    </w:p>
    <w:p>
      <w:pPr>
        <w:spacing w:after="0" w:line="165"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In June 2008, the Company acquired certain assets of Capital Bus Sales and Service of Texas, Inc., which included a Blue Bird bus franchise for the majority of Texas. As a result, the Company now sells and provides factory service for Blue Bird buses at most Rush Truck Centers in Texas. The transaction was valued at approximately $5.6 million, with the purchase price paid in cash.</w:t>
      </w:r>
    </w:p>
    <w:p>
      <w:pPr>
        <w:spacing w:after="0" w:line="106"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The Capital Bus Sales and Service of Texas, Inc. acquisition was accounted for as a purchase; operations of the business acquired are included in the accompanying consolidated financial statements from the date of the acquisition. The purchase price was allocated based on the fair values of the assets at the date of acquisition as follows (in thousands):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r>
      <w:tr>
        <w:trPr>
          <w:trHeight w:val="439"/>
        </w:trPr>
        <w:tc>
          <w:tcPr>
            <w:tcW w:w="866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w:t>
            </w:r>
          </w:p>
        </w:tc>
        <w:tc>
          <w:tcPr>
            <w:tcW w:w="100" w:type="dxa"/>
            <w:vAlign w:val="bottom"/>
          </w:tcPr>
          <w:p>
            <w:pPr>
              <w:spacing w:after="0"/>
              <w:rPr>
                <w:sz w:val="24"/>
                <w:szCs w:val="24"/>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All of the goodwill acquired in the Capital Bus Sales and Service of Texas, Inc. acquisition will be amortized over 15 years for tax purposes.</w:t>
      </w:r>
    </w:p>
    <w:p>
      <w:pPr>
        <w:spacing w:after="0" w:line="143"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In May 2008, the Company acquired certain assets of Peterbilt Carolina, Inc. which consisted of a Peterbilt, Hino and Isuzu heavy-and medium-duty truck dealership in Charlotte, North Carolina. The Company is operating the facility as a full-service Rush Truck Center offering Peterbilt heavy- and medium-duty trucks as well as medium-duty trucks manufactured by Hino and Isuzu, and parts and service. The transaction was valued at approximately $13.4 million, with the purchase price paid in cash.</w:t>
      </w:r>
    </w:p>
    <w:p>
      <w:pPr>
        <w:spacing w:after="0" w:line="131" w:lineRule="exact"/>
        <w:rPr>
          <w:sz w:val="20"/>
          <w:szCs w:val="20"/>
          <w:color w:val="auto"/>
        </w:rPr>
      </w:pPr>
    </w:p>
    <w:p>
      <w:pPr>
        <w:jc w:val="both"/>
        <w:ind w:left="340" w:right="159"/>
        <w:spacing w:after="0" w:line="342" w:lineRule="auto"/>
        <w:rPr>
          <w:sz w:val="20"/>
          <w:szCs w:val="20"/>
          <w:color w:val="auto"/>
        </w:rPr>
      </w:pPr>
      <w:r>
        <w:rPr>
          <w:rFonts w:ascii="Arial" w:cs="Arial" w:eastAsia="Arial" w:hAnsi="Arial"/>
          <w:sz w:val="16"/>
          <w:szCs w:val="16"/>
          <w:color w:val="auto"/>
        </w:rPr>
        <w:t>The operations of Peterbilt Carolina, Inc. are included in the accompanying consolidated financial statements from the date of the acquisition. The purchase price was allocated based on the fair values of the assets at the date of acquisition as follows (in thousands):</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8,529</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(626)</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00" w:type="dxa"/>
            <w:vAlign w:val="bottom"/>
            <w:shd w:val="clear" w:color="auto" w:fill="CCEEFF"/>
          </w:tcPr>
          <w:p>
            <w:pPr>
              <w:spacing w:after="0"/>
              <w:rPr>
                <w:sz w:val="18"/>
                <w:szCs w:val="18"/>
                <w:color w:val="auto"/>
              </w:rPr>
            </w:pPr>
          </w:p>
        </w:tc>
      </w:tr>
      <w:tr>
        <w:trPr>
          <w:trHeight w:val="439"/>
        </w:trPr>
        <w:tc>
          <w:tcPr>
            <w:tcW w:w="8660" w:type="dxa"/>
            <w:vAlign w:val="bottom"/>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13,386</w:t>
            </w:r>
          </w:p>
        </w:tc>
        <w:tc>
          <w:tcPr>
            <w:tcW w:w="100" w:type="dxa"/>
            <w:vAlign w:val="bottom"/>
          </w:tcPr>
          <w:p>
            <w:pPr>
              <w:spacing w:after="0"/>
              <w:rPr>
                <w:sz w:val="24"/>
                <w:szCs w:val="24"/>
                <w:color w:val="auto"/>
              </w:rPr>
            </w:pP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goodwill acquired in the Peterbilt Carolina, Inc. acquisition will be amortized over 15 years for tax purposes.</w:t>
      </w:r>
    </w:p>
    <w:p>
      <w:pPr>
        <w:spacing w:after="0" w:line="19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May 2008, the Company executed agreements to acquire the common stock of Adams International Trucks, Inc., an International heavy- and medium-duty truck dealership in Charlotte, North Carolina. The Company is operating the facility as a full-service Rush Truck Center offering International heavy- and medium-duty trucks, parts and service as well as leasing. The transaction was valued at approximately $20.1 million, with the purchase price paid in cash.</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operations of Adams International Trucks, Inc. are included in the accompanying consolidated financial statements from the date of the acquisition. The purchase price was allocated based on the fair values of the assets at the date of acquisition as follows (in thousands):</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6,313</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(2,587)</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(3,185)</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(2,379)</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13,918</w:t>
            </w:r>
          </w:p>
        </w:tc>
      </w:tr>
      <w:tr>
        <w:trPr>
          <w:trHeight w:val="223"/>
        </w:trPr>
        <w:tc>
          <w:tcPr>
            <w:tcW w:w="86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20,102</w:t>
            </w:r>
          </w:p>
        </w:tc>
      </w:tr>
      <w:tr>
        <w:trPr>
          <w:trHeight w:val="20"/>
        </w:trPr>
        <w:tc>
          <w:tcPr>
            <w:tcW w:w="8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The portion of goodwill related to the stock purchase of Adams International Trucks, Inc. will not be amortized for tax purposes, while the portion of goodwill related to the acquisition of the International franchise rights will be amortized over 15 years for tax purposes.</w:t>
      </w:r>
    </w:p>
    <w:p>
      <w:pPr>
        <w:spacing w:after="0" w:line="83"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May 2008, in addition to the stock and asset purchases described above, the Company purchased the real estate of the North Carolina dealership operations for $6.2 million. The real estate transaction was financed by a financial institution with a $5.0 million note payable.</w:t>
      </w:r>
    </w:p>
    <w:p>
      <w:pPr>
        <w:spacing w:after="0" w:line="141" w:lineRule="exact"/>
        <w:rPr>
          <w:sz w:val="20"/>
          <w:szCs w:val="20"/>
          <w:color w:val="auto"/>
        </w:rPr>
      </w:pPr>
    </w:p>
    <w:p>
      <w:pPr>
        <w:ind w:left="600" w:hanging="268"/>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DISCONTINUED OPERATIONS</w:t>
      </w:r>
      <w:r>
        <w:rPr>
          <w:rFonts w:ascii="Arial" w:cs="Arial" w:eastAsia="Arial" w:hAnsi="Arial"/>
          <w:sz w:val="18"/>
          <w:szCs w:val="18"/>
          <w:color w:val="auto"/>
        </w:rPr>
        <w:t>:</w:t>
      </w:r>
    </w:p>
    <w:p>
      <w:pPr>
        <w:spacing w:after="0" w:line="19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On September 9, 2010, the Company sold the assets of its John Deere construction equipment business, including its Rush Equipment Centers in Houston and Beaumont, Texas, to Doggett Heavy Machinery Services, LLC. The total purchase price for the Rush Equipment Centers was $31.0 million. The Company received cash of $26.2 million at closing and a $4.8 million note receivable to be paid over four years. Before closing, the Company paid liabilities, related to the assets sold, of approximately $14.6 million. The Company recorded a gain on the transaction of $10.1 million. The Construction Equipment segment will no longer be reported as a separate business segment.</w:t>
      </w:r>
    </w:p>
    <w:p>
      <w:pPr>
        <w:spacing w:after="0" w:line="153"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At closing, Doggett Heavy Machinery Services, LLC entered into a lease agreement to lease the facility where Rush Equipment Center, Houston was located from an affiliate of the Company. The lease provides for an initial three year term with the option for lessee to terminate the lease with 30 days notice. The Company’s continuing involvement in the operations of the construction equipment business is not significant and will be limited to the facility lease agreement.</w:t>
      </w:r>
    </w:p>
    <w:p>
      <w:pPr>
        <w:spacing w:after="0" w:line="146"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The results of operations of the construction equipment business have been classified as discontinued operations in the Company’s consolidated statements of operations for all periods presented, and excluded from business segment information.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sales and earnings before income taxes related to the discontinued business were as follows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10"/>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25,819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83,763</w:t>
            </w:r>
          </w:p>
        </w:tc>
      </w:tr>
      <w:tr>
        <w:trPr>
          <w:trHeight w:val="439"/>
        </w:trPr>
        <w:tc>
          <w:tcPr>
            <w:tcW w:w="56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8"/>
              </w:rPr>
              <w:t>Results of operations from discontinued operations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Gain on disposition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10,091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(4,293)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(2,358)</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6,715</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4"/>
              </w:rPr>
              <w:t>Basic earnings per common share from discontinued operations, net of tax</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r>
      <w:tr>
        <w:trPr>
          <w:trHeight w:val="202"/>
        </w:trPr>
        <w:tc>
          <w:tcPr>
            <w:tcW w:w="5640" w:type="dxa"/>
            <w:vAlign w:val="bottom"/>
          </w:tcPr>
          <w:p>
            <w:pPr>
              <w:spacing w:after="0" w:line="201" w:lineRule="exact"/>
              <w:rPr>
                <w:sz w:val="20"/>
                <w:szCs w:val="20"/>
                <w:color w:val="auto"/>
              </w:rPr>
            </w:pPr>
            <w:r>
              <w:rPr>
                <w:rFonts w:ascii="Arial" w:cs="Arial" w:eastAsia="Arial" w:hAnsi="Arial"/>
                <w:sz w:val="18"/>
                <w:szCs w:val="18"/>
                <w:color w:val="auto"/>
                <w:w w:val="96"/>
              </w:rPr>
              <w:t>Diluted earnings per common share and common share equivalents from</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40" w:type="dxa"/>
            <w:vAlign w:val="bottom"/>
          </w:tcPr>
          <w:p>
            <w:pPr>
              <w:ind w:left="200"/>
              <w:spacing w:after="0"/>
              <w:rPr>
                <w:sz w:val="20"/>
                <w:szCs w:val="20"/>
                <w:color w:val="auto"/>
              </w:rPr>
            </w:pPr>
            <w:r>
              <w:rPr>
                <w:rFonts w:ascii="Arial" w:cs="Arial" w:eastAsia="Arial" w:hAnsi="Arial"/>
                <w:sz w:val="18"/>
                <w:szCs w:val="18"/>
                <w:color w:val="auto"/>
              </w:rPr>
              <w:t>discontinued operations, net of tax</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380"/>
        <w:spacing w:after="0" w:line="277" w:lineRule="auto"/>
        <w:rPr>
          <w:sz w:val="20"/>
          <w:szCs w:val="20"/>
          <w:color w:val="auto"/>
        </w:rPr>
      </w:pPr>
      <w:r>
        <w:rPr>
          <w:rFonts w:ascii="Arial" w:cs="Arial" w:eastAsia="Arial" w:hAnsi="Arial"/>
          <w:sz w:val="18"/>
          <w:szCs w:val="18"/>
          <w:color w:val="auto"/>
        </w:rPr>
        <w:t>The major classes of assets of the discontinued operations classified as held for sale and included in the consolidated balance sheet were as follows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0" w:type="dxa"/>
            <w:vAlign w:val="bottom"/>
            <w:gridSpan w:val="6"/>
          </w:tcPr>
          <w:p>
            <w:pPr>
              <w:jc w:val="right"/>
              <w:ind w:right="760"/>
              <w:spacing w:after="0"/>
              <w:rPr>
                <w:sz w:val="20"/>
                <w:szCs w:val="20"/>
                <w:color w:val="auto"/>
              </w:rPr>
            </w:pPr>
            <w:r>
              <w:rPr>
                <w:rFonts w:ascii="Arial" w:cs="Arial" w:eastAsia="Arial" w:hAnsi="Arial"/>
                <w:sz w:val="18"/>
                <w:szCs w:val="18"/>
                <w:color w:val="auto"/>
              </w:rPr>
              <w:t>December 31,</w:t>
            </w:r>
          </w:p>
        </w:tc>
      </w:tr>
      <w:tr>
        <w:trPr>
          <w:trHeight w:val="210"/>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r>
      <w:tr>
        <w:trPr>
          <w:trHeight w:val="210"/>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40" w:type="dxa"/>
            <w:vAlign w:val="bottom"/>
            <w:gridSpan w:val="2"/>
            <w:shd w:val="clear" w:color="auto" w:fill="CCEEFF"/>
          </w:tcPr>
          <w:p>
            <w:pPr>
              <w:jc w:val="right"/>
              <w:ind w:right="57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17,736</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4,075</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7300" w:type="dxa"/>
            <w:vAlign w:val="bottom"/>
          </w:tcPr>
          <w:p>
            <w:pPr>
              <w:spacing w:after="0"/>
              <w:rPr>
                <w:sz w:val="20"/>
                <w:szCs w:val="20"/>
                <w:color w:val="auto"/>
              </w:rPr>
            </w:pPr>
            <w:r>
              <w:rPr>
                <w:rFonts w:ascii="Arial" w:cs="Arial" w:eastAsia="Arial" w:hAnsi="Arial"/>
                <w:sz w:val="18"/>
                <w:szCs w:val="18"/>
                <w:color w:val="auto"/>
              </w:rPr>
              <w:t>Assets held for sale</w:t>
            </w:r>
          </w:p>
        </w:tc>
        <w:tc>
          <w:tcPr>
            <w:tcW w:w="740" w:type="dxa"/>
            <w:vAlign w:val="bottom"/>
            <w:gridSpan w:val="2"/>
          </w:tcPr>
          <w:p>
            <w:pPr>
              <w:jc w:val="right"/>
              <w:ind w:right="57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22,719</w:t>
            </w:r>
          </w:p>
        </w:tc>
      </w:tr>
      <w:tr>
        <w:trPr>
          <w:trHeight w:val="20"/>
        </w:trPr>
        <w:tc>
          <w:tcPr>
            <w:tcW w:w="7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hanging="268"/>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MEDIUM-DUTY GMC TRUCK FRANCHISES</w:t>
      </w:r>
      <w:r>
        <w:rPr>
          <w:rFonts w:ascii="Arial" w:cs="Arial" w:eastAsia="Arial" w:hAnsi="Arial"/>
          <w:sz w:val="18"/>
          <w:szCs w:val="18"/>
          <w:color w:val="auto"/>
        </w:rPr>
        <w:t>:</w:t>
      </w:r>
    </w:p>
    <w:p>
      <w:pPr>
        <w:spacing w:after="0" w:line="185" w:lineRule="exact"/>
        <w:rPr>
          <w:sz w:val="20"/>
          <w:szCs w:val="20"/>
          <w:color w:val="auto"/>
        </w:rPr>
      </w:pPr>
    </w:p>
    <w:p>
      <w:pPr>
        <w:jc w:val="both"/>
        <w:ind w:left="340" w:right="1360"/>
        <w:spacing w:after="0" w:line="293" w:lineRule="auto"/>
        <w:rPr>
          <w:sz w:val="20"/>
          <w:szCs w:val="20"/>
          <w:color w:val="auto"/>
        </w:rPr>
      </w:pPr>
      <w:r>
        <w:rPr>
          <w:rFonts w:ascii="Arial" w:cs="Arial" w:eastAsia="Arial" w:hAnsi="Arial"/>
          <w:sz w:val="16"/>
          <w:szCs w:val="16"/>
          <w:color w:val="auto"/>
        </w:rPr>
        <w:t>During the second quarter of 2009, General Motors made the decision to terminate its medium-duty GMC truck production and wind-down the Company’s medium-duty GMC truck franchises, which forced the Company to take a $6.7 million pre-tax asset impairment charge. The impairment charge was offset by $1.8 million in assistance from General Motors. In the second quarter of 2009, this impairment charge resulted in a net charge to cost of sales of $4.0 million, a net charge to SG&amp;A expense of $0.1 million and a charge to amortization expense of $0.8 million. During the third and fourth quarters of 2009, the Company adjusted the estimated impairment charge related to the medium-duty GMC truck and parts inventories, which resulted in a net credit to cost of sales of $1.9 million.</w:t>
      </w:r>
    </w:p>
    <w:p>
      <w:pPr>
        <w:spacing w:after="0" w:line="124" w:lineRule="exact"/>
        <w:rPr>
          <w:sz w:val="20"/>
          <w:szCs w:val="20"/>
          <w:color w:val="auto"/>
        </w:rPr>
      </w:pPr>
    </w:p>
    <w:p>
      <w:pPr>
        <w:ind w:left="600" w:hanging="268"/>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COMPREHENSIVE INCOME</w:t>
      </w:r>
      <w:r>
        <w:rPr>
          <w:rFonts w:ascii="Arial" w:cs="Arial" w:eastAsia="Arial" w:hAnsi="Arial"/>
          <w:sz w:val="18"/>
          <w:szCs w:val="18"/>
          <w:color w:val="auto"/>
        </w:rPr>
        <w: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net income to comprehensive income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8"/>
              </w:rPr>
              <w:t>Ended December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31,282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cash flow swaps</w:t>
            </w:r>
          </w:p>
        </w:tc>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Income tax benefit associated with cash flow swaps</w:t>
            </w:r>
          </w:p>
        </w:tc>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31,060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60" w:type="dxa"/>
            <w:vAlign w:val="bottom"/>
            <w:vMerge w:val="restart"/>
          </w:tcPr>
          <w:p>
            <w:pPr>
              <w:jc w:val="right"/>
              <w:ind w:right="2270"/>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3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Pr>
          <w:p>
            <w:pPr>
              <w:spacing w:after="0"/>
              <w:rPr>
                <w:sz w:val="24"/>
                <w:szCs w:val="24"/>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20. UNAUDITED QUARTERLY FINANCIAL DATA:</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(In thousands, except per share amounts.)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First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2"/>
              </w:rPr>
              <w:t>Second</w:t>
            </w:r>
          </w:p>
        </w:tc>
        <w:tc>
          <w:tcPr>
            <w:tcW w:w="140" w:type="dxa"/>
            <w:vAlign w:val="bottom"/>
          </w:tcPr>
          <w:p>
            <w:pPr>
              <w:spacing w:after="0"/>
              <w:rPr>
                <w:sz w:val="24"/>
                <w:szCs w:val="2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Fourth</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8"/>
              </w:rPr>
              <w:t>Quarter</w:t>
            </w: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2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299,288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329,839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405,841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462,959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69,179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78,197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Operating income from continuing operations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10,362</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13,732</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13,205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Income from continuing operations before income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8,965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12,375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5,416</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8,031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6,128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2,237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5,688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14,159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tcPr>
          <w:p>
            <w:pPr>
              <w:ind w:left="20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Earnings per share — Diluted: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320" w:type="dxa"/>
            <w:vAlign w:val="bottom"/>
            <w:gridSpan w:val="4"/>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0.37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2"/>
        </w:trPr>
        <w:tc>
          <w:tcPr>
            <w:tcW w:w="34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2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317,491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302,571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293,941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286,450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50,571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55,121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Operating income (loss) from continuing operations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4,785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(2,822)</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3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6"/>
              </w:rPr>
              <w:t>Income (loss) from continuing operations before income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(4,234)</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(1,689)</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2,988</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2,863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(1,521)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3,008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tcPr>
          <w:p>
            <w:pPr>
              <w:ind w:left="20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(0.05)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0.08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Earnings per share — Diluted: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320" w:type="dxa"/>
            <w:vAlign w:val="bottom"/>
            <w:gridSpan w:val="4"/>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0.08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SEGMENTS</w:t>
      </w:r>
      <w:r>
        <w:rPr>
          <w:rFonts w:ascii="Arial" w:cs="Arial" w:eastAsia="Arial" w:hAnsi="Arial"/>
          <w:sz w:val="18"/>
          <w:szCs w:val="18"/>
          <w:color w:val="auto"/>
        </w:rPr>
        <w:t>:</w:t>
      </w:r>
    </w:p>
    <w:p>
      <w:pPr>
        <w:spacing w:after="0" w:line="185" w:lineRule="exact"/>
        <w:rPr>
          <w:sz w:val="20"/>
          <w:szCs w:val="20"/>
          <w:color w:val="auto"/>
        </w:rPr>
      </w:pPr>
    </w:p>
    <w:p>
      <w:pPr>
        <w:jc w:val="both"/>
        <w:ind w:left="340" w:right="179"/>
        <w:spacing w:after="0" w:line="272" w:lineRule="auto"/>
        <w:rPr>
          <w:sz w:val="20"/>
          <w:szCs w:val="20"/>
          <w:color w:val="auto"/>
        </w:rPr>
      </w:pPr>
      <w:r>
        <w:rPr>
          <w:rFonts w:ascii="Arial" w:cs="Arial" w:eastAsia="Arial" w:hAnsi="Arial"/>
          <w:sz w:val="17"/>
          <w:szCs w:val="17"/>
          <w:color w:val="auto"/>
        </w:rPr>
        <w:t>The Company currently has one reportable business segment,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as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51" w:lineRule="exact"/>
        <w:rPr>
          <w:sz w:val="20"/>
          <w:szCs w:val="20"/>
          <w:color w:val="auto"/>
        </w:rPr>
      </w:pPr>
    </w:p>
    <w:p>
      <w:pPr>
        <w:jc w:val="both"/>
        <w:ind w:left="340" w:right="179"/>
        <w:spacing w:after="0" w:line="312" w:lineRule="auto"/>
        <w:rPr>
          <w:sz w:val="20"/>
          <w:szCs w:val="20"/>
          <w:color w:val="auto"/>
        </w:rPr>
      </w:pPr>
      <w:r>
        <w:rPr>
          <w:rFonts w:ascii="Arial" w:cs="Arial" w:eastAsia="Arial" w:hAnsi="Arial"/>
          <w:sz w:val="16"/>
          <w:szCs w:val="16"/>
          <w:color w:val="auto"/>
        </w:rPr>
        <w:t>The Construction Equipment segment is no longer reported as a separate business segment due to the sale of Company’s construction equipment business. See Note 17 for further discussion of the sale of the construction equipment business. The assets of the construction equipment business have been included in the All Other segment assets in the table below for 2009 and 2008.</w:t>
      </w:r>
    </w:p>
    <w:p>
      <w:pPr>
        <w:spacing w:after="0" w:line="200" w:lineRule="exact"/>
        <w:rPr>
          <w:sz w:val="20"/>
          <w:szCs w:val="20"/>
          <w:color w:val="auto"/>
        </w:rPr>
      </w:pPr>
    </w:p>
    <w:p>
      <w:pPr>
        <w:spacing w:after="0" w:line="29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342"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The Company evaluates performance based on income from continuing operations before income taxes not including extraordinary items.</w:t>
      </w:r>
    </w:p>
    <w:p>
      <w:pPr>
        <w:spacing w:after="0" w:line="97"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The Company accounts for intersegment sales and transfers as if the sales or transfers were to third parties, that is, at current market prices. There were no material intersegment sales during the years ended December 31, 2010, 2009 and 2008.</w:t>
      </w:r>
    </w:p>
    <w:p>
      <w:pPr>
        <w:spacing w:after="0" w:line="106"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December 31, 2010, 2009 and 2008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Truck</w:t>
            </w:r>
          </w:p>
        </w:tc>
        <w:tc>
          <w:tcPr>
            <w:tcW w:w="18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All</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9"/>
              </w:rPr>
              <w:t>Segment</w:t>
            </w:r>
          </w:p>
        </w:tc>
        <w:tc>
          <w:tcPr>
            <w:tcW w:w="180" w:type="dxa"/>
            <w:vAlign w:val="bottom"/>
          </w:tcPr>
          <w:p>
            <w:pPr>
              <w:spacing w:after="0"/>
              <w:rPr>
                <w:sz w:val="20"/>
                <w:szCs w:val="20"/>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Totals</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1,482,742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15,185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1,497,927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5,092</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5,490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15,019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Segment income (loss) from continuing operations before taxes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37,690</w:t>
            </w: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(1,386)</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36,304</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1,143,385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24,548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1,167,933</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Goodwill</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147,828</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2,560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150,388</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98,853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99,486</w:t>
            </w:r>
          </w:p>
        </w:tc>
      </w:tr>
      <w:tr>
        <w:trPr>
          <w:trHeight w:val="432"/>
        </w:trPr>
        <w:tc>
          <w:tcPr>
            <w:tcW w:w="526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1,184,400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1,200,453</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15,143</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747</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15,890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continuing operations before taxes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3,962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Segment assets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924,703</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52,594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977,297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134,352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136,761</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Expenditures for segment assets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74,519</w:t>
            </w:r>
          </w:p>
        </w:tc>
        <w:tc>
          <w:tcPr>
            <w:tcW w:w="1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74,597</w:t>
            </w:r>
          </w:p>
        </w:tc>
      </w:tr>
      <w:tr>
        <w:trPr>
          <w:trHeight w:val="202"/>
        </w:trPr>
        <w:tc>
          <w:tcPr>
            <w:tcW w:w="5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1,553,298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17,895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1,571,193</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2,636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9,359</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9,866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14,483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15,273</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38,549</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39,042</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1,000,470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56,320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1,056,790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Goodwill</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135,191</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2,638</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137,829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70,474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70,786</w:t>
            </w:r>
          </w:p>
        </w:tc>
      </w:tr>
    </w:tbl>
    <w:p>
      <w:pPr>
        <w:spacing w:after="0" w:line="161"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Revenues from segments below the quantitative thresholds are attributable to three operating segments of the Company. Those segments include a tire retailing company, an insurance company and a guest ranch operation. None of those segments has ever met any of the quantitative thresholds for determining reportable segments.</w:t>
      </w:r>
    </w:p>
    <w:p>
      <w:pPr>
        <w:spacing w:after="0" w:line="15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There were no changes or disagreements on any matters of accounting principles or financial statement disclosure between the Company and its independent registered public accounting firm during the two most recent fiscal years or any subsequent interim period.</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9A. Controls and Procedures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left="340" w:right="159" w:firstLine="778"/>
        <w:spacing w:after="0" w:line="271" w:lineRule="auto"/>
        <w:rPr>
          <w:sz w:val="20"/>
          <w:szCs w:val="20"/>
          <w:color w:val="auto"/>
        </w:rPr>
      </w:pPr>
      <w:r>
        <w:rPr>
          <w:rFonts w:ascii="Arial" w:cs="Arial" w:eastAsia="Arial" w:hAnsi="Arial"/>
          <w:sz w:val="17"/>
          <w:szCs w:val="17"/>
          <w:color w:val="auto"/>
        </w:rPr>
        <w:t>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2010, to ensure that information required to be disclosed in our reports filed or submitted under the Exchange Act is (1) recorded, processed, summarized and reported within the time periods specified in the Securities and Exchange Commission’s rules and forms and (2) accumulated and communicated to the Company’s management, including our Chief Executive Officer and Chief Financial Officer, as appropriate to allow timely decisions regarding required disclosure.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ind w:left="340" w:right="159" w:firstLine="778"/>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quarter ended December 31, 2010, that have materially affected, or are reasonably likely to materially affect, the Company’s internal control over financial reporting.</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85"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61" w:lineRule="exact"/>
        <w:rPr>
          <w:sz w:val="20"/>
          <w:szCs w:val="20"/>
          <w:color w:val="auto"/>
        </w:rPr>
      </w:pPr>
    </w:p>
    <w:p>
      <w:pPr>
        <w:jc w:val="both"/>
        <w:ind w:left="340" w:right="159" w:firstLine="778"/>
        <w:spacing w:after="0" w:line="257" w:lineRule="auto"/>
        <w:rPr>
          <w:sz w:val="20"/>
          <w:szCs w:val="20"/>
          <w:color w:val="auto"/>
        </w:rPr>
      </w:pPr>
      <w:r>
        <w:rPr>
          <w:rFonts w:ascii="Arial" w:cs="Arial" w:eastAsia="Arial" w:hAnsi="Arial"/>
          <w:sz w:val="18"/>
          <w:szCs w:val="18"/>
          <w:color w:val="auto"/>
        </w:rPr>
        <w:t>As of December 31, 2010,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Based on the assessment, management determined that the Company maintained effective internal control over financial reporting as of December 31, 2010, based on those criteria.</w:t>
      </w:r>
    </w:p>
    <w:p>
      <w:pPr>
        <w:spacing w:after="0" w:line="148" w:lineRule="exact"/>
        <w:rPr>
          <w:sz w:val="20"/>
          <w:szCs w:val="20"/>
          <w:color w:val="auto"/>
        </w:rPr>
      </w:pPr>
    </w:p>
    <w:p>
      <w:pPr>
        <w:jc w:val="both"/>
        <w:ind w:left="340" w:right="159" w:firstLine="778"/>
        <w:spacing w:after="0" w:line="276" w:lineRule="auto"/>
        <w:rPr>
          <w:sz w:val="20"/>
          <w:szCs w:val="20"/>
          <w:color w:val="auto"/>
        </w:rPr>
      </w:pPr>
      <w:r>
        <w:rPr>
          <w:rFonts w:ascii="Arial" w:cs="Arial" w:eastAsia="Arial" w:hAnsi="Arial"/>
          <w:sz w:val="17"/>
          <w:szCs w:val="17"/>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2010. The report, which expresses an unqualified opinion on the effectiveness of the Company’s internal control over financial reporting as of December 31, 2010, is included in this Item 9A under the heading “Attestation Report of Independent Registered Public Accounting Firm.”</w:t>
      </w: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Attestation Report of Independent Registered Public Accounting Firm</w:t>
      </w:r>
    </w:p>
    <w:p>
      <w:pPr>
        <w:spacing w:after="0" w:line="194" w:lineRule="exact"/>
        <w:rPr>
          <w:sz w:val="20"/>
          <w:szCs w:val="20"/>
          <w:color w:val="auto"/>
        </w:rPr>
      </w:pPr>
    </w:p>
    <w:p>
      <w:pPr>
        <w:ind w:left="340" w:right="2779" w:firstLine="2609"/>
        <w:spacing w:after="0" w:line="45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Rush Enterprises, Inc.</w:t>
      </w:r>
    </w:p>
    <w:p>
      <w:pPr>
        <w:spacing w:after="0" w:line="1"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We have audited Rush Enterprises, Inc. and subsidiaries’ internal control over financial reporting as of December 31, 2010, based on criteria established in Internal Control — Integrated Framework issued by the Committee of Sponsoring Organizations of the Treadway Commission (the COSO criteria). Rush Enterprises,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1"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8"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In our opinion, Rush Enterprises, Inc. and subsidiaries maintained, in all material respects, effective internal control over financial reporting as of December 31, 2010, based on the COSO criteria.</w:t>
      </w:r>
    </w:p>
    <w:p>
      <w:pPr>
        <w:spacing w:after="0" w:line="130" w:lineRule="exact"/>
        <w:rPr>
          <w:sz w:val="20"/>
          <w:szCs w:val="20"/>
          <w:color w:val="auto"/>
        </w:rPr>
      </w:pPr>
    </w:p>
    <w:p>
      <w:pPr>
        <w:jc w:val="both"/>
        <w:ind w:left="340" w:right="179"/>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Rush Enterprises, Inc. and subsidiaries as of December 31, 2010, and 2009, and the related consolidated statements of income, shareholders’ equity, and cash flows for each of the three years in the period ended December 31, 2010, of Rush Enterprises, Inc. and subsidiaries and our report dated March 11, 2011, expressed an unqualified opinion thereon.</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11, 2011</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information called for by Item 10 of Form 10-K is incorporated herein by reference to such information included in the Company’s Proxy Statement for the 2011 Annual Meeting of Shareholders.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Code of Ethics</w:t>
      </w:r>
    </w:p>
    <w:p>
      <w:pPr>
        <w:spacing w:after="0" w:line="19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 xml:space="preserve">We maintain a code of ethics applicable to our principal executive officer, principal financial officer, principal accounting officer or controller, and other persons performing similar functions. To view this code of ethics free of charge, please visit our website at </w:t>
      </w:r>
      <w:r>
        <w:rPr>
          <w:rFonts w:ascii="Arial" w:cs="Arial" w:eastAsia="Arial" w:hAnsi="Arial"/>
          <w:sz w:val="18"/>
          <w:szCs w:val="18"/>
          <w:u w:val="single" w:color="auto"/>
          <w:color w:val="auto"/>
        </w:rPr>
        <w:t>www.rushenterprises.com</w:t>
      </w:r>
      <w:r>
        <w:rPr>
          <w:rFonts w:ascii="Arial" w:cs="Arial" w:eastAsia="Arial" w:hAnsi="Arial"/>
          <w:sz w:val="18"/>
          <w:szCs w:val="18"/>
          <w:color w:val="auto"/>
        </w:rPr>
        <w:t xml:space="preserve"> (This website address is not intended to function as a hyperlink, and the information contained in our website is not intended to be a part of this filing). We intend to satisfy the disclosure requirements under Item 5.05 of Form 8-K regarding an amendment to, or waiver from, a provision of this code of ethics, if any, by posting such information on our website set forth above.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information called for by Item 11 of Form 10-K is incorporated herein by reference to such information included in the Company’s Proxy Statement for the 2011 Annual Meeting of Shareholders.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information called for by Item 12 of Form 10-K is incorporated herein by reference to such information included in the Company’s Proxy Statement for the 2011 Annual Meeting of Shareholders.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0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information called for by Item 13 of Form 10-K is incorporated herein by reference to such information included in the Company’s Proxy Statement for the 2011 Annual Meeting of Shareholders.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information called for by Item 14 of Form 10-K is incorporated herein by reference to such information included in the Company’s Proxy Statement for the 2011 Annual Meeting of Shareholders.</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(a)(1) Financial Statements</w:t>
      </w:r>
    </w:p>
    <w:p>
      <w:pPr>
        <w:spacing w:after="0" w:line="189"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Included in Item 8 of Part II of this annual report on Form 10-K are the following: Report of Independent Registered Public Accounting Firm; Consolidated Balance Sheets as of December 31, 2010, and 2009; Consolidated Statements of Income for the years ended December 31, 2010, 2009, and 2008; Consolidated Statements of Shareholders’ Equity for the years ended December 31, 2010, 2009, and 2008; Consolidated Statements of Cash Flows for the years ended December 31, 2010, 2009, and 2008; and Notes to Consolidated Financial Statements.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(a)(2) Financial Statement Schedules</w:t>
      </w:r>
    </w:p>
    <w:p>
      <w:pPr>
        <w:spacing w:after="0" w:line="189"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These schedules are omitted as the required information is inapplicable or the information is presented in the consolidated financial statements or related notes.</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(a)(3) Exhibits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Index to Exhibits: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18"/>
                <w:szCs w:val="18"/>
                <w:color w:val="auto"/>
              </w:rPr>
            </w:pPr>
          </w:p>
        </w:tc>
        <w:tc>
          <w:tcPr>
            <w:tcW w:w="8180" w:type="dxa"/>
            <w:vAlign w:val="bottom"/>
          </w:tcPr>
          <w:p>
            <w:pPr>
              <w:spacing w:after="0"/>
              <w:rPr>
                <w:sz w:val="18"/>
                <w:szCs w:val="18"/>
                <w:color w:val="auto"/>
              </w:rPr>
            </w:pPr>
          </w:p>
        </w:tc>
      </w:tr>
      <w:tr>
        <w:trPr>
          <w:trHeight w:val="234"/>
        </w:trPr>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No.</w:t>
            </w:r>
          </w:p>
        </w:tc>
        <w:tc>
          <w:tcPr>
            <w:tcW w:w="280" w:type="dxa"/>
            <w:vAlign w:val="bottom"/>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Identification of Exhibit</w:t>
            </w:r>
          </w:p>
        </w:tc>
      </w:tr>
      <w:tr>
        <w:trPr>
          <w:trHeight w:val="411"/>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2.1</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7"/>
              </w:rPr>
              <w:t>Asset Purchase Agreement, dated March 19, 2010 (incorporated herein by reference to Exhibit 2.1 of the</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Company’s Current Report on Form 8-K (File No. 000-20797) filed March 25, 2010)</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2.2</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2"/>
              </w:rPr>
              <w:t>Amendment #1, dated as of May 24, 2010, to Asset Purchase Agreement, dated March 19, 2010 (incorporated</w:t>
            </w:r>
          </w:p>
        </w:tc>
      </w:tr>
      <w:tr>
        <w:trPr>
          <w:trHeight w:val="216"/>
        </w:trPr>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6"/>
              </w:rPr>
              <w:t>herein by reference to Exhibit 2.1 of the Company’s Current Report on Form 8-K (File No. 000-20797) filed</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May 26, 2010)</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3"/>
              </w:rPr>
              <w:t>Restated Articles of Incorporation of Rush Enterprises, Inc. (incorporated herein by reference to Exhibit 3.1 of</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6"/>
              </w:rPr>
              <w:t>the Company’s Quarterly Report on Form 10-Q (File No. 000-20797) for the quarter ended June 30, 2008)</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4"/>
              </w:rPr>
              <w:t>Rush Enterprises, Inc. Amended and Restated Bylaws (incorporated herein by reference to Exhibit 3.2 of the</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5"/>
              </w:rPr>
              <w:t>Company’s Quarterly Report on Form 10-Q (File No. 000-20797) filed for the quarter ended June 30, 2009)</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4.1</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5"/>
              </w:rPr>
              <w:t>Specimen of certificate representing Common Stock (now Class B Common Stock), $.01 par value, of Rush</w:t>
            </w:r>
          </w:p>
        </w:tc>
      </w:tr>
      <w:tr>
        <w:trPr>
          <w:trHeight w:val="216"/>
        </w:trPr>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6"/>
              </w:rPr>
              <w:t>Enterprises, Inc. (incorporated herein by reference to Exhibit 4.1 of the Company’s Registration Statement</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No. 333-03346 on Form S-1 filed April 10, 1996)</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4.2</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4"/>
              </w:rPr>
              <w:t>Specimen of certificate representing Class A Common Stock, $.01 par value, of the Registrant (incorporated</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6"/>
              </w:rPr>
              <w:t>herein by reference to Exhibit 4.1 of the Company’s Registration Statement on Form 8-A filed July 9, 2002)</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1"/>
              </w:rPr>
              <w:t>Right of First Refusal dated April 1, 1996 between Peterbilt Motors Company and W. Marvin Rush (incorporated</w:t>
            </w:r>
          </w:p>
        </w:tc>
      </w:tr>
      <w:tr>
        <w:trPr>
          <w:trHeight w:val="216"/>
        </w:trPr>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2"/>
              </w:rPr>
              <w:t>herein by reference to Exhibit 10.76 of the Company’s Registration Statement No. 333-03346 on Form S-1 filed</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April 10, 1996)</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10.2</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3"/>
              </w:rPr>
              <w:t>Right of First Refusal dated April 1, 1996 between Peterbilt Motors Company and Barbara Rush (incorporated</w:t>
            </w:r>
          </w:p>
        </w:tc>
      </w:tr>
      <w:tr>
        <w:trPr>
          <w:trHeight w:val="216"/>
        </w:trPr>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2"/>
              </w:rPr>
              <w:t>herein by reference to Exhibit 10.77 of the Company’s Registration Statement No. 333-03346 on Form S-1 filed</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April 10, 1996)</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10.3</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Right of First Refusal dated April 1, 1996 between Peterbilt Motors Company and W.M. “Rusty” Rush</w:t>
            </w:r>
          </w:p>
        </w:tc>
      </w:tr>
      <w:tr>
        <w:trPr>
          <w:trHeight w:val="216"/>
        </w:trPr>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2"/>
              </w:rPr>
              <w:t>(incorporated herein by reference to Exhibit 10.78 of the Company’s Registration Statement No. 333-03346 on</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Form S-1 filed April 10, 1996)</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5"/>
              </w:rPr>
              <w:t>Right of First Refusal dated April 1, 1996 between Peterbilt Motors Company and Robin Rush (incorporated</w:t>
            </w:r>
          </w:p>
        </w:tc>
      </w:tr>
      <w:tr>
        <w:trPr>
          <w:trHeight w:val="216"/>
        </w:trPr>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2"/>
              </w:rPr>
              <w:t>herein by reference to Exhibit 10.79 of the Company’s Registration Statement No. 333-03346 on Form S-1 filed</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April 10, 1996)</w:t>
            </w:r>
          </w:p>
        </w:tc>
      </w:tr>
      <w:tr>
        <w:trPr>
          <w:trHeight w:val="418"/>
        </w:trPr>
        <w:tc>
          <w:tcPr>
            <w:tcW w:w="1260" w:type="dxa"/>
            <w:vAlign w:val="bottom"/>
          </w:tcPr>
          <w:p>
            <w:pPr>
              <w:jc w:val="right"/>
              <w:ind w:right="270"/>
              <w:spacing w:after="0"/>
              <w:rPr>
                <w:sz w:val="20"/>
                <w:szCs w:val="20"/>
                <w:color w:val="auto"/>
              </w:rPr>
            </w:pPr>
            <w:r>
              <w:rPr>
                <w:rFonts w:ascii="Arial" w:cs="Arial" w:eastAsia="Arial" w:hAnsi="Arial"/>
                <w:sz w:val="18"/>
                <w:szCs w:val="18"/>
                <w:color w:val="auto"/>
              </w:rPr>
              <w:t>10.5+</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0"/>
              </w:rPr>
              <w:t>Rush Enterprises, Inc. Long-Term Incentive Plan, as amended (incorporated herein by reference to Exhibit 4.1 of</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the Company’s Registration Statement No. 333-117305 on Form S-8 filed July 12, 2004)</w:t>
            </w:r>
          </w:p>
        </w:tc>
      </w:tr>
      <w:tr>
        <w:trPr>
          <w:trHeight w:val="418"/>
        </w:trPr>
        <w:tc>
          <w:tcPr>
            <w:tcW w:w="1260" w:type="dxa"/>
            <w:vAlign w:val="bottom"/>
          </w:tcPr>
          <w:p>
            <w:pPr>
              <w:jc w:val="right"/>
              <w:ind w:right="270"/>
              <w:spacing w:after="0"/>
              <w:rPr>
                <w:sz w:val="20"/>
                <w:szCs w:val="20"/>
                <w:color w:val="auto"/>
              </w:rPr>
            </w:pPr>
            <w:r>
              <w:rPr>
                <w:rFonts w:ascii="Arial" w:cs="Arial" w:eastAsia="Arial" w:hAnsi="Arial"/>
                <w:sz w:val="18"/>
                <w:szCs w:val="18"/>
                <w:color w:val="auto"/>
              </w:rPr>
              <w:t>10.6+</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6"/>
              </w:rPr>
              <w:t>Form of Rush Enterprises, Inc. Long-Term Incentive Plan Stock Option Agreement (incorporated herein by</w:t>
            </w:r>
          </w:p>
        </w:tc>
      </w:tr>
      <w:tr>
        <w:trPr>
          <w:trHeight w:val="216"/>
        </w:trPr>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3"/>
              </w:rPr>
              <w:t>reference to Exhibit 10.85 of the Company’s Registration Statement No. 333-03346 on Form S-1 filed April 10,</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1996)</w:t>
            </w:r>
          </w:p>
        </w:tc>
      </w:tr>
      <w:tr>
        <w:trPr>
          <w:trHeight w:val="418"/>
        </w:trPr>
        <w:tc>
          <w:tcPr>
            <w:tcW w:w="1260" w:type="dxa"/>
            <w:vAlign w:val="bottom"/>
          </w:tcPr>
          <w:p>
            <w:pPr>
              <w:jc w:val="right"/>
              <w:ind w:right="270"/>
              <w:spacing w:after="0"/>
              <w:rPr>
                <w:sz w:val="20"/>
                <w:szCs w:val="20"/>
                <w:color w:val="auto"/>
              </w:rPr>
            </w:pPr>
            <w:r>
              <w:rPr>
                <w:rFonts w:ascii="Arial" w:cs="Arial" w:eastAsia="Arial" w:hAnsi="Arial"/>
                <w:sz w:val="18"/>
                <w:szCs w:val="18"/>
                <w:color w:val="auto"/>
              </w:rPr>
              <w:t>10.7+</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4"/>
              </w:rPr>
              <w:t>Rush Enterprises, Inc. Amended and Restated 1997 Non-Employee Director Stock Option Plan, as amended</w:t>
            </w:r>
          </w:p>
        </w:tc>
      </w:tr>
      <w:tr>
        <w:trPr>
          <w:trHeight w:val="216"/>
        </w:trPr>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8"/>
              </w:rPr>
              <w:t>(incorporated herein by reference to Exhibit 10.1 of the Company’s Quarterly Report on Form 10-Q (File</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No. 000-20797) for the quarter ended September 30, 2010)</w:t>
            </w:r>
          </w:p>
        </w:tc>
      </w:tr>
      <w:tr>
        <w:trPr>
          <w:trHeight w:val="418"/>
        </w:trPr>
        <w:tc>
          <w:tcPr>
            <w:tcW w:w="1260" w:type="dxa"/>
            <w:vAlign w:val="bottom"/>
          </w:tcPr>
          <w:p>
            <w:pPr>
              <w:jc w:val="right"/>
              <w:ind w:right="270"/>
              <w:spacing w:after="0"/>
              <w:rPr>
                <w:sz w:val="20"/>
                <w:szCs w:val="20"/>
                <w:color w:val="auto"/>
              </w:rPr>
            </w:pPr>
            <w:r>
              <w:rPr>
                <w:rFonts w:ascii="Arial" w:cs="Arial" w:eastAsia="Arial" w:hAnsi="Arial"/>
                <w:sz w:val="18"/>
                <w:szCs w:val="18"/>
                <w:color w:val="auto"/>
              </w:rPr>
              <w:t>10.8+</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3"/>
              </w:rPr>
              <w:t>Form of Rush Enterprises, Inc. 1997 Non-Employee Director Stock Option Agreement (incorporated herein by</w:t>
            </w:r>
          </w:p>
        </w:tc>
      </w:tr>
      <w:tr>
        <w:trPr>
          <w:trHeight w:val="216"/>
        </w:trPr>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4"/>
              </w:rPr>
              <w:t>reference to Exhibit 4.4 of the Company’s Registration Statement No. 333-117305 on Form S-8 filed July 12,</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2004)</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320" w:type="dxa"/>
            <w:vAlign w:val="bottom"/>
          </w:tcPr>
          <w:p>
            <w:pPr>
              <w:ind w:left="380"/>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18"/>
                <w:szCs w:val="18"/>
                <w:color w:val="auto"/>
              </w:rPr>
            </w:pPr>
          </w:p>
        </w:tc>
        <w:tc>
          <w:tcPr>
            <w:tcW w:w="8100" w:type="dxa"/>
            <w:vAlign w:val="bottom"/>
          </w:tcPr>
          <w:p>
            <w:pPr>
              <w:spacing w:after="0"/>
              <w:rPr>
                <w:sz w:val="18"/>
                <w:szCs w:val="18"/>
                <w:color w:val="auto"/>
              </w:rPr>
            </w:pPr>
          </w:p>
        </w:tc>
      </w:tr>
      <w:tr>
        <w:trPr>
          <w:trHeight w:val="234"/>
        </w:trPr>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No.</w:t>
            </w:r>
          </w:p>
        </w:tc>
        <w:tc>
          <w:tcPr>
            <w:tcW w:w="300" w:type="dxa"/>
            <w:vAlign w:val="bottom"/>
          </w:tcPr>
          <w:p>
            <w:pPr>
              <w:spacing w:after="0"/>
              <w:rPr>
                <w:sz w:val="20"/>
                <w:szCs w:val="20"/>
                <w:color w:val="auto"/>
              </w:rPr>
            </w:pPr>
          </w:p>
        </w:tc>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Identification of Exhibit</w:t>
            </w:r>
          </w:p>
        </w:tc>
      </w:tr>
      <w:tr>
        <w:trPr>
          <w:trHeight w:val="411"/>
        </w:trPr>
        <w:tc>
          <w:tcPr>
            <w:tcW w:w="1320" w:type="dxa"/>
            <w:vAlign w:val="bottom"/>
          </w:tcPr>
          <w:p>
            <w:pPr>
              <w:ind w:left="52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1"/>
              </w:rPr>
              <w:t>Rush Enterprises, Inc. 2004 Employee Stock Purchase Plan, as amended (incorporated herein by reference to</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3"/>
              </w:rPr>
              <w:t>Exhibit 4.1 of the Company’s Registration Statement No. 333-121355 on Form S-8 filed December 17, 2004)</w:t>
            </w:r>
          </w:p>
        </w:tc>
      </w:tr>
      <w:tr>
        <w:trPr>
          <w:trHeight w:val="432"/>
        </w:trPr>
        <w:tc>
          <w:tcPr>
            <w:tcW w:w="1320" w:type="dxa"/>
            <w:vAlign w:val="bottom"/>
          </w:tcPr>
          <w:p>
            <w:pPr>
              <w:ind w:left="440"/>
              <w:spacing w:after="0"/>
              <w:rPr>
                <w:sz w:val="20"/>
                <w:szCs w:val="20"/>
                <w:color w:val="auto"/>
              </w:rPr>
            </w:pPr>
            <w:r>
              <w:rPr>
                <w:rFonts w:ascii="Arial" w:cs="Arial" w:eastAsia="Arial" w:hAnsi="Arial"/>
                <w:sz w:val="18"/>
                <w:szCs w:val="18"/>
                <w:color w:val="auto"/>
              </w:rPr>
              <w:t>10.10*+</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Rush Enterprises, Inc. Amended and Restated 2006 Non-Employee Director Stock Plan</w:t>
            </w:r>
          </w:p>
        </w:tc>
      </w:tr>
      <w:tr>
        <w:trPr>
          <w:trHeight w:val="418"/>
        </w:trPr>
        <w:tc>
          <w:tcPr>
            <w:tcW w:w="1320" w:type="dxa"/>
            <w:vAlign w:val="bottom"/>
          </w:tcPr>
          <w:p>
            <w:pPr>
              <w:ind w:left="440"/>
              <w:spacing w:after="0"/>
              <w:rPr>
                <w:sz w:val="20"/>
                <w:szCs w:val="20"/>
                <w:color w:val="auto"/>
              </w:rPr>
            </w:pPr>
            <w:r>
              <w:rPr>
                <w:rFonts w:ascii="Arial" w:cs="Arial" w:eastAsia="Arial" w:hAnsi="Arial"/>
                <w:sz w:val="18"/>
                <w:szCs w:val="18"/>
                <w:color w:val="auto"/>
              </w:rPr>
              <w:t>10.11+</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2"/>
              </w:rPr>
              <w:t>Form of Rush Enterprises, Inc. 2006 Non-Employee Director Stock Option Agreement (incorporated herein by</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reference to Exhibit 4.4 of the Company’s Registration Statement No. 333-138556 on Form S-8 filed</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November 9, 2006)</w:t>
            </w:r>
          </w:p>
        </w:tc>
      </w:tr>
      <w:tr>
        <w:trPr>
          <w:trHeight w:val="418"/>
        </w:trPr>
        <w:tc>
          <w:tcPr>
            <w:tcW w:w="1320" w:type="dxa"/>
            <w:vAlign w:val="bottom"/>
          </w:tcPr>
          <w:p>
            <w:pPr>
              <w:ind w:left="440"/>
              <w:spacing w:after="0"/>
              <w:rPr>
                <w:sz w:val="20"/>
                <w:szCs w:val="20"/>
                <w:color w:val="auto"/>
              </w:rPr>
            </w:pPr>
            <w:r>
              <w:rPr>
                <w:rFonts w:ascii="Arial" w:cs="Arial" w:eastAsia="Arial" w:hAnsi="Arial"/>
                <w:sz w:val="18"/>
                <w:szCs w:val="18"/>
                <w:color w:val="auto"/>
              </w:rPr>
              <w:t>10.12+</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2"/>
              </w:rPr>
              <w:t>Rush Enterprises, Inc. 2007 Long-Term Incentive Plan (incorporated herein by reference to Appendix A to the</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Company’s Definitive Proxy Statement on Schedule 14A filed April 6, 2010)</w:t>
            </w:r>
          </w:p>
        </w:tc>
      </w:tr>
      <w:tr>
        <w:trPr>
          <w:trHeight w:val="418"/>
        </w:trPr>
        <w:tc>
          <w:tcPr>
            <w:tcW w:w="1320" w:type="dxa"/>
            <w:vAlign w:val="bottom"/>
          </w:tcPr>
          <w:p>
            <w:pPr>
              <w:ind w:left="440"/>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0"/>
              </w:rPr>
              <w:t>Form of Rush Enterprises Inc. 2007 Long-Term Incentive Plan Restricted Stock Agreement (incorporated herein</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by reference to Exhibit 10.13 of the Company’s Form 10-K (File No. 000-20797) for the year ended</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December 31, 2008)</w:t>
            </w:r>
          </w:p>
        </w:tc>
      </w:tr>
      <w:tr>
        <w:trPr>
          <w:trHeight w:val="418"/>
        </w:trPr>
        <w:tc>
          <w:tcPr>
            <w:tcW w:w="1320" w:type="dxa"/>
            <w:vAlign w:val="bottom"/>
          </w:tcPr>
          <w:p>
            <w:pPr>
              <w:ind w:left="440"/>
              <w:spacing w:after="0"/>
              <w:rPr>
                <w:sz w:val="20"/>
                <w:szCs w:val="20"/>
                <w:color w:val="auto"/>
              </w:rPr>
            </w:pPr>
            <w:r>
              <w:rPr>
                <w:rFonts w:ascii="Arial" w:cs="Arial" w:eastAsia="Arial" w:hAnsi="Arial"/>
                <w:sz w:val="18"/>
                <w:szCs w:val="18"/>
                <w:color w:val="auto"/>
              </w:rPr>
              <w:t>10.14+</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1"/>
              </w:rPr>
              <w:t>Form of Rush Enterprises Inc. 2007 Long-Term Incentive Plan Stock Option Agreement (incorporated herein by</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reference to Exhibit 4.4 of the Company’s Form S-8 (File No. 333-144821) filed July 24, 2007)</w:t>
            </w:r>
          </w:p>
        </w:tc>
      </w:tr>
      <w:tr>
        <w:trPr>
          <w:trHeight w:val="418"/>
        </w:trPr>
        <w:tc>
          <w:tcPr>
            <w:tcW w:w="1320" w:type="dxa"/>
            <w:vAlign w:val="bottom"/>
          </w:tcPr>
          <w:p>
            <w:pPr>
              <w:ind w:left="440"/>
              <w:spacing w:after="0"/>
              <w:rPr>
                <w:sz w:val="20"/>
                <w:szCs w:val="20"/>
                <w:color w:val="auto"/>
              </w:rPr>
            </w:pPr>
            <w:r>
              <w:rPr>
                <w:rFonts w:ascii="Arial" w:cs="Arial" w:eastAsia="Arial" w:hAnsi="Arial"/>
                <w:sz w:val="18"/>
                <w:szCs w:val="18"/>
                <w:color w:val="auto"/>
              </w:rPr>
              <w:t>10.15</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1"/>
              </w:rPr>
              <w:t>Form of dealer agreement between Peterbilt Motors Company and Rush Truck Centers (incorporated herein by</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1"/>
              </w:rPr>
              <w:t>reference to Exhibit 10.18 of the Company’s Form 10-K (File No. 000-20797) for the year ended December 31,</w:t>
            </w:r>
          </w:p>
        </w:tc>
      </w:tr>
      <w:tr>
        <w:trPr>
          <w:trHeight w:val="230"/>
        </w:trPr>
        <w:tc>
          <w:tcPr>
            <w:tcW w:w="1320" w:type="dxa"/>
            <w:vAlign w:val="bottom"/>
          </w:tcPr>
          <w:p>
            <w:pPr>
              <w:spacing w:after="0"/>
              <w:rPr>
                <w:sz w:val="20"/>
                <w:szCs w:val="20"/>
                <w:color w:val="auto"/>
              </w:rPr>
            </w:pPr>
          </w:p>
        </w:tc>
        <w:tc>
          <w:tcPr>
            <w:tcW w:w="8400" w:type="dxa"/>
            <w:vAlign w:val="bottom"/>
            <w:gridSpan w:val="2"/>
          </w:tcPr>
          <w:p>
            <w:pPr>
              <w:ind w:left="300"/>
              <w:spacing w:after="0"/>
              <w:rPr>
                <w:sz w:val="20"/>
                <w:szCs w:val="20"/>
                <w:color w:val="auto"/>
              </w:rPr>
            </w:pPr>
            <w:r>
              <w:rPr>
                <w:rFonts w:ascii="Arial" w:cs="Arial" w:eastAsia="Arial" w:hAnsi="Arial"/>
                <w:sz w:val="18"/>
                <w:szCs w:val="18"/>
                <w:color w:val="auto"/>
              </w:rPr>
              <w:t>1999)</w:t>
            </w:r>
          </w:p>
        </w:tc>
      </w:tr>
      <w:tr>
        <w:trPr>
          <w:trHeight w:val="418"/>
        </w:trPr>
        <w:tc>
          <w:tcPr>
            <w:tcW w:w="1320" w:type="dxa"/>
            <w:vAlign w:val="bottom"/>
          </w:tcPr>
          <w:p>
            <w:pPr>
              <w:ind w:left="440"/>
              <w:spacing w:after="0"/>
              <w:rPr>
                <w:sz w:val="20"/>
                <w:szCs w:val="20"/>
                <w:color w:val="auto"/>
              </w:rPr>
            </w:pPr>
            <w:r>
              <w:rPr>
                <w:rFonts w:ascii="Arial" w:cs="Arial" w:eastAsia="Arial" w:hAnsi="Arial"/>
                <w:sz w:val="18"/>
                <w:szCs w:val="18"/>
                <w:color w:val="auto"/>
              </w:rPr>
              <w:t>10.16</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1"/>
              </w:rPr>
              <w:t>Credit Agreement, dated December 31, 2010, by and among Rush Truck Centers of Alabama, Inc., Rush Truck</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Centers of Arizona, Inc., Rush Truck Centers of California, Inc., Rush Medium Duty Truck Centers of</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1"/>
              </w:rPr>
              <w:t>Colorado, Inc., Rush Truck Centers of Colorado, Inc., Rush Truck Centers of Florida, Inc., Rush Truck Centers</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2"/>
              </w:rPr>
              <w:t>of Georgia, Inc., Rush Truck Centers of New Mexico, Inc., Rush Truck Centers of Oklahoma, Inc., Rush Truck</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0"/>
              </w:rPr>
              <w:t>Centers of Tennessee, Inc., Rush Truck Centers of North Carolina, Inc., Rush Truck Centers of Idaho, Inc., Rush</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5"/>
              </w:rPr>
              <w:t>Truck Centers of Utah, Inc., Rush Truck Centers of Oregon, Inc., Rush Truck Centers of Texas, L.P., Rush</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3"/>
              </w:rPr>
              <w:t>Enterprises, Inc. and General Electric Capital Corporation (incorporated herein by reference to Exhibit 10.1 of</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the Company’s Current Report on Form 8-K (File No. 000-20797) filed January 6, 2011)</w:t>
            </w:r>
          </w:p>
        </w:tc>
      </w:tr>
      <w:tr>
        <w:trPr>
          <w:trHeight w:val="418"/>
        </w:trPr>
        <w:tc>
          <w:tcPr>
            <w:tcW w:w="1320" w:type="dxa"/>
            <w:vAlign w:val="bottom"/>
          </w:tcPr>
          <w:p>
            <w:pPr>
              <w:ind w:left="440"/>
              <w:spacing w:after="0"/>
              <w:rPr>
                <w:sz w:val="20"/>
                <w:szCs w:val="20"/>
                <w:color w:val="auto"/>
              </w:rPr>
            </w:pPr>
            <w:r>
              <w:rPr>
                <w:rFonts w:ascii="Arial" w:cs="Arial" w:eastAsia="Arial" w:hAnsi="Arial"/>
                <w:sz w:val="18"/>
                <w:szCs w:val="18"/>
                <w:color w:val="auto"/>
              </w:rPr>
              <w:t>10.17</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4"/>
              </w:rPr>
              <w:t>Rush Enterprises, Inc. Deferred Compensation Plan (incorporated herein by reference to Exhibit 10.1 of the</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Company’s Current Report on Form 8-K (File No. 000-20797) filed November 12, 2010)</w:t>
            </w:r>
          </w:p>
        </w:tc>
      </w:tr>
      <w:tr>
        <w:trPr>
          <w:trHeight w:val="418"/>
        </w:trPr>
        <w:tc>
          <w:tcPr>
            <w:tcW w:w="1320" w:type="dxa"/>
            <w:vAlign w:val="bottom"/>
          </w:tcPr>
          <w:p>
            <w:pPr>
              <w:ind w:left="440"/>
              <w:spacing w:after="0"/>
              <w:rPr>
                <w:sz w:val="20"/>
                <w:szCs w:val="20"/>
                <w:color w:val="auto"/>
              </w:rPr>
            </w:pPr>
            <w:r>
              <w:rPr>
                <w:rFonts w:ascii="Arial" w:cs="Arial" w:eastAsia="Arial" w:hAnsi="Arial"/>
                <w:sz w:val="18"/>
                <w:szCs w:val="18"/>
                <w:color w:val="auto"/>
              </w:rPr>
              <w:t>10.18+</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6"/>
              </w:rPr>
              <w:t>Form of Indemnity Agreement (incorporated herein by reference to Exhibit 10.1 of the Company’s Current</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Report on Form 8-K (File No. 000-20797) filed February 27, 2007)</w:t>
            </w:r>
          </w:p>
        </w:tc>
      </w:tr>
      <w:tr>
        <w:trPr>
          <w:trHeight w:val="418"/>
        </w:trPr>
        <w:tc>
          <w:tcPr>
            <w:tcW w:w="1320" w:type="dxa"/>
            <w:vAlign w:val="bottom"/>
          </w:tcPr>
          <w:p>
            <w:pPr>
              <w:ind w:left="440"/>
              <w:spacing w:after="0"/>
              <w:rPr>
                <w:sz w:val="20"/>
                <w:szCs w:val="20"/>
                <w:color w:val="auto"/>
              </w:rPr>
            </w:pPr>
            <w:r>
              <w:rPr>
                <w:rFonts w:ascii="Arial" w:cs="Arial" w:eastAsia="Arial" w:hAnsi="Arial"/>
                <w:sz w:val="18"/>
                <w:szCs w:val="18"/>
                <w:color w:val="auto"/>
              </w:rPr>
              <w:t>10.19+</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7"/>
              </w:rPr>
              <w:t>Rush Enterprises, Inc. Executive Transition Plan (incorporated herein by reference to Exhibit 10.1 of the</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Company’s Current Report on Form 8-K (File No. 000-20797) filed July 25, 2008)</w:t>
            </w:r>
          </w:p>
        </w:tc>
      </w:tr>
      <w:tr>
        <w:trPr>
          <w:trHeight w:val="432"/>
        </w:trPr>
        <w:tc>
          <w:tcPr>
            <w:tcW w:w="1320" w:type="dxa"/>
            <w:vAlign w:val="bottom"/>
          </w:tcPr>
          <w:p>
            <w:pPr>
              <w:ind w:left="520"/>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Subsidiaries of the Company</w:t>
            </w:r>
          </w:p>
        </w:tc>
      </w:tr>
      <w:tr>
        <w:trPr>
          <w:trHeight w:val="432"/>
        </w:trPr>
        <w:tc>
          <w:tcPr>
            <w:tcW w:w="1320" w:type="dxa"/>
            <w:vAlign w:val="bottom"/>
          </w:tcPr>
          <w:p>
            <w:pPr>
              <w:ind w:left="520"/>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Consent of Ernst &amp; Young LLP</w:t>
            </w:r>
          </w:p>
        </w:tc>
      </w:tr>
      <w:tr>
        <w:trPr>
          <w:trHeight w:val="418"/>
        </w:trPr>
        <w:tc>
          <w:tcPr>
            <w:tcW w:w="1320" w:type="dxa"/>
            <w:vAlign w:val="bottom"/>
          </w:tcPr>
          <w:p>
            <w:pPr>
              <w:ind w:left="52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3"/>
              </w:rPr>
              <w:t>Certification of President and Chief Executive Officer pursuant to Rules 13a-14(a) and 15d-14(a), as adopted</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18"/>
        </w:trPr>
        <w:tc>
          <w:tcPr>
            <w:tcW w:w="1320" w:type="dxa"/>
            <w:vAlign w:val="bottom"/>
          </w:tcPr>
          <w:p>
            <w:pPr>
              <w:ind w:left="52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7"/>
              </w:rPr>
              <w:t>Certification of Vice President and Chief Financial Officer pursuant to Rules 13a-14(a) and 15d-14(a), as</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18"/>
        </w:trPr>
        <w:tc>
          <w:tcPr>
            <w:tcW w:w="1320" w:type="dxa"/>
            <w:vAlign w:val="bottom"/>
          </w:tcPr>
          <w:p>
            <w:pPr>
              <w:ind w:left="52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Act of 2002</w:t>
            </w:r>
          </w:p>
        </w:tc>
      </w:tr>
    </w:tbl>
    <w:p>
      <w:pPr>
        <w:spacing w:after="0" w:line="202" w:lineRule="exact"/>
        <w:rPr>
          <w:sz w:val="20"/>
          <w:szCs w:val="20"/>
          <w:color w:val="auto"/>
        </w:rPr>
      </w:pPr>
    </w:p>
    <w:p>
      <w:pPr>
        <w:ind w:left="1960" w:right="439" w:hanging="1084"/>
        <w:spacing w:after="0" w:line="277" w:lineRule="auto"/>
        <w:tabs>
          <w:tab w:leader="none" w:pos="19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w:t>
      </w:r>
    </w:p>
    <w:p>
      <w:pPr>
        <w:spacing w:after="0" w:line="76" w:lineRule="exact"/>
        <w:rPr>
          <w:sz w:val="20"/>
          <w:szCs w:val="20"/>
          <w:color w:val="auto"/>
        </w:rPr>
      </w:pPr>
    </w:p>
    <w:p>
      <w:pPr>
        <w:ind w:left="720" w:hanging="388"/>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77" w:lineRule="exact"/>
        <w:rPr>
          <w:sz w:val="20"/>
          <w:szCs w:val="20"/>
          <w:color w:val="auto"/>
        </w:rPr>
      </w:pPr>
    </w:p>
    <w:p>
      <w:pPr>
        <w:jc w:val="both"/>
        <w:ind w:left="720" w:right="159" w:hanging="388"/>
        <w:spacing w:after="0" w:line="264"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ectPr>
          <w:pgSz w:w="11900" w:h="16838" w:orient="portrait"/>
          <w:cols w:equalWidth="0" w:num="1">
            <w:col w:w="10219"/>
          </w:cols>
          <w:pgMar w:left="240" w:top="419" w:right="1440" w:bottom="258"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258"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79" w:firstLine="77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RUSH ENTERPRISES, INC.</w:t>
      </w:r>
    </w:p>
    <w:p>
      <w:pPr>
        <w:spacing w:after="0" w:line="225" w:lineRule="exact"/>
        <w:rPr>
          <w:sz w:val="20"/>
          <w:szCs w:val="20"/>
          <w:color w:val="auto"/>
        </w:rPr>
      </w:pPr>
    </w:p>
    <w:p>
      <w:pPr>
        <w:ind w:left="3200"/>
        <w:spacing w:after="0"/>
        <w:tabs>
          <w:tab w:leader="none" w:pos="8420" w:val="left"/>
        </w:tabs>
        <w:rPr>
          <w:sz w:val="20"/>
          <w:szCs w:val="20"/>
          <w:color w:val="auto"/>
        </w:rPr>
      </w:pPr>
      <w:r>
        <w:rPr>
          <w:rFonts w:ascii="Arial" w:cs="Arial" w:eastAsia="Arial" w:hAnsi="Arial"/>
          <w:sz w:val="18"/>
          <w:szCs w:val="18"/>
          <w:color w:val="auto"/>
        </w:rPr>
        <w:t>By: /s/ W. M. “RUSTY” RUSH</w:t>
      </w:r>
      <w:r>
        <w:rPr>
          <w:sz w:val="20"/>
          <w:szCs w:val="20"/>
          <w:color w:val="auto"/>
        </w:rPr>
        <w:tab/>
      </w:r>
      <w:r>
        <w:rPr>
          <w:rFonts w:ascii="Arial" w:cs="Arial" w:eastAsia="Arial" w:hAnsi="Arial"/>
          <w:sz w:val="16"/>
          <w:szCs w:val="16"/>
          <w:color w:val="auto"/>
        </w:rPr>
        <w:t>Date: March 11,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14605</wp:posOffset>
            </wp:positionV>
            <wp:extent cx="2092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W. M. “Rusty” Rush</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ind w:left="340" w:right="179" w:firstLine="77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c>
          <w:tcPr>
            <w:tcW w:w="300" w:type="dxa"/>
            <w:vAlign w:val="bottom"/>
          </w:tcPr>
          <w:p>
            <w:pPr>
              <w:spacing w:after="0"/>
              <w:rPr>
                <w:sz w:val="20"/>
                <w:szCs w:val="20"/>
                <w:color w:val="auto"/>
              </w:rPr>
            </w:pPr>
          </w:p>
        </w:tc>
        <w:tc>
          <w:tcPr>
            <w:tcW w:w="486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Capacity</w:t>
            </w:r>
          </w:p>
        </w:tc>
        <w:tc>
          <w:tcPr>
            <w:tcW w:w="2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26"/>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MARVIN RUSH</w:t>
            </w:r>
          </w:p>
        </w:tc>
        <w:tc>
          <w:tcPr>
            <w:tcW w:w="5160" w:type="dxa"/>
            <w:vAlign w:val="bottom"/>
            <w:gridSpan w:val="2"/>
          </w:tcPr>
          <w:p>
            <w:pPr>
              <w:ind w:left="300"/>
              <w:spacing w:after="0"/>
              <w:rPr>
                <w:sz w:val="20"/>
                <w:szCs w:val="20"/>
                <w:color w:val="auto"/>
              </w:rPr>
            </w:pPr>
            <w:r>
              <w:rPr>
                <w:rFonts w:ascii="Arial" w:cs="Arial" w:eastAsia="Arial" w:hAnsi="Arial"/>
                <w:sz w:val="18"/>
                <w:szCs w:val="18"/>
                <w:color w:val="auto"/>
              </w:rPr>
              <w:t>Chairman of the Board and Director</w:t>
            </w:r>
          </w:p>
        </w:tc>
        <w:tc>
          <w:tcPr>
            <w:tcW w:w="2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March 11, 2011</w:t>
            </w: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W. Marvin Rush</w:t>
            </w:r>
          </w:p>
        </w:tc>
        <w:tc>
          <w:tcPr>
            <w:tcW w:w="3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1"/>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M. “RUSTY” RUSH</w:t>
            </w:r>
          </w:p>
        </w:tc>
        <w:tc>
          <w:tcPr>
            <w:tcW w:w="5160" w:type="dxa"/>
            <w:vAlign w:val="bottom"/>
            <w:gridSpan w:val="2"/>
          </w:tcPr>
          <w:p>
            <w:pPr>
              <w:ind w:left="300"/>
              <w:spacing w:after="0"/>
              <w:rPr>
                <w:sz w:val="20"/>
                <w:szCs w:val="20"/>
                <w:color w:val="auto"/>
              </w:rPr>
            </w:pPr>
            <w:r>
              <w:rPr>
                <w:rFonts w:ascii="Arial" w:cs="Arial" w:eastAsia="Arial" w:hAnsi="Arial"/>
                <w:sz w:val="18"/>
                <w:szCs w:val="18"/>
                <w:color w:val="auto"/>
              </w:rPr>
              <w:t>President and Chief Executive Officer, Director</w:t>
            </w:r>
          </w:p>
        </w:tc>
        <w:tc>
          <w:tcPr>
            <w:tcW w:w="2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March 11, 2011</w:t>
            </w: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W. M. “Rusty” Rush</w:t>
            </w:r>
          </w:p>
        </w:tc>
        <w:tc>
          <w:tcPr>
            <w:tcW w:w="5160" w:type="dxa"/>
            <w:vAlign w:val="bottom"/>
            <w:gridSpan w:val="2"/>
          </w:tcPr>
          <w:p>
            <w:pPr>
              <w:ind w:left="300"/>
              <w:spacing w:after="0"/>
              <w:rPr>
                <w:sz w:val="20"/>
                <w:szCs w:val="20"/>
                <w:color w:val="auto"/>
              </w:rPr>
            </w:pPr>
            <w:r>
              <w:rPr>
                <w:rFonts w:ascii="Arial" w:cs="Arial" w:eastAsia="Arial" w:hAnsi="Arial"/>
                <w:sz w:val="18"/>
                <w:szCs w:val="18"/>
                <w:color w:val="auto"/>
              </w:rPr>
              <w:t>(Principal Executive Officer)</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1"/>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c>
          <w:tcPr>
            <w:tcW w:w="5160" w:type="dxa"/>
            <w:vAlign w:val="bottom"/>
            <w:gridSpan w:val="2"/>
          </w:tcPr>
          <w:p>
            <w:pPr>
              <w:ind w:left="300"/>
              <w:spacing w:after="0"/>
              <w:rPr>
                <w:sz w:val="20"/>
                <w:szCs w:val="20"/>
                <w:color w:val="auto"/>
              </w:rPr>
            </w:pPr>
            <w:r>
              <w:rPr>
                <w:rFonts w:ascii="Arial" w:cs="Arial" w:eastAsia="Arial" w:hAnsi="Arial"/>
                <w:sz w:val="18"/>
                <w:szCs w:val="18"/>
                <w:color w:val="auto"/>
              </w:rPr>
              <w:t>Vice President and Chief Financial Officer</w:t>
            </w:r>
          </w:p>
        </w:tc>
        <w:tc>
          <w:tcPr>
            <w:tcW w:w="2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March 11, 2011</w:t>
            </w: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Steven L. Keller</w:t>
            </w:r>
          </w:p>
        </w:tc>
        <w:tc>
          <w:tcPr>
            <w:tcW w:w="5160" w:type="dxa"/>
            <w:vAlign w:val="bottom"/>
            <w:gridSpan w:val="2"/>
          </w:tcPr>
          <w:p>
            <w:pPr>
              <w:ind w:left="300"/>
              <w:spacing w:after="0"/>
              <w:rPr>
                <w:sz w:val="20"/>
                <w:szCs w:val="20"/>
                <w:color w:val="auto"/>
              </w:rPr>
            </w:pPr>
            <w:r>
              <w:rPr>
                <w:rFonts w:ascii="Arial" w:cs="Arial" w:eastAsia="Arial" w:hAnsi="Arial"/>
                <w:sz w:val="18"/>
                <w:szCs w:val="18"/>
                <w:color w:val="auto"/>
              </w:rPr>
              <w:t>(Principal Financial and Accounting Officer)</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1"/>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 AKIN</w:t>
            </w:r>
          </w:p>
        </w:tc>
        <w:tc>
          <w:tcPr>
            <w:tcW w:w="516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March 11, 2011</w:t>
            </w: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Thomas A. Akin</w:t>
            </w:r>
          </w:p>
        </w:tc>
        <w:tc>
          <w:tcPr>
            <w:tcW w:w="3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1"/>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D. MARSHALL</w:t>
            </w:r>
          </w:p>
        </w:tc>
        <w:tc>
          <w:tcPr>
            <w:tcW w:w="516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March 11, 2011</w:t>
            </w: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Harold D. Marshall</w:t>
            </w:r>
          </w:p>
        </w:tc>
        <w:tc>
          <w:tcPr>
            <w:tcW w:w="3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1"/>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C. UNDERWOOD</w:t>
            </w:r>
          </w:p>
        </w:tc>
        <w:tc>
          <w:tcPr>
            <w:tcW w:w="516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March 11, 2011</w:t>
            </w: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James C. Underwood</w:t>
            </w:r>
          </w:p>
        </w:tc>
        <w:tc>
          <w:tcPr>
            <w:tcW w:w="3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1"/>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R. SZCZEPANSKI</w:t>
            </w:r>
          </w:p>
        </w:tc>
        <w:tc>
          <w:tcPr>
            <w:tcW w:w="516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March 11, 2011</w:t>
            </w: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Gerald R. Szczepanski</w:t>
            </w:r>
          </w:p>
        </w:tc>
        <w:tc>
          <w:tcPr>
            <w:tcW w:w="3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796"/>
        </w:trPr>
        <w:tc>
          <w:tcPr>
            <w:tcW w:w="3020" w:type="dxa"/>
            <w:vAlign w:val="bottom"/>
          </w:tcPr>
          <w:p>
            <w:pPr>
              <w:spacing w:after="0"/>
              <w:rPr>
                <w:sz w:val="24"/>
                <w:szCs w:val="24"/>
                <w:color w:val="auto"/>
              </w:rPr>
            </w:pPr>
          </w:p>
        </w:tc>
        <w:tc>
          <w:tcPr>
            <w:tcW w:w="5160" w:type="dxa"/>
            <w:vAlign w:val="bottom"/>
            <w:gridSpan w:val="2"/>
          </w:tcPr>
          <w:p>
            <w:pPr>
              <w:ind w:left="1740"/>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19"/>
          </w:cols>
          <w:pgMar w:left="240" w:top="419" w:right="1440" w:bottom="1440" w:gutter="0" w:footer="0" w:header="0"/>
        </w:sectPr>
      </w:pPr>
    </w:p>
    <w:bookmarkStart w:id="82" w:name="page83"/>
    <w:bookmarkEnd w:id="82"/>
    <w:p>
      <w:pPr>
        <w:jc w:val="right"/>
        <w:ind w:right="159"/>
        <w:spacing w:after="0"/>
        <w:rPr>
          <w:sz w:val="20"/>
          <w:szCs w:val="20"/>
          <w:color w:val="auto"/>
        </w:rPr>
      </w:pPr>
      <w:r>
        <w:rPr>
          <w:rFonts w:ascii="Arial" w:cs="Arial" w:eastAsia="Arial" w:hAnsi="Arial"/>
          <w:sz w:val="18"/>
          <w:szCs w:val="18"/>
          <w:color w:val="auto"/>
        </w:rPr>
        <w:t>Exhibit 10.10</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2006 NON-EMPLOYEE DIRECTOR STOCK PLAN</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(Amended and restated effective March 3, 2011)</w:t>
      </w:r>
    </w:p>
    <w:p>
      <w:pPr>
        <w:spacing w:after="0" w:line="185" w:lineRule="exact"/>
        <w:rPr>
          <w:sz w:val="20"/>
          <w:szCs w:val="20"/>
          <w:color w:val="auto"/>
        </w:rPr>
      </w:pPr>
    </w:p>
    <w:p>
      <w:pPr>
        <w:jc w:val="both"/>
        <w:ind w:right="159" w:firstLine="381"/>
        <w:spacing w:after="0" w:line="257" w:lineRule="auto"/>
        <w:tabs>
          <w:tab w:leader="none" w:pos="569"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This Rush Enterprises, Inc. Amended and Restated 2006 Non-Employee Director Stock Plan (the “Plan”) sponsored</w:t>
      </w:r>
      <w:r>
        <w:rPr>
          <w:rFonts w:ascii="Arial" w:cs="Arial" w:eastAsia="Arial" w:hAnsi="Arial"/>
          <w:sz w:val="18"/>
          <w:szCs w:val="18"/>
          <w:i w:val="1"/>
          <w:iCs w:val="1"/>
          <w:color w:val="auto"/>
        </w:rPr>
        <w:t xml:space="preserve"> </w:t>
      </w:r>
      <w:r>
        <w:rPr>
          <w:rFonts w:ascii="Arial" w:cs="Arial" w:eastAsia="Arial" w:hAnsi="Arial"/>
          <w:sz w:val="18"/>
          <w:szCs w:val="18"/>
          <w:color w:val="auto"/>
        </w:rPr>
        <w:t>by Rush Enterprises, Inc., a Texas corporation (the “Company”), is adopted for the benefit of the directors of the Company who at the time of their service are not employees of the Company or any of its subsidiaries (“Non-Employee Directors”), and is intended to advance the interests of the Company by providing the Non-Employee Directors with additional incentive to serve the Company by increasing their proprietary interest in the success of the Company.</w:t>
      </w:r>
    </w:p>
    <w:p>
      <w:pPr>
        <w:spacing w:after="0" w:line="147" w:lineRule="exact"/>
        <w:rPr>
          <w:rFonts w:ascii="Arial" w:cs="Arial" w:eastAsia="Arial" w:hAnsi="Arial"/>
          <w:sz w:val="18"/>
          <w:szCs w:val="18"/>
          <w:color w:val="auto"/>
        </w:rPr>
      </w:pPr>
    </w:p>
    <w:p>
      <w:pPr>
        <w:jc w:val="both"/>
        <w:ind w:right="159" w:firstLine="381"/>
        <w:spacing w:after="0" w:line="267" w:lineRule="auto"/>
        <w:tabs>
          <w:tab w:leader="none" w:pos="569"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Plan shall be administered by the Board of Directors of the Company (the “Board”) or a committee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which shall consist solely of two or more directors appointed by the Board who are not employees of the Company (the Board acting in such capacity or such committee being referred to as the “Committee”). For the purposes of the Plan, a majority of the members of the Committee shall constitute a quorum for the transaction of business, and the vote of a majority of those members present at any meeting shall decide any question brought before that meeting. In addition, the Committee may take any action otherwise proper under the Plan by the affirmative vote, taken without a meeting, of a majority of its members. No member of the Committee shall be liable for any act or omission of any other member of the Committee or for any act or omission on his own part, including but not limited to the exercise of any power or discretion given to him under the Plan, except those resulting from his own gross negligence or willful misconduct. Except as otherwise expressly provided for herein, all questions of interpretation and application of the Plan, or as to an option (“Option”) or stock award (“Stock Award”) granted hereunder (an “Option” and “Stock Award” sometimes hereinafter referred to as an “Award” or collectively as “Awards”), shall be subject to the determination, which shall be final and binding, of a majority of the whole Committee. The Committee may, in its discretion, provide for the extension of the exercisability of an Award, accelerate the vesting or exercisability of an Award, eliminate or make less restrictive any restrictions contained in an Award, waive any restriction or other provision of this Plan or an Award or otherwise amend or modify an Award in any manner that is (i) not adverse to the Non-Employee Director to whom such Award was granted, (ii) consented to by such Non-Employee Director or (iii) authorized by Section 8 hereof; provided, however, that no such action shall permit the term of any Option to be greater than ten years from the applicable grant date, or to be extended beyond the original stated term of the Option, if less than ten years, if such extension would cause the Option to be subject to adverse tax consequences under Section 409A of the Internal Revenue Code of 1986, as amended (the “Internal Revenue Code”). Notwithstanding anything to the contrary contained herein, the Committee may not amend or replace outstanding Options in a transaction that constitutes a repricing without the approval of the shareholders of the Company. For these purposes, a cancellation, exchange or other modification to an outstanding Option that occurs in connection with a merger, acquisition, spin-off or other corporate transaction, including under Section 8 hereof will not be deemed a repricing.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629920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83" w:name="page84"/>
    <w:bookmarkEnd w:id="83"/>
    <w:p>
      <w:pPr>
        <w:ind w:left="179" w:hanging="179"/>
        <w:spacing w:after="0"/>
        <w:tabs>
          <w:tab w:leader="none" w:pos="179"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Shares Available for Awards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1" w:right="159" w:firstLine="374"/>
        <w:spacing w:after="0" w:line="293" w:lineRule="auto"/>
        <w:tabs>
          <w:tab w:leader="none" w:pos="617"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Aggregate Number of Shares Available for Awards</w:t>
      </w:r>
      <w:r>
        <w:rPr>
          <w:rFonts w:ascii="Arial" w:cs="Arial" w:eastAsia="Arial" w:hAnsi="Arial"/>
          <w:sz w:val="16"/>
          <w:szCs w:val="16"/>
          <w:color w:val="auto"/>
        </w:rPr>
        <w:t>. The aggregate number of shares of the Company’s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$.01 par value (or such other par value as may be designated by act of the Company’s shareholders) (the “Common Stock”), with respect to which Options or Stock Awards may be granted under the Plan shall not exceed 500,000 shares (as adjusted pursuant to the 3-for-2 stock split effected by the Company on October 10, 2007); provided, that the class and aggregate number of shares which may be subject to such Options or Stock Awards granted hereunder shall be subject to adjustment in accordance with the provisions of Section 8 hereof. Such shares may be treasury shares or authorized but unissued shares.</w:t>
      </w:r>
    </w:p>
    <w:p>
      <w:pPr>
        <w:spacing w:after="0" w:line="124" w:lineRule="exact"/>
        <w:rPr>
          <w:rFonts w:ascii="Arial" w:cs="Arial" w:eastAsia="Arial" w:hAnsi="Arial"/>
          <w:sz w:val="16"/>
          <w:szCs w:val="16"/>
          <w:color w:val="auto"/>
        </w:rPr>
      </w:pPr>
    </w:p>
    <w:p>
      <w:pPr>
        <w:jc w:val="both"/>
        <w:ind w:left="-1" w:right="159" w:firstLine="374"/>
        <w:spacing w:after="0" w:line="257" w:lineRule="auto"/>
        <w:tabs>
          <w:tab w:leader="none" w:pos="627"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Expired, Terminated or Forfeited Shares</w:t>
      </w:r>
      <w:r>
        <w:rPr>
          <w:rFonts w:ascii="Arial" w:cs="Arial" w:eastAsia="Arial" w:hAnsi="Arial"/>
          <w:sz w:val="18"/>
          <w:szCs w:val="18"/>
          <w:color w:val="auto"/>
        </w:rPr>
        <w:t>. In the event that any outstanding Option or Stock Award for any reason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expire, terminate, or be forfeited by reason of (i) the death of a Non-Employee Director, (ii) the fact that the Non-Employee Director ceases to be a director, (iii) the surrender of any such Award, or (iv) any other cause, the shares of Common Stock allocable to the unexercised or unvested portion of such Option or Stock Award may again be subject to an Award under the Plan.</w:t>
      </w:r>
    </w:p>
    <w:p>
      <w:pPr>
        <w:spacing w:after="0" w:line="147" w:lineRule="exact"/>
        <w:rPr>
          <w:rFonts w:ascii="Arial" w:cs="Arial" w:eastAsia="Arial" w:hAnsi="Arial"/>
          <w:sz w:val="18"/>
          <w:szCs w:val="18"/>
          <w:color w:val="auto"/>
        </w:rPr>
      </w:pPr>
    </w:p>
    <w:p>
      <w:pPr>
        <w:ind w:left="179" w:hanging="179"/>
        <w:spacing w:after="0"/>
        <w:tabs>
          <w:tab w:leader="none" w:pos="179"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1" w:right="179" w:firstLine="374"/>
        <w:spacing w:after="0" w:line="264" w:lineRule="auto"/>
        <w:tabs>
          <w:tab w:leader="none" w:pos="63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Grant of Options</w:t>
      </w:r>
      <w:r>
        <w:rPr>
          <w:rFonts w:ascii="Arial" w:cs="Arial" w:eastAsia="Arial" w:hAnsi="Arial"/>
          <w:sz w:val="18"/>
          <w:szCs w:val="18"/>
          <w:color w:val="auto"/>
        </w:rPr>
        <w:t>. Subject to the terms and provisions of the Plan, the Committee, at any time and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may grant Options to a Non-Employee Director in such amounts as the Committee shall determine, in its sole and absolute discretion.</w:t>
      </w:r>
    </w:p>
    <w:p>
      <w:pPr>
        <w:spacing w:after="0" w:line="140" w:lineRule="exact"/>
        <w:rPr>
          <w:rFonts w:ascii="Arial" w:cs="Arial" w:eastAsia="Arial" w:hAnsi="Arial"/>
          <w:sz w:val="18"/>
          <w:szCs w:val="18"/>
          <w:color w:val="auto"/>
        </w:rPr>
      </w:pPr>
    </w:p>
    <w:p>
      <w:pPr>
        <w:jc w:val="both"/>
        <w:ind w:left="-1" w:right="159" w:firstLine="374"/>
        <w:spacing w:after="0" w:line="264" w:lineRule="auto"/>
        <w:tabs>
          <w:tab w:leader="none" w:pos="627"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Exercise Price of Options</w:t>
      </w:r>
      <w:r>
        <w:rPr>
          <w:rFonts w:ascii="Arial" w:cs="Arial" w:eastAsia="Arial" w:hAnsi="Arial"/>
          <w:sz w:val="18"/>
          <w:szCs w:val="18"/>
          <w:color w:val="auto"/>
        </w:rPr>
        <w:t>. The exercise price per share of Common Stock covered by an Option granted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shall be not less than 100% of the fair market value, as defined in paragraph (e) of this Section 4, of a share of Common Stock on the date such Option is granted.</w:t>
      </w:r>
    </w:p>
    <w:p>
      <w:pPr>
        <w:spacing w:after="0" w:line="140" w:lineRule="exact"/>
        <w:rPr>
          <w:rFonts w:ascii="Arial" w:cs="Arial" w:eastAsia="Arial" w:hAnsi="Arial"/>
          <w:sz w:val="18"/>
          <w:szCs w:val="18"/>
          <w:color w:val="auto"/>
        </w:rPr>
      </w:pPr>
    </w:p>
    <w:p>
      <w:pPr>
        <w:ind w:left="-1" w:right="159" w:firstLine="374"/>
        <w:spacing w:after="0" w:line="277" w:lineRule="auto"/>
        <w:tabs>
          <w:tab w:leader="none" w:pos="63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Duration of Options</w:t>
      </w:r>
      <w:r>
        <w:rPr>
          <w:rFonts w:ascii="Arial" w:cs="Arial" w:eastAsia="Arial" w:hAnsi="Arial"/>
          <w:sz w:val="18"/>
          <w:szCs w:val="18"/>
          <w:color w:val="auto"/>
        </w:rPr>
        <w:t>. Each Option granted under the Plan shall be exercisable for a term of ten years from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subject to earlier termination as provided in paragraph (g) of this Section 4.</w:t>
      </w:r>
    </w:p>
    <w:p>
      <w:pPr>
        <w:spacing w:after="0" w:line="143" w:lineRule="exact"/>
        <w:rPr>
          <w:rFonts w:ascii="Arial" w:cs="Arial" w:eastAsia="Arial" w:hAnsi="Arial"/>
          <w:sz w:val="18"/>
          <w:szCs w:val="18"/>
          <w:color w:val="auto"/>
        </w:rPr>
      </w:pPr>
    </w:p>
    <w:p>
      <w:pPr>
        <w:ind w:left="619" w:hanging="246"/>
        <w:spacing w:after="0"/>
        <w:tabs>
          <w:tab w:leader="none" w:pos="619"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Amount Exercisable</w:t>
      </w:r>
      <w:r>
        <w:rPr>
          <w:rFonts w:ascii="Arial" w:cs="Arial" w:eastAsia="Arial" w:hAnsi="Arial"/>
          <w:sz w:val="18"/>
          <w:szCs w:val="18"/>
          <w:color w:val="auto"/>
        </w:rPr>
        <w:t>. Each Option granted pursuant to the Plan shall be fully exercisable on the date of grant.</w:t>
      </w:r>
    </w:p>
    <w:p>
      <w:pPr>
        <w:spacing w:after="0" w:line="184" w:lineRule="exact"/>
        <w:rPr>
          <w:rFonts w:ascii="Arial" w:cs="Arial" w:eastAsia="Arial" w:hAnsi="Arial"/>
          <w:sz w:val="18"/>
          <w:szCs w:val="18"/>
          <w:color w:val="auto"/>
        </w:rPr>
      </w:pPr>
    </w:p>
    <w:p>
      <w:pPr>
        <w:jc w:val="both"/>
        <w:ind w:left="-1" w:right="159" w:firstLine="374"/>
        <w:spacing w:after="0" w:line="293" w:lineRule="auto"/>
        <w:tabs>
          <w:tab w:leader="none" w:pos="644"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Exercise of Options</w:t>
      </w:r>
      <w:r>
        <w:rPr>
          <w:rFonts w:ascii="Arial" w:cs="Arial" w:eastAsia="Arial" w:hAnsi="Arial"/>
          <w:sz w:val="16"/>
          <w:szCs w:val="16"/>
          <w:color w:val="auto"/>
        </w:rPr>
        <w:t>. Payment of the purchase price of the shares of Common Stock subject to an Option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may be made (i) in cash or cash equivalents (including certified check or bank check payable to the order of the Company), (ii) by tendering previously acquired shares of Common Stock (either actually or by attestation, valued at their then “fair market value”), (iii) in shares of Common Stock withheld by the Company from the shares of Common Stock otherwise issuable to the optionee as a result of the exercise of the Option, or (iv) by any combination of any the foregoing. Subject to the terms and conditions of this Plan, an Option may be exercised by written notice to the Company at its principal office, attention</w:t>
      </w:r>
    </w:p>
    <w:p>
      <w:pPr>
        <w:spacing w:after="0" w:line="200" w:lineRule="exact"/>
        <w:rPr>
          <w:rFonts w:ascii="Arial" w:cs="Arial" w:eastAsia="Arial" w:hAnsi="Arial"/>
          <w:sz w:val="16"/>
          <w:szCs w:val="16"/>
          <w:color w:val="auto"/>
        </w:rPr>
      </w:pPr>
    </w:p>
    <w:p>
      <w:pPr>
        <w:spacing w:after="0" w:line="329" w:lineRule="exact"/>
        <w:rPr>
          <w:rFonts w:ascii="Arial" w:cs="Arial" w:eastAsia="Arial" w:hAnsi="Arial"/>
          <w:sz w:val="16"/>
          <w:szCs w:val="16"/>
          <w:color w:val="auto"/>
        </w:rPr>
      </w:pPr>
    </w:p>
    <w:p>
      <w:pPr>
        <w:ind w:left="4419" w:hanging="96"/>
        <w:spacing w:after="0"/>
        <w:tabs>
          <w:tab w:leader="none" w:pos="4419" w:val="left"/>
        </w:tabs>
        <w:numPr>
          <w:ilvl w:val="2"/>
          <w:numId w:val="32"/>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8"/>
          </w:cols>
          <w:pgMar w:left="961" w:top="935" w:right="1440" w:bottom="1440" w:gutter="0" w:footer="0" w:header="0"/>
        </w:sectPr>
      </w:pPr>
    </w:p>
    <w:bookmarkStart w:id="84" w:name="page85"/>
    <w:bookmarkEnd w:id="84"/>
    <w:p>
      <w:pPr>
        <w:jc w:val="both"/>
        <w:ind w:right="159"/>
        <w:spacing w:after="0" w:line="254" w:lineRule="auto"/>
        <w:rPr>
          <w:sz w:val="20"/>
          <w:szCs w:val="20"/>
          <w:color w:val="auto"/>
        </w:rPr>
      </w:pPr>
      <w:r>
        <w:rPr>
          <w:rFonts w:ascii="Arial" w:cs="Arial" w:eastAsia="Arial" w:hAnsi="Arial"/>
          <w:sz w:val="18"/>
          <w:szCs w:val="18"/>
          <w:color w:val="auto"/>
        </w:rPr>
        <w:t>of the Secretary. Such notice shall (i) state the election to exercise such Option, the number of shares in respect of which it is being exercised and the manner of payment for such shares and (ii) be signed by the person or persons so exercising such Option and, in the event such Option is being exercised pursuant to paragraph (f) of this Section 4 by any person or persons other than the optionee, accompanied by appropriate proof of the right of such person or persons to exercise such Option. If payment of the purchase price of the shares is being paid in cash or by tendering previously acquired shares of Common Stock, such notice shall be accompanied by payment of the full purchase price of such shares. All cash and Common Stock payments shall, in either case, be delivered to the Company at its principal office, attention of the Secretary. All shares issued as provided herein will be fully paid and nonassessable.</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purposes of this paragraph (e), the “fair market value” of a share of Common Stock as of any particular date shall mean:</w:t>
      </w:r>
    </w:p>
    <w:p>
      <w:pPr>
        <w:spacing w:after="0" w:line="208" w:lineRule="exact"/>
        <w:rPr>
          <w:sz w:val="20"/>
          <w:szCs w:val="20"/>
          <w:color w:val="auto"/>
        </w:rPr>
      </w:pPr>
    </w:p>
    <w:p>
      <w:pPr>
        <w:jc w:val="both"/>
        <w:ind w:left="400" w:right="159" w:firstLine="348"/>
        <w:spacing w:after="0" w:line="252" w:lineRule="auto"/>
        <w:tabs>
          <w:tab w:leader="none" w:pos="975" w:val="left"/>
        </w:tabs>
        <w:numPr>
          <w:ilvl w:val="2"/>
          <w:numId w:val="33"/>
        </w:numPr>
        <w:rPr>
          <w:rFonts w:ascii="Arial" w:cs="Arial" w:eastAsia="Arial" w:hAnsi="Arial"/>
          <w:sz w:val="17"/>
          <w:szCs w:val="17"/>
          <w:color w:val="auto"/>
        </w:rPr>
      </w:pPr>
      <w:r>
        <w:rPr>
          <w:rFonts w:ascii="Arial" w:cs="Arial" w:eastAsia="Arial" w:hAnsi="Arial"/>
          <w:sz w:val="17"/>
          <w:szCs w:val="17"/>
          <w:color w:val="auto"/>
        </w:rPr>
        <w:t>if the respective shares of Common Stock are listed on any established stock exchange or a national market system, including without limitation, the NASDAQ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Global Select Market, NASDAQ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Global Market or NASDAQ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Capital Market, the fair market value will be the closing sales price of such respective shares (or the closing bid, if no sales were reported) as quoted on such system or exchange (or the exchange or system with the greatest volume of trading in the respective Shares)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 or</w:t>
      </w:r>
    </w:p>
    <w:p>
      <w:pPr>
        <w:spacing w:after="0" w:line="154" w:lineRule="exact"/>
        <w:rPr>
          <w:rFonts w:ascii="Arial" w:cs="Arial" w:eastAsia="Arial" w:hAnsi="Arial"/>
          <w:sz w:val="17"/>
          <w:szCs w:val="17"/>
          <w:color w:val="auto"/>
        </w:rPr>
      </w:pPr>
    </w:p>
    <w:p>
      <w:pPr>
        <w:jc w:val="both"/>
        <w:ind w:left="400" w:right="159" w:firstLine="348"/>
        <w:spacing w:after="0" w:line="276" w:lineRule="auto"/>
        <w:tabs>
          <w:tab w:leader="none" w:pos="1038" w:val="left"/>
        </w:tabs>
        <w:numPr>
          <w:ilvl w:val="2"/>
          <w:numId w:val="33"/>
        </w:numPr>
        <w:rPr>
          <w:rFonts w:ascii="Arial" w:cs="Arial" w:eastAsia="Arial" w:hAnsi="Arial"/>
          <w:sz w:val="17"/>
          <w:szCs w:val="17"/>
          <w:color w:val="auto"/>
        </w:rPr>
      </w:pPr>
      <w:r>
        <w:rPr>
          <w:rFonts w:ascii="Arial" w:cs="Arial" w:eastAsia="Arial" w:hAnsi="Arial"/>
          <w:sz w:val="17"/>
          <w:szCs w:val="17"/>
          <w:color w:val="auto"/>
        </w:rPr>
        <w:t>if the respective shares of Common Stock are regularly quoted on an automated quotation system (including the OTC Bulletin Board) or by a recognized securities dealer, but selling prices are not reported, the fair market value of such respective shares will be the mean between the high bid and high asked prices for such shares on the date of determination (or, if no such prices were reported on that date, on the last date such prices were reported), as reported in The Wall Street Journal or such other source as the Committee deems reliable; or</w:t>
      </w:r>
    </w:p>
    <w:p>
      <w:pPr>
        <w:spacing w:after="0" w:line="145" w:lineRule="exact"/>
        <w:rPr>
          <w:rFonts w:ascii="Arial" w:cs="Arial" w:eastAsia="Arial" w:hAnsi="Arial"/>
          <w:sz w:val="17"/>
          <w:szCs w:val="17"/>
          <w:color w:val="auto"/>
        </w:rPr>
      </w:pPr>
    </w:p>
    <w:p>
      <w:pPr>
        <w:ind w:left="1080" w:hanging="332"/>
        <w:spacing w:after="0"/>
        <w:tabs>
          <w:tab w:leader="none" w:pos="1080" w:val="left"/>
        </w:tabs>
        <w:numPr>
          <w:ilvl w:val="2"/>
          <w:numId w:val="33"/>
        </w:numPr>
        <w:rPr>
          <w:rFonts w:ascii="Arial" w:cs="Arial" w:eastAsia="Arial" w:hAnsi="Arial"/>
          <w:sz w:val="17"/>
          <w:szCs w:val="17"/>
          <w:color w:val="auto"/>
        </w:rPr>
      </w:pPr>
      <w:r>
        <w:rPr>
          <w:rFonts w:ascii="Arial" w:cs="Arial" w:eastAsia="Arial" w:hAnsi="Arial"/>
          <w:sz w:val="17"/>
          <w:szCs w:val="17"/>
          <w:color w:val="auto"/>
        </w:rPr>
        <w:t>in the absence of an established market for such respective shares of Common Stock of the type described in</w:t>
      </w:r>
    </w:p>
    <w:p>
      <w:pPr>
        <w:spacing w:after="0" w:line="34" w:lineRule="exact"/>
        <w:rPr>
          <w:rFonts w:ascii="Arial" w:cs="Arial" w:eastAsia="Arial" w:hAnsi="Arial"/>
          <w:sz w:val="17"/>
          <w:szCs w:val="17"/>
          <w:color w:val="auto"/>
        </w:rPr>
      </w:pPr>
    </w:p>
    <w:p>
      <w:pPr>
        <w:ind w:left="600" w:hanging="210"/>
        <w:spacing w:after="0"/>
        <w:tabs>
          <w:tab w:leader="none" w:pos="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and (ii), above, the fair market value thereof will be determined by the Committee in good faith.</w:t>
      </w:r>
    </w:p>
    <w:p>
      <w:pPr>
        <w:spacing w:after="0" w:line="170" w:lineRule="exact"/>
        <w:rPr>
          <w:rFonts w:ascii="Arial" w:cs="Arial" w:eastAsia="Arial" w:hAnsi="Arial"/>
          <w:sz w:val="18"/>
          <w:szCs w:val="18"/>
          <w:color w:val="auto"/>
        </w:rPr>
      </w:pPr>
    </w:p>
    <w:p>
      <w:pPr>
        <w:ind w:right="159" w:firstLine="374"/>
        <w:spacing w:after="0" w:line="277" w:lineRule="auto"/>
        <w:tabs>
          <w:tab w:leader="none" w:pos="612"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Transferability of Options</w:t>
      </w:r>
      <w:r>
        <w:rPr>
          <w:rFonts w:ascii="Arial" w:cs="Arial" w:eastAsia="Arial" w:hAnsi="Arial"/>
          <w:sz w:val="18"/>
          <w:szCs w:val="18"/>
          <w:color w:val="auto"/>
        </w:rPr>
        <w:t>. Options shall not be transferable by the optionee other than by will or under the laws of</w:t>
      </w:r>
      <w:r>
        <w:rPr>
          <w:rFonts w:ascii="Arial" w:cs="Arial" w:eastAsia="Arial" w:hAnsi="Arial"/>
          <w:sz w:val="18"/>
          <w:szCs w:val="18"/>
          <w:i w:val="1"/>
          <w:iCs w:val="1"/>
          <w:color w:val="auto"/>
        </w:rPr>
        <w:t xml:space="preserve"> </w:t>
      </w:r>
      <w:r>
        <w:rPr>
          <w:rFonts w:ascii="Arial" w:cs="Arial" w:eastAsia="Arial" w:hAnsi="Arial"/>
          <w:sz w:val="18"/>
          <w:szCs w:val="18"/>
          <w:color w:val="auto"/>
        </w:rPr>
        <w:t>descent and distribution, and shall be exercisable, during his lifetime, only by the optionee.</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4420" w:hanging="96"/>
        <w:spacing w:after="0"/>
        <w:tabs>
          <w:tab w:leader="none" w:pos="4420" w:val="left"/>
        </w:tabs>
        <w:numPr>
          <w:ilvl w:val="3"/>
          <w:numId w:val="35"/>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9"/>
          </w:cols>
          <w:pgMar w:left="960" w:top="935" w:right="1440" w:bottom="1440" w:gutter="0" w:footer="0" w:header="0"/>
        </w:sectPr>
      </w:pPr>
    </w:p>
    <w:bookmarkStart w:id="85" w:name="page86"/>
    <w:bookmarkEnd w:id="85"/>
    <w:p>
      <w:pPr>
        <w:ind w:right="159" w:firstLine="374"/>
        <w:spacing w:after="0" w:line="277" w:lineRule="auto"/>
        <w:tabs>
          <w:tab w:leader="none" w:pos="64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Except as may be otherwise expressly provided herein, each Option, to the extent it shall not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exercised, shall terminate on the earliest of the following:</w:t>
      </w:r>
    </w:p>
    <w:p>
      <w:pPr>
        <w:spacing w:after="0" w:line="143" w:lineRule="exact"/>
        <w:rPr>
          <w:rFonts w:ascii="Arial" w:cs="Arial" w:eastAsia="Arial" w:hAnsi="Arial"/>
          <w:sz w:val="18"/>
          <w:szCs w:val="18"/>
          <w:color w:val="auto"/>
        </w:rPr>
      </w:pPr>
    </w:p>
    <w:p>
      <w:pPr>
        <w:jc w:val="both"/>
        <w:ind w:left="400" w:right="159" w:firstLine="348"/>
        <w:spacing w:after="0" w:line="264" w:lineRule="auto"/>
        <w:tabs>
          <w:tab w:leader="none" w:pos="1022" w:val="left"/>
        </w:tabs>
        <w:numPr>
          <w:ilvl w:val="1"/>
          <w:numId w:val="36"/>
        </w:numPr>
        <w:rPr>
          <w:rFonts w:ascii="Arial" w:cs="Arial" w:eastAsia="Arial" w:hAnsi="Arial"/>
          <w:sz w:val="18"/>
          <w:szCs w:val="18"/>
          <w:color w:val="auto"/>
        </w:rPr>
      </w:pPr>
      <w:r>
        <w:rPr>
          <w:rFonts w:ascii="Arial" w:cs="Arial" w:eastAsia="Arial" w:hAnsi="Arial"/>
          <w:sz w:val="18"/>
          <w:szCs w:val="18"/>
          <w:color w:val="auto"/>
        </w:rPr>
        <w:t>On the last day of the thirty-day period commencing on the date on which the optionee ceases to be a member of the Board, for any reason other than the death or permanent disability of the optionee or his resignation after five years of service;</w:t>
      </w:r>
    </w:p>
    <w:p>
      <w:pPr>
        <w:spacing w:after="0" w:line="140" w:lineRule="exact"/>
        <w:rPr>
          <w:rFonts w:ascii="Arial" w:cs="Arial" w:eastAsia="Arial" w:hAnsi="Arial"/>
          <w:sz w:val="18"/>
          <w:szCs w:val="18"/>
          <w:color w:val="auto"/>
        </w:rPr>
      </w:pPr>
    </w:p>
    <w:p>
      <w:pPr>
        <w:ind w:left="400" w:right="179" w:firstLine="348"/>
        <w:spacing w:after="0" w:line="277" w:lineRule="auto"/>
        <w:tabs>
          <w:tab w:leader="none" w:pos="1014" w:val="left"/>
        </w:tabs>
        <w:numPr>
          <w:ilvl w:val="1"/>
          <w:numId w:val="36"/>
        </w:numPr>
        <w:rPr>
          <w:rFonts w:ascii="Arial" w:cs="Arial" w:eastAsia="Arial" w:hAnsi="Arial"/>
          <w:sz w:val="18"/>
          <w:szCs w:val="18"/>
          <w:color w:val="auto"/>
        </w:rPr>
      </w:pPr>
      <w:r>
        <w:rPr>
          <w:rFonts w:ascii="Arial" w:cs="Arial" w:eastAsia="Arial" w:hAnsi="Arial"/>
          <w:sz w:val="18"/>
          <w:szCs w:val="18"/>
          <w:color w:val="auto"/>
        </w:rPr>
        <w:t>On the last day of the one-year period commencing on the date on which the optionee ceases to be a member of the Board because of permanent disability;</w:t>
      </w:r>
    </w:p>
    <w:p>
      <w:pPr>
        <w:spacing w:after="0" w:line="129" w:lineRule="exact"/>
        <w:rPr>
          <w:rFonts w:ascii="Arial" w:cs="Arial" w:eastAsia="Arial" w:hAnsi="Arial"/>
          <w:sz w:val="18"/>
          <w:szCs w:val="18"/>
          <w:color w:val="auto"/>
        </w:rPr>
      </w:pPr>
    </w:p>
    <w:p>
      <w:pPr>
        <w:jc w:val="both"/>
        <w:ind w:left="400" w:right="179" w:firstLine="348"/>
        <w:spacing w:after="0" w:line="257" w:lineRule="auto"/>
        <w:tabs>
          <w:tab w:leader="none" w:pos="1019" w:val="left"/>
        </w:tabs>
        <w:numPr>
          <w:ilvl w:val="1"/>
          <w:numId w:val="36"/>
        </w:numPr>
        <w:rPr>
          <w:rFonts w:ascii="Arial" w:cs="Arial" w:eastAsia="Arial" w:hAnsi="Arial"/>
          <w:sz w:val="18"/>
          <w:szCs w:val="18"/>
          <w:color w:val="auto"/>
        </w:rPr>
      </w:pPr>
      <w:r>
        <w:rPr>
          <w:rFonts w:ascii="Arial" w:cs="Arial" w:eastAsia="Arial" w:hAnsi="Arial"/>
          <w:sz w:val="18"/>
          <w:szCs w:val="18"/>
          <w:color w:val="auto"/>
        </w:rPr>
        <w:t>On the last day of the one-year period commencing on the date of the optionee’s death while serving as a member of the Board (during which period the executor or administrator of the optionee’s estate or the person or persons to whom the optionee’s Option shall have been transferred by will or the laws of descent or distribution, shall be entitled to exercise the Option in respect of the number of shares that the optionee would have been entitled to purchase had the optionee exercised the Option on the date of his death);</w:t>
      </w:r>
    </w:p>
    <w:p>
      <w:pPr>
        <w:spacing w:after="0" w:line="161" w:lineRule="exact"/>
        <w:rPr>
          <w:rFonts w:ascii="Arial" w:cs="Arial" w:eastAsia="Arial" w:hAnsi="Arial"/>
          <w:sz w:val="18"/>
          <w:szCs w:val="18"/>
          <w:color w:val="auto"/>
        </w:rPr>
      </w:pPr>
    </w:p>
    <w:p>
      <w:pPr>
        <w:ind w:left="400" w:right="179" w:firstLine="348"/>
        <w:spacing w:after="0" w:line="277" w:lineRule="auto"/>
        <w:tabs>
          <w:tab w:leader="none" w:pos="1034" w:val="left"/>
        </w:tabs>
        <w:numPr>
          <w:ilvl w:val="1"/>
          <w:numId w:val="36"/>
        </w:numPr>
        <w:rPr>
          <w:rFonts w:ascii="Arial" w:cs="Arial" w:eastAsia="Arial" w:hAnsi="Arial"/>
          <w:sz w:val="18"/>
          <w:szCs w:val="18"/>
          <w:color w:val="auto"/>
        </w:rPr>
      </w:pPr>
      <w:r>
        <w:rPr>
          <w:rFonts w:ascii="Arial" w:cs="Arial" w:eastAsia="Arial" w:hAnsi="Arial"/>
          <w:sz w:val="18"/>
          <w:szCs w:val="18"/>
          <w:color w:val="auto"/>
        </w:rPr>
        <w:t>On the last day of the one-year period commencing on the date an optionee who has had at least five years of service on the Board resigns from the Board; and</w:t>
      </w:r>
    </w:p>
    <w:p>
      <w:pPr>
        <w:spacing w:after="0" w:line="129" w:lineRule="exact"/>
        <w:rPr>
          <w:rFonts w:ascii="Arial" w:cs="Arial" w:eastAsia="Arial" w:hAnsi="Arial"/>
          <w:sz w:val="18"/>
          <w:szCs w:val="18"/>
          <w:color w:val="auto"/>
        </w:rPr>
      </w:pPr>
    </w:p>
    <w:p>
      <w:pPr>
        <w:ind w:left="1000" w:hanging="252"/>
        <w:spacing w:after="0"/>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Ten years after the date of grant of such Option.</w:t>
      </w:r>
    </w:p>
    <w:p>
      <w:pPr>
        <w:spacing w:after="0" w:line="185" w:lineRule="exact"/>
        <w:rPr>
          <w:sz w:val="20"/>
          <w:szCs w:val="20"/>
          <w:color w:val="auto"/>
        </w:rPr>
      </w:pPr>
    </w:p>
    <w:p>
      <w:pPr>
        <w:ind w:right="179" w:firstLine="373"/>
        <w:spacing w:after="0" w:line="277" w:lineRule="auto"/>
        <w:rPr>
          <w:sz w:val="20"/>
          <w:szCs w:val="20"/>
          <w:color w:val="auto"/>
        </w:rPr>
      </w:pPr>
      <w:r>
        <w:rPr>
          <w:rFonts w:ascii="Arial" w:cs="Arial" w:eastAsia="Arial" w:hAnsi="Arial"/>
          <w:sz w:val="18"/>
          <w:szCs w:val="18"/>
          <w:color w:val="auto"/>
        </w:rPr>
        <w:t>Unless otherwise specifically provided in an Award agreement, for purposes of this paragraph (g), “permanent disability” means permanent and total disability within the meaning of section 22(e)(3) of the Internal Revenue Code.</w:t>
      </w:r>
    </w:p>
    <w:p>
      <w:pPr>
        <w:spacing w:after="0" w:line="143" w:lineRule="exact"/>
        <w:rPr>
          <w:sz w:val="20"/>
          <w:szCs w:val="20"/>
          <w:color w:val="auto"/>
        </w:rPr>
      </w:pPr>
    </w:p>
    <w:p>
      <w:pPr>
        <w:jc w:val="both"/>
        <w:ind w:right="159" w:firstLine="374"/>
        <w:spacing w:after="0" w:line="259" w:lineRule="auto"/>
        <w:tabs>
          <w:tab w:leader="none" w:pos="642"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No Rights as Shareholder</w:t>
      </w:r>
      <w:r>
        <w:rPr>
          <w:rFonts w:ascii="Arial" w:cs="Arial" w:eastAsia="Arial" w:hAnsi="Arial"/>
          <w:sz w:val="18"/>
          <w:szCs w:val="18"/>
          <w:color w:val="auto"/>
        </w:rPr>
        <w:t>. No optionee shall have rights as a shareholder with respect to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covered by an Option until shares are issued to the optionee upon the exercise of such Option; and, except as otherwise provided in Section 8 hereof, no adjustment for dividends, or otherwise, shall be made if the record date therefor is prior to the date of issuance of such shares.</w:t>
      </w:r>
    </w:p>
    <w:p>
      <w:pPr>
        <w:spacing w:after="0" w:line="146" w:lineRule="exact"/>
        <w:rPr>
          <w:rFonts w:ascii="Arial" w:cs="Arial" w:eastAsia="Arial" w:hAnsi="Arial"/>
          <w:sz w:val="18"/>
          <w:szCs w:val="18"/>
          <w:color w:val="auto"/>
        </w:rPr>
      </w:pPr>
    </w:p>
    <w:p>
      <w:pPr>
        <w:ind w:left="180" w:hanging="179"/>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Stock Awards.</w:t>
      </w:r>
    </w:p>
    <w:p>
      <w:pPr>
        <w:spacing w:after="0" w:line="184" w:lineRule="exact"/>
        <w:rPr>
          <w:rFonts w:ascii="Arial" w:cs="Arial" w:eastAsia="Arial" w:hAnsi="Arial"/>
          <w:sz w:val="18"/>
          <w:szCs w:val="18"/>
          <w:color w:val="auto"/>
        </w:rPr>
      </w:pPr>
    </w:p>
    <w:p>
      <w:pPr>
        <w:jc w:val="both"/>
        <w:ind w:right="179" w:firstLine="374"/>
        <w:spacing w:after="0" w:line="259" w:lineRule="auto"/>
        <w:tabs>
          <w:tab w:leader="none" w:pos="618"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Grant of a Stock Award</w:t>
      </w:r>
      <w:r>
        <w:rPr>
          <w:rFonts w:ascii="Arial" w:cs="Arial" w:eastAsia="Arial" w:hAnsi="Arial"/>
          <w:sz w:val="18"/>
          <w:szCs w:val="18"/>
          <w:color w:val="auto"/>
        </w:rPr>
        <w:t>. Subject to the terms and provisions of the Plan, the Committee, at any time and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may grant a Stock Award in the form of an outright grant of shares of Common Stock or in the form of restricted stock (“Restricted Stock Awards”) to a Non-Employee Director in such amounts as the Committee shall determine, in its sole and absolute discretion.</w:t>
      </w:r>
    </w:p>
    <w:p>
      <w:pPr>
        <w:spacing w:after="0" w:line="159" w:lineRule="exact"/>
        <w:rPr>
          <w:rFonts w:ascii="Arial" w:cs="Arial" w:eastAsia="Arial" w:hAnsi="Arial"/>
          <w:sz w:val="18"/>
          <w:szCs w:val="18"/>
          <w:color w:val="auto"/>
        </w:rPr>
      </w:pPr>
    </w:p>
    <w:p>
      <w:pPr>
        <w:jc w:val="both"/>
        <w:ind w:right="159" w:firstLine="374"/>
        <w:spacing w:after="0" w:line="293" w:lineRule="auto"/>
        <w:tabs>
          <w:tab w:leader="none" w:pos="642"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Award Restrictions</w:t>
      </w:r>
      <w:r>
        <w:rPr>
          <w:rFonts w:ascii="Arial" w:cs="Arial" w:eastAsia="Arial" w:hAnsi="Arial"/>
          <w:sz w:val="16"/>
          <w:szCs w:val="16"/>
          <w:color w:val="auto"/>
        </w:rPr>
        <w:t>. The Committee may impose such terms, conditions, and/or restrictions as the Committee deems</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on any Restricted Stock Award. Such terms, conditions, and/or restrictions may include, but not be limited to, the requirement that a Non-Employee Director pay a purchase price for each share of Common Stock subject to the Award, restrictions on transferability, requirements regarding continued service as a member of the Board or other time-based restrictions, or the achievement of individual performance goals or attainment of pre-established performance targets. The period of vesting and the lapsing of any applicable forfeiture restrictions shall be established by the Committee at the time of grant.</w:t>
      </w:r>
    </w:p>
    <w:p>
      <w:pPr>
        <w:spacing w:after="0" w:line="200" w:lineRule="exact"/>
        <w:rPr>
          <w:rFonts w:ascii="Arial" w:cs="Arial" w:eastAsia="Arial" w:hAnsi="Arial"/>
          <w:sz w:val="16"/>
          <w:szCs w:val="16"/>
          <w:color w:val="auto"/>
        </w:rPr>
      </w:pPr>
    </w:p>
    <w:p>
      <w:pPr>
        <w:spacing w:after="0" w:line="316" w:lineRule="exact"/>
        <w:rPr>
          <w:rFonts w:ascii="Arial" w:cs="Arial" w:eastAsia="Arial" w:hAnsi="Arial"/>
          <w:sz w:val="16"/>
          <w:szCs w:val="16"/>
          <w:color w:val="auto"/>
        </w:rPr>
      </w:pPr>
    </w:p>
    <w:p>
      <w:pPr>
        <w:ind w:left="4420" w:hanging="96"/>
        <w:spacing w:after="0"/>
        <w:tabs>
          <w:tab w:leader="none" w:pos="44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9"/>
          </w:cols>
          <w:pgMar w:left="960" w:top="935" w:right="1440" w:bottom="1440" w:gutter="0" w:footer="0" w:header="0"/>
        </w:sectPr>
      </w:pPr>
    </w:p>
    <w:bookmarkStart w:id="86" w:name="page87"/>
    <w:bookmarkEnd w:id="86"/>
    <w:p>
      <w:pPr>
        <w:jc w:val="both"/>
        <w:ind w:left="-1" w:right="159" w:firstLine="374"/>
        <w:spacing w:after="0" w:line="289" w:lineRule="auto"/>
        <w:tabs>
          <w:tab w:leader="none" w:pos="630"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Except as may otherwise be provided by the Committee or the terms of any Restricted Stock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shares subject to a Restricted Stock Award shall generally not be transferable until all forfeiture restrictions applicable to such Restricted Stock Award have lapsed or, in the sole and absolute discretion of the Committee, cancelled. Once the forfeiture restrictions have lapsed or been cancelled, the shares of Common Stock that were subject to the Restricted Stock Award shall, subject to any restrictions under applicable securities laws, become freely transferable. Any Restricted Stock Award granted under the Plan may be evidenced in such manner as the Committee deems appropriate, including, without limitation, book entry registration or issuance of a stock certificate or certificates. The Company may retain the certificates, if any, representing the shares of Common Stock that are subject to a Restricted Stock Award in the Company’s possession until such time as all conditions and/or restrictions applicable to such shares of Common Stock have been satisfied.</w:t>
      </w:r>
    </w:p>
    <w:p>
      <w:pPr>
        <w:spacing w:after="0" w:line="139" w:lineRule="exact"/>
        <w:rPr>
          <w:rFonts w:ascii="Arial" w:cs="Arial" w:eastAsia="Arial" w:hAnsi="Arial"/>
          <w:sz w:val="16"/>
          <w:szCs w:val="16"/>
          <w:color w:val="auto"/>
        </w:rPr>
      </w:pPr>
    </w:p>
    <w:p>
      <w:pPr>
        <w:jc w:val="both"/>
        <w:ind w:left="-1" w:right="159" w:firstLine="374"/>
        <w:spacing w:after="0" w:line="279" w:lineRule="auto"/>
        <w:tabs>
          <w:tab w:leader="none" w:pos="641"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Rights as Shareholders</w:t>
      </w:r>
      <w:r>
        <w:rPr>
          <w:rFonts w:ascii="Arial" w:cs="Arial" w:eastAsia="Arial" w:hAnsi="Arial"/>
          <w:sz w:val="17"/>
          <w:szCs w:val="17"/>
          <w:color w:val="auto"/>
        </w:rPr>
        <w:t>. During the period in which any restricted shares of Common Stock are subject to forfeiture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imposed under paragraph (b) of this Section 5, the Committee may, in its sole discretion, grant to the Non-Employee Director to whom such restricted shares have been awarded, all or any of the rights of a shareholder with respect to such shares, including, but not limited to, the right to vote such shares and to receive dividends.</w:t>
      </w:r>
    </w:p>
    <w:p>
      <w:pPr>
        <w:spacing w:after="0" w:line="130" w:lineRule="exact"/>
        <w:rPr>
          <w:rFonts w:ascii="Arial" w:cs="Arial" w:eastAsia="Arial" w:hAnsi="Arial"/>
          <w:sz w:val="17"/>
          <w:szCs w:val="17"/>
          <w:color w:val="auto"/>
        </w:rPr>
      </w:pPr>
    </w:p>
    <w:p>
      <w:pPr>
        <w:jc w:val="both"/>
        <w:ind w:left="-381" w:right="159" w:firstLine="381"/>
        <w:spacing w:after="0" w:line="257" w:lineRule="auto"/>
        <w:tabs>
          <w:tab w:leader="none" w:pos="20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Written Agreement</w:t>
      </w:r>
      <w:r>
        <w:rPr>
          <w:rFonts w:ascii="Arial" w:cs="Arial" w:eastAsia="Arial" w:hAnsi="Arial"/>
          <w:sz w:val="18"/>
          <w:szCs w:val="18"/>
          <w:color w:val="auto"/>
        </w:rPr>
        <w:t>. Each Option or Stock Award granted hereunder shall be, to the extent necessary, embodied in a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Award agreement, which shall be subject to the terms and conditions of this Plan, as applicable, and shall be signed by the Non-Employee Director and by the appropriate officer of the Company for and in the name and on behalf of the Company. Such an Award agreement shall contain the specific terms applicable to the Non-Employee Director’s Award and shall contain such other provisions as the Committee in its sole discretion shall deem advisable.</w:t>
      </w:r>
    </w:p>
    <w:p>
      <w:pPr>
        <w:spacing w:after="0" w:line="147" w:lineRule="exact"/>
        <w:rPr>
          <w:rFonts w:ascii="Arial" w:cs="Arial" w:eastAsia="Arial" w:hAnsi="Arial"/>
          <w:sz w:val="18"/>
          <w:szCs w:val="18"/>
          <w:color w:val="auto"/>
        </w:rPr>
      </w:pPr>
    </w:p>
    <w:p>
      <w:pPr>
        <w:jc w:val="both"/>
        <w:ind w:left="-381" w:right="159" w:firstLine="381"/>
        <w:spacing w:after="0" w:line="287" w:lineRule="auto"/>
        <w:tabs>
          <w:tab w:leader="none" w:pos="188"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Requirements of Law</w:t>
      </w:r>
      <w:r>
        <w:rPr>
          <w:rFonts w:ascii="Arial" w:cs="Arial" w:eastAsia="Arial" w:hAnsi="Arial"/>
          <w:sz w:val="16"/>
          <w:szCs w:val="16"/>
          <w:color w:val="auto"/>
        </w:rPr>
        <w:t>. The Company shall not be required to sell or issue any shares under any Option or Stock Award if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such shares shall constitute a violation by the Non-Employee Director or the Company of any provisions of any law or regulation of any governmental authority. Each Option and Stock Award granted under the Plan shall be subject to the requirement that, if at any time the Board or the Committee shall determine that the listing, registration or qualification of the shares subject thereto upon any securities exchange or under any state or federal law of the United States or of any other country or governmental subdivision thereof, or the consent or approval of any governmental regulatory body, or investment or other representations, are necessary or desirable in connection with the issue or purchase of shares subject thereto, no such Option or Stock Award may be exercised in whole or in part unless such listing, registration, qualification, consent, approval or representation shall have been effected or obtained free of any conditions not acceptable to the Board. If required at any time by the Board or the Committee, an Option may not be exercised and any restrictions applicable to a Stock Award shall not lapse until the Non-Employee Director has delivered an investment letter to the Company. In addition, specifically in connection with the Securities Act of 1933 (as now in effect</w:t>
      </w:r>
    </w:p>
    <w:p>
      <w:pPr>
        <w:spacing w:after="0" w:line="200" w:lineRule="exact"/>
        <w:rPr>
          <w:rFonts w:ascii="Arial" w:cs="Arial" w:eastAsia="Arial" w:hAnsi="Arial"/>
          <w:sz w:val="16"/>
          <w:szCs w:val="16"/>
          <w:color w:val="auto"/>
        </w:rPr>
      </w:pPr>
    </w:p>
    <w:p>
      <w:pPr>
        <w:spacing w:after="0" w:line="337" w:lineRule="exact"/>
        <w:rPr>
          <w:rFonts w:ascii="Arial" w:cs="Arial" w:eastAsia="Arial" w:hAnsi="Arial"/>
          <w:sz w:val="16"/>
          <w:szCs w:val="16"/>
          <w:color w:val="auto"/>
        </w:rPr>
      </w:pPr>
    </w:p>
    <w:p>
      <w:pPr>
        <w:ind w:left="4419" w:hanging="96"/>
        <w:spacing w:after="0"/>
        <w:tabs>
          <w:tab w:leader="none" w:pos="4419" w:val="left"/>
        </w:tabs>
        <w:numPr>
          <w:ilvl w:val="2"/>
          <w:numId w:val="40"/>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8"/>
          </w:cols>
          <w:pgMar w:left="961" w:top="936" w:right="1440" w:bottom="1440" w:gutter="0" w:footer="0" w:header="0"/>
        </w:sectPr>
      </w:pPr>
    </w:p>
    <w:bookmarkStart w:id="87" w:name="page88"/>
    <w:bookmarkEnd w:id="87"/>
    <w:p>
      <w:pPr>
        <w:jc w:val="both"/>
        <w:ind w:right="159"/>
        <w:spacing w:after="0" w:line="254" w:lineRule="auto"/>
        <w:rPr>
          <w:sz w:val="20"/>
          <w:szCs w:val="20"/>
          <w:color w:val="auto"/>
        </w:rPr>
      </w:pPr>
      <w:r>
        <w:rPr>
          <w:rFonts w:ascii="Arial" w:cs="Arial" w:eastAsia="Arial" w:hAnsi="Arial"/>
          <w:sz w:val="18"/>
          <w:szCs w:val="18"/>
          <w:color w:val="auto"/>
        </w:rPr>
        <w:t>or hereafter amended), upon exercise of any Option, or the lapsing of any restrictions applicable to a Stock Award, the Company shall not be required to issue the underlying shares unless the Committee has received evidence satisfactory to it to the effect that the holder of such Award will not transfer such shares except pursuant to a registration statement in effect under such Act or unless an opinion of counsel satisfactory to the Company has been received by the Committee to the effect that such registration is not required. Any determination in this regard by the Committee shall be final, binding and conclusive. In the event the shares issuable on exercise of an Option or Stock Award are not registered under the Securities Act of 1933, the Company may imprint on the certificate for such shares the following legend or any other legend which counsel for the Company considers necessary or advisable to comply with the Securities Act of 1933:</w:t>
      </w:r>
    </w:p>
    <w:p>
      <w:pPr>
        <w:spacing w:after="0" w:line="165" w:lineRule="exact"/>
        <w:rPr>
          <w:sz w:val="20"/>
          <w:szCs w:val="20"/>
          <w:color w:val="auto"/>
        </w:rPr>
      </w:pPr>
    </w:p>
    <w:p>
      <w:pPr>
        <w:jc w:val="both"/>
        <w:ind w:left="380" w:right="159"/>
        <w:spacing w:after="0" w:line="259" w:lineRule="auto"/>
        <w:rPr>
          <w:sz w:val="20"/>
          <w:szCs w:val="20"/>
          <w:color w:val="auto"/>
        </w:rPr>
      </w:pPr>
      <w:r>
        <w:rPr>
          <w:rFonts w:ascii="Arial" w:cs="Arial" w:eastAsia="Arial" w:hAnsi="Arial"/>
          <w:sz w:val="18"/>
          <w:szCs w:val="18"/>
          <w:color w:val="auto"/>
        </w:rPr>
        <w:t>The shares of stock represented by this certificate have not been registered under the Securities Act of 1933 or under the securities laws of any state and may not be sold or transferred except upon such registration or upon receipt by Rush Enterprises, Inc., a Texas corporation (the “Corporation”) of an opinion of counsel satisfactory, in form and substance, to the Corporation that registration is not required for such sale or transfer.</w:t>
      </w:r>
    </w:p>
    <w:p>
      <w:pPr>
        <w:spacing w:after="0" w:line="146" w:lineRule="exact"/>
        <w:rPr>
          <w:sz w:val="20"/>
          <w:szCs w:val="20"/>
          <w:color w:val="auto"/>
        </w:rPr>
      </w:pPr>
    </w:p>
    <w:p>
      <w:pPr>
        <w:jc w:val="both"/>
        <w:ind w:right="159" w:firstLine="389"/>
        <w:spacing w:after="0" w:line="257" w:lineRule="auto"/>
        <w:rPr>
          <w:sz w:val="20"/>
          <w:szCs w:val="20"/>
          <w:color w:val="auto"/>
        </w:rPr>
      </w:pPr>
      <w:r>
        <w:rPr>
          <w:rFonts w:ascii="Arial" w:cs="Arial" w:eastAsia="Arial" w:hAnsi="Arial"/>
          <w:sz w:val="18"/>
          <w:szCs w:val="18"/>
          <w:color w:val="auto"/>
        </w:rPr>
        <w:t>The Company may, but shall in no event be obligated to, register any securities covered hereby pursuant to the Securities Act of 1933 (as now in effect or as hereafter amended) and, in the event any shares are so registered, the Company may remove any legend on certificates representing such shares. The Company shall not be obligated to take any other affirmative action in order to cause the exercise of an Option or the issuance of shares pursuant thereto, or pursuant to the terms of a Stock Award to comply with any law or regulation of any governmental authority.</w:t>
      </w:r>
    </w:p>
    <w:p>
      <w:pPr>
        <w:spacing w:after="0" w:line="148" w:lineRule="exact"/>
        <w:rPr>
          <w:sz w:val="20"/>
          <w:szCs w:val="20"/>
          <w:color w:val="auto"/>
        </w:rPr>
      </w:pPr>
    </w:p>
    <w:p>
      <w:pPr>
        <w:jc w:val="both"/>
        <w:ind w:right="159" w:firstLine="381"/>
        <w:spacing w:after="0" w:line="287" w:lineRule="auto"/>
        <w:tabs>
          <w:tab w:leader="none" w:pos="569"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Changes in the Company’s Capital Structure</w:t>
      </w:r>
      <w:r>
        <w:rPr>
          <w:rFonts w:ascii="Arial" w:cs="Arial" w:eastAsia="Arial" w:hAnsi="Arial"/>
          <w:sz w:val="16"/>
          <w:szCs w:val="16"/>
          <w:color w:val="auto"/>
        </w:rPr>
        <w:t>. In the event of any stock dividends, stock splits, recapitalizations, combinations,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exchanges of shares, mergers, consolidation, liquidations, split-ups, split-offs, spin-offs, or other similar changes in capitalization, or any distribution to shareholders, including a rights offering, other than regular cash dividends, changes in the outstanding stock of the Company by reason of any increase or decrease in the number of issued shares of Common Stock resulting from a split-up or consolidation of shares or any similar capital adjustment or the payment of any stock dividend, any share repurchase at a price in excess of the market price of the Common Stock at the time such repurchase is announced or other increase or decrease in the number of such shares, the Committee shall make appropriate adjustment (a) in the aggregate number and kind of shares authorized by the Plan and (b) in the number, kind and price, as applicable, of any outstanding Awards granted under the Plan (or, if deemed appropriate, the Committee may, where applicable, make provision for a payment of cash or property to the holder in cancellation of an outstanding Award with respect to which Common Stock has not been previously issued); provided, however, that no such adjustment shall increase the aggregate value of any outstanding Option or Stock Award.</w:t>
      </w:r>
    </w:p>
    <w:p>
      <w:pPr>
        <w:spacing w:after="0" w:line="146" w:lineRule="exact"/>
        <w:rPr>
          <w:sz w:val="20"/>
          <w:szCs w:val="20"/>
          <w:color w:val="auto"/>
        </w:rPr>
      </w:pPr>
    </w:p>
    <w:p>
      <w:pPr>
        <w:ind w:right="159" w:firstLine="389"/>
        <w:spacing w:after="0" w:line="308" w:lineRule="auto"/>
        <w:rPr>
          <w:sz w:val="20"/>
          <w:szCs w:val="20"/>
          <w:color w:val="auto"/>
        </w:rPr>
      </w:pPr>
      <w:r>
        <w:rPr>
          <w:rFonts w:ascii="Arial" w:cs="Arial" w:eastAsia="Arial" w:hAnsi="Arial"/>
          <w:sz w:val="17"/>
          <w:szCs w:val="17"/>
          <w:color w:val="auto"/>
        </w:rPr>
        <w:t>In the event of any adjustment in the number of shares covered by any Award, any fractional shares resulting from such adjustment shall be disregarded and each such Award shall cover only the number of full shares resulting from such adjustment.</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88" w:name="page89"/>
    <w:bookmarkEnd w:id="88"/>
    <w:p>
      <w:pPr>
        <w:jc w:val="both"/>
        <w:ind w:left="-381" w:right="159" w:firstLine="381"/>
        <w:spacing w:after="0" w:line="287" w:lineRule="auto"/>
        <w:tabs>
          <w:tab w:leader="none" w:pos="201"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Amendment or Termination of Plan</w:t>
      </w:r>
      <w:r>
        <w:rPr>
          <w:rFonts w:ascii="Arial" w:cs="Arial" w:eastAsia="Arial" w:hAnsi="Arial"/>
          <w:sz w:val="16"/>
          <w:szCs w:val="16"/>
          <w:color w:val="auto"/>
        </w:rPr>
        <w:t>. The Board may at any time and from time to time modify, revise or amend the Plan in</w:t>
      </w:r>
      <w:r>
        <w:rPr>
          <w:rFonts w:ascii="Arial" w:cs="Arial" w:eastAsia="Arial" w:hAnsi="Arial"/>
          <w:sz w:val="16"/>
          <w:szCs w:val="16"/>
          <w:i w:val="1"/>
          <w:iCs w:val="1"/>
          <w:color w:val="auto"/>
        </w:rPr>
        <w:t xml:space="preserve"> </w:t>
      </w:r>
      <w:r>
        <w:rPr>
          <w:rFonts w:ascii="Arial" w:cs="Arial" w:eastAsia="Arial" w:hAnsi="Arial"/>
          <w:sz w:val="16"/>
          <w:szCs w:val="16"/>
          <w:color w:val="auto"/>
        </w:rPr>
        <w:t>such respects as the Board may deem advisable in order that Options or Stock Awards granted hereunder may conform to any changes in the law or in any other respect that the Board may deem to be in the best interests of the Company; provided, however, that without approval by the shareholders of the Company, no such amendment shall make any change in the Plan for which shareholder approval is required in order to comply with any rules for listed companies promulgated by any national securities exchange on which the Common Stock is traded or any other applicable rule or law. All Options and Stock Awards granted under the Plan shall be subject to the terms and provisions of the Plan and, except as otherwise provided in the Plan, any amendment, modification or revision of the Plan shall be deemed to amend, modify or revise all Options and Stock Awards outstanding under the Plan at the time of the amendment, modification or revision. The Board may terminate the Plan at any time. The rights of any Non-Employee Director with respect to any Award granted under the Plan that is outstanding at the time of the termination of the Plan shall not be affected solely by reason of the termination of the Plan and shall continue in accordance with the terms of the Award and of the Plan.</w:t>
      </w:r>
    </w:p>
    <w:p>
      <w:pPr>
        <w:spacing w:after="0" w:line="145" w:lineRule="exact"/>
        <w:rPr>
          <w:rFonts w:ascii="Arial" w:cs="Arial" w:eastAsia="Arial" w:hAnsi="Arial"/>
          <w:sz w:val="16"/>
          <w:szCs w:val="16"/>
          <w:color w:val="auto"/>
        </w:rPr>
      </w:pPr>
    </w:p>
    <w:p>
      <w:pPr>
        <w:jc w:val="both"/>
        <w:ind w:left="-381" w:right="159" w:firstLine="381"/>
        <w:spacing w:after="0" w:line="285" w:lineRule="auto"/>
        <w:tabs>
          <w:tab w:leader="none" w:pos="278"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Indemnification of Committee</w:t>
      </w:r>
      <w:r>
        <w:rPr>
          <w:rFonts w:ascii="Arial" w:cs="Arial" w:eastAsia="Arial" w:hAnsi="Arial"/>
          <w:sz w:val="16"/>
          <w:szCs w:val="16"/>
          <w:color w:val="auto"/>
        </w:rPr>
        <w:t>. The Company shall indemnify each present and future member of the Committee against any</w:t>
      </w:r>
      <w:r>
        <w:rPr>
          <w:rFonts w:ascii="Arial" w:cs="Arial" w:eastAsia="Arial" w:hAnsi="Arial"/>
          <w:sz w:val="16"/>
          <w:szCs w:val="16"/>
          <w:i w:val="1"/>
          <w:iCs w:val="1"/>
          <w:color w:val="auto"/>
        </w:rPr>
        <w:t xml:space="preserve"> </w:t>
      </w:r>
      <w:r>
        <w:rPr>
          <w:rFonts w:ascii="Arial" w:cs="Arial" w:eastAsia="Arial" w:hAnsi="Arial"/>
          <w:sz w:val="16"/>
          <w:szCs w:val="16"/>
          <w:color w:val="auto"/>
        </w:rPr>
        <w:t>action, suit or proceeding in which he may be involved by reason of his being or having been a member of the Committee. Each member of the Committee shall be entitled, without further act on his part, to indemnity from the Company for all expenses (including the amount of judgments and the amount of approved settlements made with a view to the curtailment of costs of litigation, other than amounts paid to the Company itself) reasonably incurred by him in connection with or arising out of any action, suit or proceeding in which he may be involved by reason of his being or having been a member of the Committee, whether or not he continues to be such member of the Committee at the time of incurring such expenses. Such indemnity, however, shall not include any expenses incurred by any such member of the Committee (i) in respect of matters as to which he shall be finally adjudged in any such action, suit or proceeding to have been guilty of gross negligence or willful misconduct in the performance of his duty as such member of the Committee, or (ii) in respect of any matter in which any settlement is effected, to an amount in excess of the amount approved by the Company on the advice of its legal counsel. No right of indemnification under the provisions set forth herein shall be available to or enforceable by any such member of the Committee unless, within sixty (60) days after institution of any such action, suit or proceeding, he shall have offered the Company, in writing, the opportunity to handle and defend same at its own expense. The foregoing right of indemnification shall inure to the benefit of the heirs, executors or administrators of each such member of the Committee and shall be in addition to all other rights to which such member of the Committee may be entitled to as a matter of law, contract, or otherwise. Nothing in this Section 10 shall be construed to limit or otherwise affect any right to indemnification, or payment of expense, or any provisions limiting the liability of any officer or director of the Company or any member of the Committee, provided by law, the Articles of Incorporation of the Company or otherwise.</w:t>
      </w:r>
    </w:p>
    <w:p>
      <w:pPr>
        <w:spacing w:after="0" w:line="346" w:lineRule="exact"/>
        <w:rPr>
          <w:rFonts w:ascii="Arial" w:cs="Arial" w:eastAsia="Arial" w:hAnsi="Arial"/>
          <w:sz w:val="16"/>
          <w:szCs w:val="16"/>
          <w:color w:val="auto"/>
        </w:rPr>
      </w:pPr>
    </w:p>
    <w:p>
      <w:pPr>
        <w:ind w:left="-381" w:right="159" w:firstLine="381"/>
        <w:spacing w:after="0" w:line="282" w:lineRule="auto"/>
        <w:tabs>
          <w:tab w:leader="none" w:pos="271"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Effective Date of Plan</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as amended and restated shall become effective upon its approval by the shareholders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200" w:lineRule="exact"/>
        <w:rPr>
          <w:rFonts w:ascii="Arial" w:cs="Arial" w:eastAsia="Arial" w:hAnsi="Arial"/>
          <w:sz w:val="18"/>
          <w:szCs w:val="18"/>
          <w:color w:val="auto"/>
        </w:rPr>
      </w:pPr>
    </w:p>
    <w:p>
      <w:pPr>
        <w:spacing w:after="0" w:line="330" w:lineRule="exact"/>
        <w:rPr>
          <w:rFonts w:ascii="Arial" w:cs="Arial" w:eastAsia="Arial" w:hAnsi="Arial"/>
          <w:sz w:val="18"/>
          <w:szCs w:val="18"/>
          <w:color w:val="auto"/>
        </w:rPr>
      </w:pPr>
    </w:p>
    <w:p>
      <w:pPr>
        <w:ind w:left="4419" w:hanging="96"/>
        <w:spacing w:after="0"/>
        <w:tabs>
          <w:tab w:leader="none" w:pos="4419" w:val="left"/>
        </w:tabs>
        <w:numPr>
          <w:ilvl w:val="1"/>
          <w:numId w:val="42"/>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9498"/>
          </w:cols>
          <w:pgMar w:left="961" w:top="935"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gridSpan w:val="2"/>
          </w:tcPr>
          <w:p>
            <w:pPr>
              <w:ind w:left="2900"/>
              <w:spacing w:after="0"/>
              <w:rPr>
                <w:sz w:val="20"/>
                <w:szCs w:val="20"/>
                <w:color w:val="auto"/>
              </w:rPr>
            </w:pPr>
            <w:r>
              <w:rPr>
                <w:rFonts w:ascii="Arial" w:cs="Arial" w:eastAsia="Arial" w:hAnsi="Arial"/>
                <w:sz w:val="18"/>
                <w:szCs w:val="18"/>
                <w:color w:val="auto"/>
                <w:w w:val="98"/>
              </w:rPr>
              <w:t>EXHIBIT 21.1</w:t>
            </w:r>
          </w:p>
        </w:tc>
      </w:tr>
      <w:tr>
        <w:trPr>
          <w:trHeight w:val="392"/>
        </w:trPr>
        <w:tc>
          <w:tcPr>
            <w:tcW w:w="3100" w:type="dxa"/>
            <w:vAlign w:val="bottom"/>
          </w:tcPr>
          <w:p>
            <w:pPr>
              <w:spacing w:after="0"/>
              <w:rPr>
                <w:sz w:val="24"/>
                <w:szCs w:val="24"/>
                <w:color w:val="auto"/>
              </w:rPr>
            </w:pPr>
          </w:p>
        </w:tc>
        <w:tc>
          <w:tcPr>
            <w:tcW w:w="6640" w:type="dxa"/>
            <w:vAlign w:val="bottom"/>
            <w:gridSpan w:val="6"/>
          </w:tcPr>
          <w:p>
            <w:pPr>
              <w:jc w:val="center"/>
              <w:ind w:right="3140"/>
              <w:spacing w:after="0"/>
              <w:rPr>
                <w:sz w:val="20"/>
                <w:szCs w:val="20"/>
                <w:color w:val="auto"/>
              </w:rPr>
            </w:pPr>
            <w:r>
              <w:rPr>
                <w:rFonts w:ascii="Arial" w:cs="Arial" w:eastAsia="Arial" w:hAnsi="Arial"/>
                <w:sz w:val="18"/>
                <w:szCs w:val="18"/>
                <w:color w:val="auto"/>
                <w:w w:val="96"/>
              </w:rPr>
              <w:t>SUBSIDIARIES OF THE COMPANY</w:t>
            </w:r>
          </w:p>
        </w:tc>
      </w:tr>
      <w:tr>
        <w:trPr>
          <w:trHeight w:val="418"/>
        </w:trPr>
        <w:tc>
          <w:tcPr>
            <w:tcW w:w="3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State of</w:t>
            </w:r>
          </w:p>
        </w:tc>
        <w:tc>
          <w:tcPr>
            <w:tcW w:w="1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Name</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Incorporation</w:t>
            </w:r>
          </w:p>
        </w:tc>
        <w:tc>
          <w:tcPr>
            <w:tcW w:w="100" w:type="dxa"/>
            <w:vAlign w:val="bottom"/>
          </w:tcPr>
          <w:p>
            <w:pPr>
              <w:spacing w:after="0"/>
              <w:rPr>
                <w:sz w:val="20"/>
                <w:szCs w:val="20"/>
                <w:color w:val="auto"/>
              </w:rPr>
            </w:pPr>
          </w:p>
        </w:tc>
        <w:tc>
          <w:tcPr>
            <w:tcW w:w="4000" w:type="dxa"/>
            <w:vAlign w:val="bottom"/>
            <w:gridSpan w:val="2"/>
          </w:tcPr>
          <w:p>
            <w:pPr>
              <w:ind w:left="260"/>
              <w:spacing w:after="0"/>
              <w:rPr>
                <w:sz w:val="20"/>
                <w:szCs w:val="20"/>
                <w:color w:val="auto"/>
              </w:rPr>
            </w:pPr>
            <w:r>
              <w:rPr>
                <w:rFonts w:ascii="Arial" w:cs="Arial" w:eastAsia="Arial" w:hAnsi="Arial"/>
                <w:sz w:val="18"/>
                <w:szCs w:val="18"/>
                <w:color w:val="auto"/>
                <w:w w:val="97"/>
              </w:rPr>
              <w:t>Names Under Which Subsidiary Does Business</w:t>
            </w:r>
          </w:p>
        </w:tc>
      </w:tr>
      <w:tr>
        <w:trPr>
          <w:trHeight w:val="195"/>
        </w:trPr>
        <w:tc>
          <w:tcPr>
            <w:tcW w:w="3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Rush Truck Centers of Alabama, Inc.</w:t>
            </w: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10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Rush Truck Center, Mobile</w:t>
            </w:r>
          </w:p>
        </w:tc>
        <w:tc>
          <w:tcPr>
            <w:tcW w:w="20" w:type="dxa"/>
            <w:vAlign w:val="bottom"/>
          </w:tcPr>
          <w:p>
            <w:pPr>
              <w:spacing w:after="0"/>
              <w:rPr>
                <w:sz w:val="16"/>
                <w:szCs w:val="16"/>
                <w:color w:val="auto"/>
              </w:rPr>
            </w:pPr>
          </w:p>
        </w:tc>
      </w:tr>
      <w:tr>
        <w:trPr>
          <w:trHeight w:val="230"/>
        </w:trPr>
        <w:tc>
          <w:tcPr>
            <w:tcW w:w="3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Mobile</w:t>
            </w: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Rush Truck Centers of Arizona, Inc.</w:t>
            </w:r>
          </w:p>
        </w:tc>
        <w:tc>
          <w:tcPr>
            <w:tcW w:w="86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Phoenix</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Phoenix</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Chandler</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Chandler</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Flagstaff</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Flagstaff</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Tucson</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Tucson</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Yuma</w:t>
            </w:r>
          </w:p>
        </w:tc>
      </w:tr>
      <w:tr>
        <w:trPr>
          <w:trHeight w:val="230"/>
        </w:trPr>
        <w:tc>
          <w:tcPr>
            <w:tcW w:w="3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Yuma</w:t>
            </w: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Rush Truck Centers of California, Inc.</w:t>
            </w:r>
          </w:p>
        </w:tc>
        <w:tc>
          <w:tcPr>
            <w:tcW w:w="86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Complete Rush Truck Centers</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Isuzu Trucks, Fontana</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Medium Duty Truck Center, Fontana</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Pico Rivera</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Pico Rivera</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Fontana</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w w:val="97"/>
              </w:rPr>
              <w:t>Rush Peterbilt Medium Duty Truck Center, Fontana</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Fontana</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Sylmar</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Sylmar</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Escondido</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Escondido</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San Diego</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San Diego</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San Luis Obispo</w:t>
            </w:r>
          </w:p>
        </w:tc>
      </w:tr>
      <w:tr>
        <w:trPr>
          <w:trHeight w:val="230"/>
        </w:trPr>
        <w:tc>
          <w:tcPr>
            <w:tcW w:w="3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San Luis Obispo</w:t>
            </w: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Rush Medium Duty Truck Centers of</w:t>
            </w:r>
          </w:p>
        </w:tc>
        <w:tc>
          <w:tcPr>
            <w:tcW w:w="86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Medium Duty Truck Center, Denver</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Colorado, Inc.</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Medium Duty Ford Trucks, Denver</w:t>
            </w:r>
          </w:p>
        </w:tc>
      </w:tr>
      <w:tr>
        <w:trPr>
          <w:trHeight w:val="230"/>
        </w:trPr>
        <w:tc>
          <w:tcPr>
            <w:tcW w:w="3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Isuzu Trucks, Denver</w:t>
            </w: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Rush Truck Centers of Colorado, Inc.</w:t>
            </w:r>
          </w:p>
        </w:tc>
        <w:tc>
          <w:tcPr>
            <w:tcW w:w="86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Centers, Inc.</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Denver</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Denver</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Greeley</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Greeley</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Pueblo</w:t>
            </w:r>
          </w:p>
        </w:tc>
      </w:tr>
      <w:tr>
        <w:trPr>
          <w:trHeight w:val="230"/>
        </w:trPr>
        <w:tc>
          <w:tcPr>
            <w:tcW w:w="3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Pueblo</w:t>
            </w: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Rush Truck Centers of Florida, Inc.</w:t>
            </w:r>
          </w:p>
        </w:tc>
        <w:tc>
          <w:tcPr>
            <w:tcW w:w="86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Isuzu Trucks, Orlando</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Orlando</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Winter Garden</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Peterbilt Truck Center, Winter Garden</w:t>
            </w: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Isuzu Trucks, Winter Garden</w:t>
            </w:r>
          </w:p>
        </w:tc>
      </w:tr>
      <w:tr>
        <w:trPr>
          <w:trHeight w:val="230"/>
        </w:trPr>
        <w:tc>
          <w:tcPr>
            <w:tcW w:w="3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Rush Truck Center, Haines City</w:t>
            </w:r>
          </w:p>
        </w:tc>
      </w:tr>
    </w:tbl>
    <w:p>
      <w:pPr>
        <w:ind w:left="5740"/>
        <w:spacing w:after="0"/>
        <w:rPr>
          <w:sz w:val="20"/>
          <w:szCs w:val="20"/>
          <w:color w:val="auto"/>
        </w:rPr>
      </w:pPr>
      <w:r>
        <w:rPr>
          <w:rFonts w:ascii="Arial" w:cs="Arial" w:eastAsia="Arial" w:hAnsi="Arial"/>
          <w:sz w:val="18"/>
          <w:szCs w:val="18"/>
          <w:color w:val="auto"/>
        </w:rPr>
        <w:t>Rush Peterbilt Truck Center, Haines City</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Rush Truck Center, Tampa</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Rush Peterbilt Truck Center, Tampa</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Rush Truck Center, Jacksonville</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Rush Peterbilt Truck Center, Jacksonville</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Rush Peterbilt Truck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State of</w:t>
            </w: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Incorporation</w:t>
            </w:r>
          </w:p>
        </w:tc>
        <w:tc>
          <w:tcPr>
            <w:tcW w:w="100" w:type="dxa"/>
            <w:vAlign w:val="bottom"/>
          </w:tcPr>
          <w:p>
            <w:pPr>
              <w:spacing w:after="0"/>
              <w:rPr>
                <w:sz w:val="20"/>
                <w:szCs w:val="20"/>
                <w:color w:val="auto"/>
              </w:rPr>
            </w:pPr>
          </w:p>
        </w:tc>
        <w:tc>
          <w:tcPr>
            <w:tcW w:w="39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7"/>
              </w:rPr>
              <w:t>Names Under Which Subsidiary Does Business</w:t>
            </w: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Rush Truck Centers of Georgia, Inc.</w:t>
            </w:r>
          </w:p>
        </w:tc>
        <w:tc>
          <w:tcPr>
            <w:tcW w:w="100" w:type="dxa"/>
            <w:vAlign w:val="bottom"/>
          </w:tcPr>
          <w:p>
            <w:pPr>
              <w:spacing w:after="0"/>
              <w:rPr>
                <w:sz w:val="16"/>
                <w:szCs w:val="16"/>
                <w:color w:val="auto"/>
              </w:rPr>
            </w:pPr>
          </w:p>
        </w:tc>
        <w:tc>
          <w:tcPr>
            <w:tcW w:w="1580" w:type="dxa"/>
            <w:vAlign w:val="bottom"/>
          </w:tcPr>
          <w:p>
            <w:pPr>
              <w:spacing w:after="0" w:line="195" w:lineRule="exact"/>
              <w:rPr>
                <w:sz w:val="20"/>
                <w:szCs w:val="20"/>
                <w:color w:val="auto"/>
              </w:rPr>
            </w:pPr>
            <w:r>
              <w:rPr>
                <w:rFonts w:ascii="Arial" w:cs="Arial" w:eastAsia="Arial" w:hAnsi="Arial"/>
                <w:sz w:val="18"/>
                <w:szCs w:val="18"/>
                <w:color w:val="auto"/>
              </w:rPr>
              <w:t>Delaware</w:t>
            </w:r>
          </w:p>
        </w:tc>
        <w:tc>
          <w:tcPr>
            <w:tcW w:w="10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Rush Medium Duty Truck Center, Atlanta</w:t>
            </w:r>
          </w:p>
        </w:tc>
        <w:tc>
          <w:tcPr>
            <w:tcW w:w="13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Isuzu Trucks, Atlanta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Atlanta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International Truck Center, Atlanta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Collision Center, Atlanta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Doraville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International Truck Center, Doraville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Isuzu Trucks, Doraville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Kennesaw</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Kennesaw</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Rush Truck Centers of Idaho,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International Truck Center, Boise</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International Truck Center, Twin Falls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International Truck Center, Idaho Falls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International Truck Center, Heyburn</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International Truck Center, Lewiston</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Boise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Twin Falls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Idaho Falls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Heyburn</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Lewiston</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Rush Truck Centers of New Mexico,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Albuquerque</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Albuquerque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Las Cruces</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Las Cruces</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Rush Truck Centers of North Carolina,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Collision Center, Charlotte</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International Truck Center, Charlotte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Isuzu Trucks, Charlotte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Charlotte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Charlotte</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Body Shop, Charlotte</w:t>
            </w:r>
          </w:p>
        </w:tc>
        <w:tc>
          <w:tcPr>
            <w:tcW w:w="13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4"/>
              </w:rPr>
              <w:t>Rush Medium Duty Truck Centers of Oklahoma,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Medium Duty Truck Center, Oklahoma City</w:t>
            </w:r>
          </w:p>
        </w:tc>
        <w:tc>
          <w:tcPr>
            <w:tcW w:w="136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Rush Truck Centers of Oklahoma,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Ardmore</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Oklahoma City</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Tulsa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Ardmore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Oklahoma City</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Tulsa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Volvo Truck Center, Oklahoma City</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Volvo Truck Center, Tulsa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Isuzu Trucks, Oklahoma City</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Used Truck Center, Tulsa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Rigging</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Perfection Equipment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w w:val="95"/>
              </w:rPr>
              <w:t>Perfection Truck Parts &amp; Equipment, Oklahoma City</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Perfection Truck Parts &amp; Equipment, Tulsa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Translease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Oklahoma Trucks, Inc.</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Tulsa Trucks, Inc.</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Rush Truck Centers of Oregon,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International Truck Center, Ontario</w:t>
            </w: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Ontario</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Rush Truck Centers of Tennessee,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Nashville</w:t>
            </w: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Nashville</w:t>
            </w:r>
          </w:p>
        </w:tc>
        <w:tc>
          <w:tcPr>
            <w:tcW w:w="1360" w:type="dxa"/>
            <w:vAlign w:val="bottom"/>
          </w:tcPr>
          <w:p>
            <w:pPr>
              <w:spacing w:after="0"/>
              <w:rPr>
                <w:sz w:val="20"/>
                <w:szCs w:val="20"/>
                <w:color w:val="auto"/>
              </w:rPr>
            </w:pPr>
          </w:p>
        </w:tc>
      </w:tr>
      <w:tr>
        <w:trPr>
          <w:trHeight w:val="797"/>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1" w:right="239" w:bottom="87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State of</w:t>
            </w: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Incorporation</w:t>
            </w:r>
          </w:p>
        </w:tc>
        <w:tc>
          <w:tcPr>
            <w:tcW w:w="100" w:type="dxa"/>
            <w:vAlign w:val="bottom"/>
          </w:tcPr>
          <w:p>
            <w:pPr>
              <w:spacing w:after="0"/>
              <w:rPr>
                <w:sz w:val="20"/>
                <w:szCs w:val="20"/>
                <w:color w:val="auto"/>
              </w:rPr>
            </w:pPr>
          </w:p>
        </w:tc>
        <w:tc>
          <w:tcPr>
            <w:tcW w:w="39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7"/>
              </w:rPr>
              <w:t>Names Under Which Subsidiary Does Business</w:t>
            </w: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Rush Truck Centers of Texas, L.P.</w:t>
            </w:r>
          </w:p>
        </w:tc>
        <w:tc>
          <w:tcPr>
            <w:tcW w:w="100" w:type="dxa"/>
            <w:vAlign w:val="bottom"/>
          </w:tcPr>
          <w:p>
            <w:pPr>
              <w:spacing w:after="0"/>
              <w:rPr>
                <w:sz w:val="16"/>
                <w:szCs w:val="16"/>
                <w:color w:val="auto"/>
              </w:rPr>
            </w:pPr>
          </w:p>
        </w:tc>
        <w:tc>
          <w:tcPr>
            <w:tcW w:w="1580" w:type="dxa"/>
            <w:vAlign w:val="bottom"/>
          </w:tcPr>
          <w:p>
            <w:pPr>
              <w:spacing w:after="0" w:line="195" w:lineRule="exact"/>
              <w:rPr>
                <w:sz w:val="20"/>
                <w:szCs w:val="20"/>
                <w:color w:val="auto"/>
              </w:rPr>
            </w:pPr>
            <w:r>
              <w:rPr>
                <w:rFonts w:ascii="Arial" w:cs="Arial" w:eastAsia="Arial" w:hAnsi="Arial"/>
                <w:sz w:val="18"/>
                <w:szCs w:val="18"/>
                <w:color w:val="auto"/>
              </w:rPr>
              <w:t>Texas</w:t>
            </w:r>
          </w:p>
        </w:tc>
        <w:tc>
          <w:tcPr>
            <w:tcW w:w="10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Houston Peterbilt, Inc.</w:t>
            </w:r>
          </w:p>
        </w:tc>
        <w:tc>
          <w:tcPr>
            <w:tcW w:w="13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Laredo Peterbilt, Inc.</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Lufkin Peterbilt, Inc.</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Bus Center, Alice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Bus Center, Austin</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Bus Center, Dallas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Bus Center, Dallas, Number 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Bus Center, Fort Worth</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Bus Center, Houston</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Bus Center, Laredo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Bus Center, Lufkin</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Bus Center, Pharr</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Bus Center, San Antonio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Bus Center, San Antonio, Number 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Bus Center, Sealy</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Bus Center, Texarkana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Bus Center, Tyler</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Bus Center, Waco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GMC Truck Center of El Paso, Inc.</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Isuzu Trucks, Austin</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Isuzu Trucks, Dallas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Isuzu Trucks, Texarkana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Isuzu Trucks, El Paso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Isuzu Trucks, Sealy</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Isuzu Trucks, Waco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Isuzu Trucks, Dallas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Medium Duty Truck Center, Dallas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Medium Duty Truck Center, Waco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Abilene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Alice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Austin</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Dallas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El Paso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Fort Worth</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Houston</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Laredo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Lufkin</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Pharr</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San Antonio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Sealy</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Texarkana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Tyler</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Peterbilt Truck Center, Waco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Towing Systems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Abilene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Alice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Austin</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Dallas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El Paso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Fort Worth</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Houston</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Laredo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Lufkin</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Pharr</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San Antonio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Sealy</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Texarkana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Tyler</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Waco</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Crane and Refuse Systems International</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San Antonio Peterbilt, Inc.</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San Antonio Peterbilt-GMC Truck, Inc.</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World Wide Tires</w:t>
            </w:r>
          </w:p>
        </w:tc>
        <w:tc>
          <w:tcPr>
            <w:tcW w:w="1360" w:type="dxa"/>
            <w:vAlign w:val="bottom"/>
          </w:tcPr>
          <w:p>
            <w:pPr>
              <w:spacing w:after="0"/>
              <w:rPr>
                <w:sz w:val="20"/>
                <w:szCs w:val="20"/>
                <w:color w:val="auto"/>
              </w:rPr>
            </w:pPr>
          </w:p>
        </w:tc>
      </w:tr>
      <w:tr>
        <w:trPr>
          <w:trHeight w:val="797"/>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State of</w:t>
            </w: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0"/>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Incorporation</w:t>
            </w:r>
          </w:p>
        </w:tc>
        <w:tc>
          <w:tcPr>
            <w:tcW w:w="100" w:type="dxa"/>
            <w:vAlign w:val="bottom"/>
          </w:tcPr>
          <w:p>
            <w:pPr>
              <w:spacing w:after="0"/>
              <w:rPr>
                <w:sz w:val="20"/>
                <w:szCs w:val="20"/>
                <w:color w:val="auto"/>
              </w:rPr>
            </w:pPr>
          </w:p>
        </w:tc>
        <w:tc>
          <w:tcPr>
            <w:tcW w:w="39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7"/>
              </w:rPr>
              <w:t>Names Under Which Subsidiary Does Business</w:t>
            </w:r>
          </w:p>
        </w:tc>
      </w:tr>
      <w:tr>
        <w:trPr>
          <w:trHeight w:val="195"/>
        </w:trPr>
        <w:tc>
          <w:tcPr>
            <w:tcW w:w="3960" w:type="dxa"/>
            <w:vAlign w:val="bottom"/>
          </w:tcPr>
          <w:p>
            <w:pPr>
              <w:spacing w:after="0" w:line="195" w:lineRule="exact"/>
              <w:rPr>
                <w:sz w:val="20"/>
                <w:szCs w:val="20"/>
                <w:color w:val="auto"/>
              </w:rPr>
            </w:pPr>
            <w:r>
              <w:rPr>
                <w:rFonts w:ascii="Arial" w:cs="Arial" w:eastAsia="Arial" w:hAnsi="Arial"/>
                <w:sz w:val="18"/>
                <w:szCs w:val="18"/>
                <w:color w:val="auto"/>
              </w:rPr>
              <w:t>Rush Truck Centers of Utah, Inc.</w:t>
            </w:r>
          </w:p>
        </w:tc>
        <w:tc>
          <w:tcPr>
            <w:tcW w:w="100" w:type="dxa"/>
            <w:vAlign w:val="bottom"/>
          </w:tcPr>
          <w:p>
            <w:pPr>
              <w:spacing w:after="0"/>
              <w:rPr>
                <w:sz w:val="16"/>
                <w:szCs w:val="16"/>
                <w:color w:val="auto"/>
              </w:rPr>
            </w:pPr>
          </w:p>
        </w:tc>
        <w:tc>
          <w:tcPr>
            <w:tcW w:w="1580" w:type="dxa"/>
            <w:vAlign w:val="bottom"/>
          </w:tcPr>
          <w:p>
            <w:pPr>
              <w:spacing w:after="0" w:line="195" w:lineRule="exact"/>
              <w:rPr>
                <w:sz w:val="20"/>
                <w:szCs w:val="20"/>
                <w:color w:val="auto"/>
              </w:rPr>
            </w:pPr>
            <w:r>
              <w:rPr>
                <w:rFonts w:ascii="Arial" w:cs="Arial" w:eastAsia="Arial" w:hAnsi="Arial"/>
                <w:sz w:val="18"/>
                <w:szCs w:val="18"/>
                <w:color w:val="auto"/>
              </w:rPr>
              <w:t>Delaware</w:t>
            </w:r>
          </w:p>
        </w:tc>
        <w:tc>
          <w:tcPr>
            <w:tcW w:w="10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Rush International Truck Center, Salt Lake City</w:t>
            </w: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International Truck Center, Helper</w:t>
            </w: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International Truck Center, Springville</w:t>
            </w: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International Truck Center, St. George</w:t>
            </w: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International Truck Center, Ogden</w:t>
            </w: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Salt Lake City</w:t>
            </w: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Helper</w:t>
            </w: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Springville</w:t>
            </w: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St. George</w:t>
            </w:r>
          </w:p>
        </w:tc>
      </w:tr>
      <w:tr>
        <w:trPr>
          <w:trHeight w:val="230"/>
        </w:trPr>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Truck Center, Ogden</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Rig Tough,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Rush Truck Center of Albuquerque,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New Mexico</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Rush GMC Truck Center of El Paso,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Rush GMC Truck Center of Phoenix,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Rush GMC Truck Center of San Diego,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Rush GMC Truck Center of Tucson,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Rush Accessories Corporation</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Chrome Country, Inc.</w:t>
            </w: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Rush Truck Leasing,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Crane Systems</w:t>
            </w: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Idealease, Charlotte</w:t>
            </w: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Boise Idealease</w:t>
            </w: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Salt Lake City Idealease</w:t>
            </w:r>
          </w:p>
        </w:tc>
      </w:tr>
      <w:tr>
        <w:trPr>
          <w:trHeight w:val="230"/>
        </w:trPr>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Charlotte Idealease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Rush Equipment Centers of Texas,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Rush Equipment Center, Houston</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Rushtex,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Rushco,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Rush Administrative Services,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Rush Idealease,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Rush Real Estate Holdings,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International General Agency</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Texas</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Los Cuernos,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Los Cuernos Ranch</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AiRush,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Rush Retail Centers,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Associated Acceptance,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Texas</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Associated Insurance Services</w:t>
            </w: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Automotive Industry Insurance</w:t>
            </w:r>
          </w:p>
        </w:tc>
      </w:tr>
      <w:tr>
        <w:trPr>
          <w:trHeight w:val="230"/>
        </w:trPr>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Associated Truck Insurance Services</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Associated Acceptance of Florida,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Associated Acceptance of Oklahoma,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Advance Premium Finance,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California</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Adams International Trucks, Inc.</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797"/>
        </w:trPr>
        <w:tc>
          <w:tcPr>
            <w:tcW w:w="3960" w:type="dxa"/>
            <w:vAlign w:val="bottom"/>
          </w:tcPr>
          <w:p>
            <w:pPr>
              <w:spacing w:after="0"/>
              <w:rPr>
                <w:sz w:val="24"/>
                <w:szCs w:val="24"/>
                <w:color w:val="auto"/>
              </w:rPr>
            </w:pP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9879"/>
          </w:cols>
          <w:pgMar w:left="580" w:top="1152" w:right="1440" w:bottom="468" w:gutter="0" w:footer="0" w:header="0"/>
        </w:sectPr>
      </w:pPr>
    </w:p>
    <w:bookmarkStart w:id="93" w:name="page94"/>
    <w:bookmarkEnd w:id="93"/>
    <w:p>
      <w:pPr>
        <w:jc w:val="right"/>
        <w:ind w:right="159"/>
        <w:spacing w:after="0"/>
        <w:rPr>
          <w:sz w:val="20"/>
          <w:szCs w:val="20"/>
          <w:color w:val="auto"/>
        </w:rPr>
      </w:pPr>
      <w:r>
        <w:rPr>
          <w:rFonts w:ascii="Arial" w:cs="Arial" w:eastAsia="Arial" w:hAnsi="Arial"/>
          <w:sz w:val="18"/>
          <w:szCs w:val="18"/>
          <w:color w:val="auto"/>
        </w:rPr>
        <w:t>EXHIBIT 23.1</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85" w:lineRule="exact"/>
        <w:rPr>
          <w:sz w:val="20"/>
          <w:szCs w:val="20"/>
          <w:color w:val="auto"/>
        </w:rPr>
      </w:pPr>
    </w:p>
    <w:p>
      <w:pPr>
        <w:ind w:left="388" w:hanging="388"/>
        <w:spacing w:after="0"/>
        <w:tabs>
          <w:tab w:leader="none" w:pos="388"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Registration Statement (Form S-8 No. 333-170732) pertaining to the Rush Enterprises, Inc. Deferred Compensation Plan;</w:t>
      </w:r>
    </w:p>
    <w:p>
      <w:pPr>
        <w:spacing w:after="0" w:line="196" w:lineRule="exact"/>
        <w:rPr>
          <w:rFonts w:ascii="Arial" w:cs="Arial" w:eastAsia="Arial" w:hAnsi="Arial"/>
          <w:sz w:val="17"/>
          <w:szCs w:val="17"/>
          <w:color w:val="auto"/>
        </w:rPr>
      </w:pPr>
    </w:p>
    <w:p>
      <w:pPr>
        <w:ind w:left="388" w:hanging="388"/>
        <w:spacing w:after="0"/>
        <w:tabs>
          <w:tab w:leader="none" w:pos="388"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Registration Statement (Form S-8 No. 333-168231) pertaining to the Rush Enterprises, Inc. 2007 Long-Term Incentive Plan;</w:t>
      </w:r>
    </w:p>
    <w:p>
      <w:pPr>
        <w:spacing w:after="0" w:line="209" w:lineRule="exact"/>
        <w:rPr>
          <w:rFonts w:ascii="Arial" w:cs="Arial" w:eastAsia="Arial" w:hAnsi="Arial"/>
          <w:sz w:val="17"/>
          <w:szCs w:val="17"/>
          <w:color w:val="auto"/>
        </w:rPr>
      </w:pPr>
    </w:p>
    <w:p>
      <w:pPr>
        <w:ind w:left="388" w:hanging="388"/>
        <w:spacing w:after="0"/>
        <w:tabs>
          <w:tab w:leader="none" w:pos="388"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Registration Statement (Form S-8 No. 333-144821) pertaining to the Rush Enterprises, Inc. 2007 Long-Term Incentive Plan;</w:t>
      </w:r>
    </w:p>
    <w:p>
      <w:pPr>
        <w:spacing w:after="0" w:line="196" w:lineRule="exact"/>
        <w:rPr>
          <w:rFonts w:ascii="Arial" w:cs="Arial" w:eastAsia="Arial" w:hAnsi="Arial"/>
          <w:sz w:val="17"/>
          <w:szCs w:val="17"/>
          <w:color w:val="auto"/>
        </w:rPr>
      </w:pPr>
    </w:p>
    <w:p>
      <w:pPr>
        <w:ind w:left="388" w:right="179" w:hanging="388"/>
        <w:spacing w:after="0" w:line="277" w:lineRule="auto"/>
        <w:tabs>
          <w:tab w:leader="none" w:pos="3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333-138557) pertaining to the Rush Enterprises, Inc. Amended and Restated 1997 Non-Employee Director Stock Option Plan;</w:t>
      </w:r>
    </w:p>
    <w:p>
      <w:pPr>
        <w:spacing w:after="0" w:line="129" w:lineRule="exact"/>
        <w:rPr>
          <w:rFonts w:ascii="Arial" w:cs="Arial" w:eastAsia="Arial" w:hAnsi="Arial"/>
          <w:sz w:val="18"/>
          <w:szCs w:val="18"/>
          <w:color w:val="auto"/>
        </w:rPr>
      </w:pPr>
    </w:p>
    <w:p>
      <w:pPr>
        <w:ind w:left="388" w:right="179" w:hanging="388"/>
        <w:spacing w:after="0" w:line="277" w:lineRule="auto"/>
        <w:tabs>
          <w:tab w:leader="none" w:pos="3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333-138556) pertaining to the Rush Enterprises, Inc. 2006 Non-Employee Director Stock Option Plan;</w:t>
      </w:r>
    </w:p>
    <w:p>
      <w:pPr>
        <w:spacing w:after="0" w:line="143" w:lineRule="exact"/>
        <w:rPr>
          <w:rFonts w:ascii="Arial" w:cs="Arial" w:eastAsia="Arial" w:hAnsi="Arial"/>
          <w:sz w:val="18"/>
          <w:szCs w:val="18"/>
          <w:color w:val="auto"/>
        </w:rPr>
      </w:pPr>
    </w:p>
    <w:p>
      <w:pPr>
        <w:ind w:left="388" w:right="159" w:hanging="388"/>
        <w:spacing w:after="0" w:line="277" w:lineRule="auto"/>
        <w:tabs>
          <w:tab w:leader="none" w:pos="3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333-121355) pertaining to the Rush Enterprises, Inc. Long-Term Incentive Plan, the Rush Enterprises, Inc. 2004 Employee Stock Purchase Plan and Certain Non-Plan Options;</w:t>
      </w:r>
    </w:p>
    <w:p>
      <w:pPr>
        <w:spacing w:after="0" w:line="129" w:lineRule="exact"/>
        <w:rPr>
          <w:rFonts w:ascii="Arial" w:cs="Arial" w:eastAsia="Arial" w:hAnsi="Arial"/>
          <w:sz w:val="18"/>
          <w:szCs w:val="18"/>
          <w:color w:val="auto"/>
        </w:rPr>
      </w:pPr>
    </w:p>
    <w:p>
      <w:pPr>
        <w:ind w:left="388" w:right="159" w:hanging="388"/>
        <w:spacing w:after="0" w:line="277" w:lineRule="auto"/>
        <w:tabs>
          <w:tab w:leader="none" w:pos="3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333-117305) pertaining to the Rush Enterprises, Inc. Amended and Restated 1997 Non-Employee Director Stock Option Plan and the Rush Enterprises, Inc. Long-Term Incentive Plan;</w:t>
      </w:r>
    </w:p>
    <w:p>
      <w:pPr>
        <w:spacing w:after="0" w:line="129" w:lineRule="exact"/>
        <w:rPr>
          <w:rFonts w:ascii="Arial" w:cs="Arial" w:eastAsia="Arial" w:hAnsi="Arial"/>
          <w:sz w:val="18"/>
          <w:szCs w:val="18"/>
          <w:color w:val="auto"/>
        </w:rPr>
      </w:pPr>
    </w:p>
    <w:p>
      <w:pPr>
        <w:ind w:left="388" w:right="159" w:hanging="388"/>
        <w:spacing w:after="0" w:line="277" w:lineRule="auto"/>
        <w:tabs>
          <w:tab w:leader="none" w:pos="3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333-70451) pertaining to the Rush Enterprises, Inc. 1997 Non-Employee Director Stock Option Plan; and</w:t>
      </w:r>
    </w:p>
    <w:p>
      <w:pPr>
        <w:spacing w:after="0" w:line="143" w:lineRule="exact"/>
        <w:rPr>
          <w:rFonts w:ascii="Arial" w:cs="Arial" w:eastAsia="Arial" w:hAnsi="Arial"/>
          <w:sz w:val="18"/>
          <w:szCs w:val="18"/>
          <w:color w:val="auto"/>
        </w:rPr>
      </w:pPr>
    </w:p>
    <w:p>
      <w:pPr>
        <w:ind w:left="388" w:hanging="388"/>
        <w:spacing w:after="0"/>
        <w:tabs>
          <w:tab w:leader="none" w:pos="3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333-07043) pertaining to the Rush Enterprises, Inc. Long-Term Incentive Plan.</w:t>
      </w:r>
    </w:p>
    <w:p>
      <w:pPr>
        <w:spacing w:after="0" w:line="185"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of our reports dated March 11, 2011, with respect to the consolidated financial statements of Rush Enterprises, Inc. and subsidiaries and the effectiveness of Rush Enterprises, Inc.’s internal control over financial reporting, included in this Annual Report (Form 10-K) of Rush Enterprises, Inc. for the year ended December 31, 2010.</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March 11, 2011</w:t>
      </w:r>
    </w:p>
    <w:p>
      <w:pPr>
        <w:sectPr>
          <w:pgSz w:w="11900" w:h="16838" w:orient="portrait"/>
          <w:cols w:equalWidth="0" w:num="1">
            <w:col w:w="9887"/>
          </w:cols>
          <w:pgMar w:left="572" w:top="125" w:right="1440" w:bottom="1440" w:gutter="0" w:footer="0" w:header="0"/>
        </w:sectPr>
      </w:pPr>
    </w:p>
    <w:bookmarkStart w:id="94" w:name="page95"/>
    <w:bookmarkEnd w:id="94"/>
    <w:p>
      <w:pPr>
        <w:ind w:left="8648"/>
        <w:spacing w:after="0"/>
        <w:rPr>
          <w:sz w:val="20"/>
          <w:szCs w:val="20"/>
          <w:color w:val="auto"/>
        </w:rPr>
      </w:pPr>
      <w:r>
        <w:rPr>
          <w:rFonts w:ascii="Arial" w:cs="Arial" w:eastAsia="Arial" w:hAnsi="Arial"/>
          <w:sz w:val="17"/>
          <w:szCs w:val="17"/>
          <w:color w:val="auto"/>
        </w:rPr>
        <w:t>EXHIBIT 31.1</w:t>
      </w:r>
    </w:p>
    <w:p>
      <w:pPr>
        <w:spacing w:after="0" w:line="192"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W. M. “Rusty” Rush, certify that:</w:t>
      </w:r>
    </w:p>
    <w:p>
      <w:pPr>
        <w:spacing w:after="0" w:line="185" w:lineRule="exact"/>
        <w:rPr>
          <w:sz w:val="20"/>
          <w:szCs w:val="20"/>
          <w:color w:val="auto"/>
        </w:rPr>
      </w:pPr>
    </w:p>
    <w:p>
      <w:pPr>
        <w:ind w:left="188" w:hanging="188"/>
        <w:spacing w:after="0"/>
        <w:tabs>
          <w:tab w:leader="none" w:pos="1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184"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1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8" w:right="159" w:firstLine="381"/>
        <w:spacing w:after="0" w:line="286" w:lineRule="auto"/>
        <w:tabs>
          <w:tab w:leader="none" w:pos="586"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left="8" w:right="179" w:firstLine="381"/>
        <w:spacing w:after="0" w:line="264" w:lineRule="auto"/>
        <w:tabs>
          <w:tab w:leader="none" w:pos="59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5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29"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1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8" w:right="179" w:firstLine="381"/>
        <w:spacing w:after="0" w:line="277" w:lineRule="auto"/>
        <w:tabs>
          <w:tab w:leader="none" w:pos="63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428"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Date: March 11, 2011</w:t>
            </w:r>
          </w:p>
        </w:tc>
        <w:tc>
          <w:tcPr>
            <w:tcW w:w="4900" w:type="dxa"/>
            <w:vAlign w:val="bottom"/>
            <w:gridSpan w:val="2"/>
          </w:tcPr>
          <w:p>
            <w:pPr>
              <w:ind w:left="1140"/>
              <w:spacing w:after="0"/>
              <w:rPr>
                <w:sz w:val="20"/>
                <w:szCs w:val="20"/>
                <w:color w:val="auto"/>
              </w:rPr>
            </w:pPr>
            <w:r>
              <w:rPr>
                <w:rFonts w:ascii="Arial" w:cs="Arial" w:eastAsia="Arial" w:hAnsi="Arial"/>
                <w:sz w:val="18"/>
                <w:szCs w:val="18"/>
                <w:color w:val="auto"/>
              </w:rPr>
              <w:t>By: /S/ W. M. “RUSTY” RUSH</w:t>
            </w:r>
          </w:p>
        </w:tc>
      </w:tr>
      <w:tr>
        <w:trPr>
          <w:trHeight w:val="195"/>
        </w:trPr>
        <w:tc>
          <w:tcPr>
            <w:tcW w:w="2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 M. “Rusty” Rush</w:t>
            </w:r>
          </w:p>
        </w:tc>
      </w:tr>
      <w:tr>
        <w:trPr>
          <w:trHeight w:val="216"/>
        </w:trPr>
        <w:tc>
          <w:tcPr>
            <w:tcW w:w="2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87"/>
          </w:cols>
          <w:pgMar w:left="572" w:top="125" w:right="1440" w:bottom="1440" w:gutter="0" w:footer="0" w:header="0"/>
        </w:sectPr>
      </w:pPr>
    </w:p>
    <w:bookmarkStart w:id="95" w:name="page96"/>
    <w:bookmarkEnd w:id="95"/>
    <w:p>
      <w:pPr>
        <w:ind w:left="8648"/>
        <w:spacing w:after="0"/>
        <w:rPr>
          <w:sz w:val="20"/>
          <w:szCs w:val="20"/>
          <w:color w:val="auto"/>
        </w:rPr>
      </w:pPr>
      <w:r>
        <w:rPr>
          <w:rFonts w:ascii="Arial" w:cs="Arial" w:eastAsia="Arial" w:hAnsi="Arial"/>
          <w:sz w:val="17"/>
          <w:szCs w:val="17"/>
          <w:color w:val="auto"/>
        </w:rPr>
        <w:t>EXHIBIT 31.2</w:t>
      </w:r>
    </w:p>
    <w:p>
      <w:pPr>
        <w:spacing w:after="0" w:line="206"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Steven L. Keller, certify that:</w:t>
      </w:r>
    </w:p>
    <w:p>
      <w:pPr>
        <w:spacing w:after="0" w:line="185" w:lineRule="exact"/>
        <w:rPr>
          <w:sz w:val="20"/>
          <w:szCs w:val="20"/>
          <w:color w:val="auto"/>
        </w:rPr>
      </w:pPr>
    </w:p>
    <w:p>
      <w:pPr>
        <w:ind w:left="188" w:hanging="188"/>
        <w:spacing w:after="0"/>
        <w:tabs>
          <w:tab w:leader="none" w:pos="1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198"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18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8" w:right="159" w:firstLine="381"/>
        <w:spacing w:after="0" w:line="286" w:lineRule="auto"/>
        <w:tabs>
          <w:tab w:leader="none" w:pos="586"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jc w:val="both"/>
        <w:ind w:left="8" w:right="179" w:firstLine="381"/>
        <w:spacing w:after="0" w:line="264" w:lineRule="auto"/>
        <w:tabs>
          <w:tab w:leader="none" w:pos="59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5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8" w:right="159" w:firstLine="381"/>
        <w:spacing w:after="0" w:line="264" w:lineRule="auto"/>
        <w:tabs>
          <w:tab w:leader="none" w:pos="629"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19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09"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8" w:right="179" w:firstLine="381"/>
        <w:spacing w:after="0" w:line="277" w:lineRule="auto"/>
        <w:tabs>
          <w:tab w:leader="none" w:pos="6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448"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Date: March 11, 2011</w:t>
            </w:r>
          </w:p>
        </w:tc>
        <w:tc>
          <w:tcPr>
            <w:tcW w:w="5020" w:type="dxa"/>
            <w:vAlign w:val="bottom"/>
            <w:gridSpan w:val="2"/>
          </w:tcPr>
          <w:p>
            <w:pPr>
              <w:ind w:left="1260"/>
              <w:spacing w:after="0"/>
              <w:rPr>
                <w:sz w:val="20"/>
                <w:szCs w:val="20"/>
                <w:color w:val="auto"/>
              </w:rPr>
            </w:pPr>
            <w:r>
              <w:rPr>
                <w:rFonts w:ascii="Arial" w:cs="Arial" w:eastAsia="Arial" w:hAnsi="Arial"/>
                <w:sz w:val="18"/>
                <w:szCs w:val="18"/>
                <w:color w:val="auto"/>
              </w:rPr>
              <w:t>By: /S/ STEVEN L. KELLER</w:t>
            </w:r>
          </w:p>
        </w:tc>
      </w:tr>
      <w:tr>
        <w:trPr>
          <w:trHeight w:val="195"/>
        </w:trPr>
        <w:tc>
          <w:tcPr>
            <w:tcW w:w="2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2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230"/>
        </w:trPr>
        <w:tc>
          <w:tcPr>
            <w:tcW w:w="2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8"/>
              </w:rPr>
              <w:t>(Principal Financial and Accounting Officer)</w:t>
            </w:r>
          </w:p>
        </w:tc>
      </w:tr>
    </w:tbl>
    <w:p>
      <w:pPr>
        <w:sectPr>
          <w:pgSz w:w="11900" w:h="16838" w:orient="portrait"/>
          <w:cols w:equalWidth="0" w:num="1">
            <w:col w:w="9887"/>
          </w:cols>
          <w:pgMar w:left="572" w:top="517" w:right="1440" w:bottom="1440" w:gutter="0" w:footer="0" w:header="0"/>
        </w:sectPr>
      </w:pPr>
    </w:p>
    <w:bookmarkStart w:id="96" w:name="page97"/>
    <w:bookmarkEnd w:id="96"/>
    <w:p>
      <w:pPr>
        <w:jc w:val="right"/>
        <w:ind w:right="159"/>
        <w:spacing w:after="0"/>
        <w:rPr>
          <w:sz w:val="20"/>
          <w:szCs w:val="20"/>
          <w:color w:val="auto"/>
        </w:rPr>
      </w:pPr>
      <w:r>
        <w:rPr>
          <w:rFonts w:ascii="Arial" w:cs="Arial" w:eastAsia="Arial" w:hAnsi="Arial"/>
          <w:sz w:val="18"/>
          <w:szCs w:val="18"/>
          <w:color w:val="auto"/>
        </w:rPr>
        <w:t>EXHIBIT 32.1</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color w:val="auto"/>
        </w:rPr>
        <w:t>In connection with this annual report of Rush Enterprises, Inc. (the “Company”) on Form 10-K for the year ended December 31, 2010 as filed with the Securities and Exchange Commission on the date hereof (the “Report”), I, W. M. “Rusty” Rush, Chairman and Chief Executive Officer of the Company, certify, pursuant to 18 U.S.C. Section 1350, as adopted pursuant to Section 906 of the Sarbanes-Oxley Act of 2002, that:</w:t>
      </w:r>
    </w:p>
    <w:p>
      <w:pPr>
        <w:spacing w:after="0" w:line="146" w:lineRule="exact"/>
        <w:rPr>
          <w:sz w:val="20"/>
          <w:szCs w:val="20"/>
          <w:color w:val="auto"/>
        </w:rPr>
      </w:pPr>
    </w:p>
    <w:p>
      <w:pPr>
        <w:ind w:left="560" w:hanging="179"/>
        <w:spacing w:after="0"/>
        <w:tabs>
          <w:tab w:leader="none" w:pos="5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6" w:lineRule="exact"/>
        <w:rPr>
          <w:rFonts w:ascii="Arial" w:cs="Arial" w:eastAsia="Arial" w:hAnsi="Arial"/>
          <w:sz w:val="17"/>
          <w:szCs w:val="17"/>
          <w:color w:val="auto"/>
        </w:rPr>
      </w:pPr>
    </w:p>
    <w:p>
      <w:pPr>
        <w:ind w:left="380" w:right="179" w:firstLine="1"/>
        <w:spacing w:after="0" w:line="277" w:lineRule="auto"/>
        <w:tabs>
          <w:tab w:leader="none" w:pos="6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W. M. “RUSTY” RUSH</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 W. 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-130810</wp:posOffset>
            </wp:positionV>
            <wp:extent cx="23926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4600"/>
        <w:spacing w:after="0"/>
        <w:tabs>
          <w:tab w:leader="none" w:pos="516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4600"/>
        <w:spacing w:after="0"/>
        <w:tabs>
          <w:tab w:leader="none" w:pos="5160" w:val="left"/>
        </w:tabs>
        <w:rPr>
          <w:sz w:val="20"/>
          <w:szCs w:val="20"/>
          <w:color w:val="auto"/>
        </w:rPr>
      </w:pPr>
      <w:r>
        <w:rPr>
          <w:rFonts w:ascii="Arial" w:cs="Arial" w:eastAsia="Arial" w:hAnsi="Arial"/>
          <w:sz w:val="18"/>
          <w:szCs w:val="18"/>
          <w:color w:val="auto"/>
        </w:rPr>
        <w:t>Date:</w:t>
        <w:tab/>
        <w:t>March 11, 2011</w:t>
      </w:r>
    </w:p>
    <w:p>
      <w:pPr>
        <w:sectPr>
          <w:pgSz w:w="11900" w:h="16838" w:orient="portrait"/>
          <w:cols w:equalWidth="0" w:num="1">
            <w:col w:w="9879"/>
          </w:cols>
          <w:pgMar w:left="580" w:top="125" w:right="1440" w:bottom="1440" w:gutter="0" w:footer="0" w:header="0"/>
        </w:sectPr>
      </w:pPr>
    </w:p>
    <w:bookmarkStart w:id="97" w:name="page98"/>
    <w:bookmarkEnd w:id="97"/>
    <w:p>
      <w:pPr>
        <w:jc w:val="right"/>
        <w:ind w:right="159"/>
        <w:spacing w:after="0"/>
        <w:rPr>
          <w:sz w:val="20"/>
          <w:szCs w:val="20"/>
          <w:color w:val="auto"/>
        </w:rPr>
      </w:pPr>
      <w:r>
        <w:rPr>
          <w:rFonts w:ascii="Arial" w:cs="Arial" w:eastAsia="Arial" w:hAnsi="Arial"/>
          <w:sz w:val="18"/>
          <w:szCs w:val="18"/>
          <w:color w:val="auto"/>
        </w:rPr>
        <w:t>EXHIBIT 32.2</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color w:val="auto"/>
        </w:rPr>
        <w:t>In connection with this annual report of Rush Enterprises, Inc. (the “Company”) on Form 10-K for the year ended December 31, 2010 as filed with the Securities and Exchange Commission on the date hereof (the “Report”), I, Steven L. Keller, Vice President and Chief Financial Officer of the Company, certify, pursuant to 18 U.S.C. Section 1350, as adopted pursuant to Section 906 of the Sarbanes-Oxley Act of 2002, that:</w:t>
      </w:r>
    </w:p>
    <w:p>
      <w:pPr>
        <w:spacing w:after="0" w:line="146" w:lineRule="exact"/>
        <w:rPr>
          <w:sz w:val="20"/>
          <w:szCs w:val="20"/>
          <w:color w:val="auto"/>
        </w:rPr>
      </w:pPr>
    </w:p>
    <w:p>
      <w:pPr>
        <w:ind w:left="560" w:hanging="179"/>
        <w:spacing w:after="0"/>
        <w:tabs>
          <w:tab w:leader="none" w:pos="5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9" w:lineRule="exact"/>
        <w:rPr>
          <w:rFonts w:ascii="Arial" w:cs="Arial" w:eastAsia="Arial" w:hAnsi="Arial"/>
          <w:sz w:val="17"/>
          <w:szCs w:val="17"/>
          <w:color w:val="auto"/>
        </w:rPr>
      </w:pPr>
    </w:p>
    <w:p>
      <w:pPr>
        <w:ind w:left="380" w:right="179" w:firstLine="1"/>
        <w:spacing w:after="0" w:line="277" w:lineRule="auto"/>
        <w:tabs>
          <w:tab w:leader="none" w:pos="60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By: /S/ STEVEN L. KELLER</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-130810</wp:posOffset>
            </wp:positionV>
            <wp:extent cx="23837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Title:</w:t>
        <w:tab/>
        <w:t>Vice President and Chief Financial Officer</w:t>
      </w:r>
    </w:p>
    <w:p>
      <w:pPr>
        <w:spacing w:after="0" w:line="9" w:lineRule="exact"/>
        <w:rPr>
          <w:sz w:val="20"/>
          <w:szCs w:val="20"/>
          <w:color w:val="auto"/>
        </w:rPr>
      </w:pPr>
    </w:p>
    <w:p>
      <w:pPr>
        <w:ind w:left="4620"/>
        <w:spacing w:after="0"/>
        <w:tabs>
          <w:tab w:leader="none" w:pos="5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11, 2011</w:t>
      </w:r>
    </w:p>
    <w:sectPr>
      <w:pgSz w:w="11900" w:h="16838" w:orient="portrait"/>
      <w:cols w:equalWidth="0" w:num="1">
        <w:col w:w="9879"/>
      </w:cols>
      <w:pgMar w:left="580" w:top="5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lvl w:ilvl="1">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2"/>
    </w:lvl>
  </w:abstractNum>
  <w:abstractNum w:abstractNumId="11">
    <w:nsid w:val="3A95F874"/>
    <w:multiLevelType w:val="hybridMultilevel"/>
    <w:lvl w:ilvl="0">
      <w:lvlJc w:val="left"/>
      <w:lvlText w:val="%1."/>
      <w:numFmt w:val="decimal"/>
      <w:start w:val="3"/>
    </w:lvl>
  </w:abstractNum>
  <w:abstractNum w:abstractNumId="12">
    <w:nsid w:val="8138641"/>
    <w:multiLevelType w:val="hybridMultilevel"/>
    <w:lvl w:ilvl="0">
      <w:lvlJc w:val="left"/>
      <w:lvlText w:val="%1."/>
      <w:numFmt w:val="decimal"/>
      <w:start w:val="4"/>
    </w:lvl>
  </w:abstractNum>
  <w:abstractNum w:abstractNumId="13">
    <w:nsid w:val="1E7FF521"/>
    <w:multiLevelType w:val="hybridMultilevel"/>
    <w:lvl w:ilvl="0">
      <w:lvlJc w:val="left"/>
      <w:lvlText w:val="%1."/>
      <w:numFmt w:val="decimal"/>
      <w:start w:val="7"/>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9"/>
    </w:lvl>
  </w:abstractNum>
  <w:abstractNum w:abstractNumId="16">
    <w:nsid w:val="6CEAF087"/>
    <w:multiLevelType w:val="hybridMultilevel"/>
    <w:lvl w:ilvl="0">
      <w:lvlJc w:val="left"/>
      <w:lvlText w:val="%1."/>
      <w:numFmt w:val="decimal"/>
      <w:start w:val="10"/>
    </w:lvl>
  </w:abstractNum>
  <w:abstractNum w:abstractNumId="17">
    <w:nsid w:val="22221A70"/>
    <w:multiLevelType w:val="hybridMultilevel"/>
    <w:lvl w:ilvl="0">
      <w:lvlJc w:val="left"/>
      <w:lvlText w:val="%1."/>
      <w:numFmt w:val="decimal"/>
      <w:start w:val="11"/>
    </w:lvl>
  </w:abstractNum>
  <w:abstractNum w:abstractNumId="18">
    <w:nsid w:val="4516DDE9"/>
    <w:multiLevelType w:val="hybridMultilevel"/>
    <w:lvl w:ilvl="0">
      <w:lvlJc w:val="left"/>
      <w:lvlText w:val="%1."/>
      <w:numFmt w:val="decimal"/>
      <w:start w:val="12"/>
    </w:lvl>
  </w:abstractNum>
  <w:abstractNum w:abstractNumId="19">
    <w:nsid w:val="3006C83E"/>
    <w:multiLevelType w:val="hybridMultilevel"/>
    <w:lvl w:ilvl="0">
      <w:lvlJc w:val="left"/>
      <w:lvlText w:val="%1."/>
      <w:numFmt w:val="decimal"/>
      <w:start w:val="13"/>
    </w:lvl>
  </w:abstractNum>
  <w:abstractNum w:abstractNumId="20">
    <w:nsid w:val="614FD4A1"/>
    <w:multiLevelType w:val="hybridMultilevel"/>
    <w:lvl w:ilvl="0">
      <w:lvlJc w:val="left"/>
      <w:lvlText w:val="%1."/>
      <w:numFmt w:val="decimal"/>
      <w:start w:val="14"/>
    </w:lvl>
  </w:abstractNum>
  <w:abstractNum w:abstractNumId="21">
    <w:nsid w:val="419AC241"/>
    <w:multiLevelType w:val="hybridMultilevel"/>
    <w:lvl w:ilvl="0">
      <w:lvlJc w:val="left"/>
      <w:lvlText w:val="%1."/>
      <w:numFmt w:val="decimal"/>
      <w:start w:val="15"/>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6"/>
    </w:lvl>
  </w:abstractNum>
  <w:abstractNum w:abstractNumId="24">
    <w:nsid w:val="5072367"/>
    <w:multiLevelType w:val="hybridMultilevel"/>
    <w:lvl w:ilvl="0">
      <w:lvlJc w:val="left"/>
      <w:lvlText w:val="%1."/>
      <w:numFmt w:val="decimal"/>
      <w:start w:val="17"/>
    </w:lvl>
  </w:abstractNum>
  <w:abstractNum w:abstractNumId="25">
    <w:nsid w:val="3804823E"/>
    <w:multiLevelType w:val="hybridMultilevel"/>
    <w:lvl w:ilvl="0">
      <w:lvlJc w:val="left"/>
      <w:lvlText w:val="%1."/>
      <w:numFmt w:val="decimal"/>
      <w:start w:val="18"/>
    </w:lvl>
  </w:abstractNum>
  <w:abstractNum w:abstractNumId="26">
    <w:nsid w:val="77465F01"/>
    <w:multiLevelType w:val="hybridMultilevel"/>
    <w:lvl w:ilvl="0">
      <w:lvlJc w:val="left"/>
      <w:lvlText w:val="%1."/>
      <w:numFmt w:val="decimal"/>
      <w:start w:val="19"/>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32">
    <w:nsid w:val="2D51779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3">
    <w:nsid w:val="580BD78F"/>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lvl w:ilvl="3">
      <w:lvlJc w:val="left"/>
      <w:lvlText w:val="-"/>
      <w:numFmt w:val="bullet"/>
      <w:start w:val="1"/>
    </w:lvl>
  </w:abstractNum>
  <w:abstractNum w:abstractNumId="34">
    <w:nsid w:val="153EA438"/>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lvl w:ilvl="3">
      <w:lvlJc w:val="left"/>
      <w:lvlText w:val="-"/>
      <w:numFmt w:val="bullet"/>
      <w:start w:val="1"/>
    </w:lvl>
  </w:abstractNum>
  <w:abstractNum w:abstractNumId="35">
    <w:nsid w:val="3855585C"/>
    <w:multiLevelType w:val="hybridMultilevel"/>
    <w:lvl w:ilvl="0">
      <w:lvlJc w:val="left"/>
      <w:lvlText w:val="(%1)"/>
      <w:numFmt w:val="lowerLetter"/>
      <w:start w:val="7"/>
    </w:lvl>
    <w:lvl w:ilvl="1">
      <w:lvlJc w:val="left"/>
      <w:lvlText w:val="(%2)"/>
      <w:numFmt w:val="decimal"/>
      <w:start w:val="1"/>
    </w:lvl>
  </w:abstractNum>
  <w:abstractNum w:abstractNumId="36">
    <w:nsid w:val="70A64E2A"/>
    <w:multiLevelType w:val="hybridMultilevel"/>
    <w:lvl w:ilvl="0">
      <w:lvlJc w:val="left"/>
      <w:lvlText w:val="%1"/>
      <w:numFmt w:val="decimal"/>
      <w:start w:val="1"/>
    </w:lvl>
    <w:lvl w:ilvl="1">
      <w:lvlJc w:val="left"/>
      <w:lvlText w:val="(%2)"/>
      <w:numFmt w:val="lowerLetter"/>
      <w:start w:val="8"/>
    </w:lvl>
    <w:lvl w:ilvl="2">
      <w:lvlJc w:val="left"/>
      <w:lvlText w:val="-"/>
      <w:numFmt w:val="bullet"/>
      <w:start w:val="1"/>
    </w:lvl>
  </w:abstractNum>
  <w:abstractNum w:abstractNumId="37">
    <w:nsid w:val="6A2342EC"/>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8">
    <w:nsid w:val="2A487CB0"/>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9">
    <w:nsid w:val="1D4ED43B"/>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40">
    <w:nsid w:val="725A06FB"/>
    <w:multiLevelType w:val="hybridMultilevel"/>
    <w:lvl w:ilvl="0">
      <w:lvlJc w:val="left"/>
      <w:lvlText w:val="%1."/>
      <w:numFmt w:val="decimal"/>
      <w:start w:val="8"/>
    </w:lvl>
  </w:abstractNum>
  <w:abstractNum w:abstractNumId="41">
    <w:nsid w:val="2CD89A32"/>
    <w:multiLevelType w:val="hybridMultilevel"/>
    <w:lvl w:ilvl="0">
      <w:lvlJc w:val="left"/>
      <w:lvlText w:val="%1."/>
      <w:numFmt w:val="decimal"/>
      <w:start w:val="9"/>
    </w:lvl>
    <w:lvl w:ilvl="1">
      <w:lvlJc w:val="left"/>
      <w:lvlText w:val="-"/>
      <w:numFmt w:val="bullet"/>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2019-12-10T14:55:04Z</dcterms:created>
  <dcterms:modified xsi:type="dcterms:W3CDTF">2019-12-10T14:55:04Z</dcterms:modified>
</cp:coreProperties>
</file>