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0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0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1500" w:right="1540" w:hanging="918"/>
        <w:spacing w:after="0" w:line="237"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1560"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2980"/>
        <w:spacing w:after="0"/>
        <w:tabs>
          <w:tab w:leader="none" w:pos="6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Commission File Number 0-20797</w:t>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43"/>
          <w:szCs w:val="43"/>
          <w:b w:val="1"/>
          <w:bCs w:val="1"/>
          <w:color w:val="auto"/>
        </w:rPr>
        <w:t>RUSH ENTERPRISES, INC.</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856" w:gutter="0" w:footer="0" w:header="0"/>
        </w:sectPr>
      </w:pP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380"/>
        <w:spacing w:after="0"/>
        <w:rPr>
          <w:sz w:val="20"/>
          <w:szCs w:val="20"/>
          <w:color w:val="auto"/>
        </w:rPr>
      </w:pPr>
      <w:r>
        <w:rPr>
          <w:rFonts w:ascii="Arial" w:cs="Arial" w:eastAsia="Arial" w:hAnsi="Arial"/>
          <w:sz w:val="18"/>
          <w:szCs w:val="18"/>
          <w:color w:val="auto"/>
        </w:rPr>
        <w:t>74-1733016</w:t>
      </w:r>
    </w:p>
    <w:p>
      <w:pPr>
        <w:spacing w:after="0" w:line="23" w:lineRule="exact"/>
        <w:rPr>
          <w:sz w:val="20"/>
          <w:szCs w:val="20"/>
          <w:color w:val="auto"/>
        </w:rPr>
      </w:pPr>
    </w:p>
    <w:p>
      <w:pPr>
        <w:jc w:val="center"/>
        <w:ind w:right="2380"/>
        <w:spacing w:after="0"/>
        <w:rPr>
          <w:sz w:val="20"/>
          <w:szCs w:val="20"/>
          <w:color w:val="auto"/>
        </w:rPr>
      </w:pPr>
      <w:r>
        <w:rPr>
          <w:rFonts w:ascii="Arial" w:cs="Arial" w:eastAsia="Arial" w:hAnsi="Arial"/>
          <w:sz w:val="16"/>
          <w:szCs w:val="16"/>
          <w:color w:val="auto"/>
        </w:rPr>
        <w:t>(I.R.S. Employer Identification No.)</w:t>
      </w:r>
    </w:p>
    <w:p>
      <w:pPr>
        <w:spacing w:after="0" w:line="409" w:lineRule="exact"/>
        <w:rPr>
          <w:sz w:val="20"/>
          <w:szCs w:val="20"/>
          <w:color w:val="auto"/>
        </w:rPr>
      </w:pPr>
    </w:p>
    <w:p>
      <w:pPr>
        <w:sectPr>
          <w:pgSz w:w="11900" w:h="16838" w:orient="portrait"/>
          <w:cols w:equalWidth="0" w:num="2">
            <w:col w:w="5720" w:space="720"/>
            <w:col w:w="4980"/>
          </w:cols>
          <w:pgMar w:left="240" w:top="122" w:right="239" w:bottom="856" w:gutter="0" w:footer="0" w:header="0"/>
          <w:type w:val="continuous"/>
        </w:sectPr>
      </w:pPr>
    </w:p>
    <w:p>
      <w:pPr>
        <w:jc w:val="center"/>
        <w:ind w:right="102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(Zip Code)</w:t>
      </w:r>
    </w:p>
    <w:p>
      <w:pPr>
        <w:spacing w:after="0" w:line="1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(830) 626-5200</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jc w:val="both"/>
        <w:ind w:left="340" w:right="1360"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360" w:firstLine="389"/>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06"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856" w:gutter="0" w:footer="0" w:header="0"/>
          <w:type w:val="continuous"/>
        </w:sectPr>
      </w:pPr>
    </w:p>
    <w:p>
      <w:pPr>
        <w:spacing w:after="0" w:line="18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180" w:space="440"/>
            <w:col w:w="1420" w:space="360"/>
            <w:col w:w="3340" w:space="200"/>
            <w:col w:w="3480"/>
          </w:cols>
          <w:pgMar w:left="240" w:top="122" w:right="239" w:bottom="856" w:gutter="0" w:footer="0" w:header="0"/>
          <w:type w:val="continuous"/>
        </w:sectPr>
      </w:pPr>
    </w:p>
    <w:p>
      <w:pPr>
        <w:ind w:left="720" w:right="1600"/>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Indicated below is the number of shares outstanding of each of the issuer’s classes of common stock, as of May 5, 2011.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Title of Class</w:t>
            </w:r>
          </w:p>
        </w:tc>
        <w:tc>
          <w:tcPr>
            <w:tcW w:w="100" w:type="dxa"/>
            <w:vAlign w:val="bottom"/>
          </w:tcPr>
          <w:p>
            <w:pPr>
              <w:spacing w:after="0"/>
              <w:rPr>
                <w:sz w:val="20"/>
                <w:szCs w:val="20"/>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476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$.01 Par Value</w:t>
            </w:r>
          </w:p>
        </w:tc>
        <w:tc>
          <w:tcPr>
            <w:tcW w:w="100" w:type="dxa"/>
            <w:vAlign w:val="bottom"/>
          </w:tcPr>
          <w:p>
            <w:pPr>
              <w:spacing w:after="0"/>
              <w:rPr>
                <w:sz w:val="16"/>
                <w:szCs w:val="16"/>
                <w:color w:val="auto"/>
              </w:rPr>
            </w:pPr>
          </w:p>
        </w:tc>
        <w:tc>
          <w:tcPr>
            <w:tcW w:w="4760" w:type="dxa"/>
            <w:vAlign w:val="bottom"/>
          </w:tcPr>
          <w:p>
            <w:pPr>
              <w:jc w:val="right"/>
              <w:ind w:right="1830"/>
              <w:spacing w:after="0" w:line="195" w:lineRule="exact"/>
              <w:rPr>
                <w:sz w:val="20"/>
                <w:szCs w:val="20"/>
                <w:color w:val="auto"/>
              </w:rPr>
            </w:pPr>
            <w:r>
              <w:rPr>
                <w:rFonts w:ascii="Arial" w:cs="Arial" w:eastAsia="Arial" w:hAnsi="Arial"/>
                <w:sz w:val="18"/>
                <w:szCs w:val="18"/>
                <w:color w:val="auto"/>
              </w:rPr>
              <w:t>27,085,694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0"/>
              </w:rPr>
              <w:t>Class B Common Stock, $.01 Par Value</w:t>
            </w:r>
          </w:p>
        </w:tc>
        <w:tc>
          <w:tcPr>
            <w:tcW w:w="4860" w:type="dxa"/>
            <w:vAlign w:val="bottom"/>
            <w:gridSpan w:val="2"/>
          </w:tcPr>
          <w:p>
            <w:pPr>
              <w:jc w:val="right"/>
              <w:ind w:right="1830"/>
              <w:spacing w:after="0"/>
              <w:rPr>
                <w:sz w:val="20"/>
                <w:szCs w:val="20"/>
                <w:color w:val="auto"/>
              </w:rPr>
            </w:pPr>
            <w:r>
              <w:rPr>
                <w:rFonts w:ascii="Arial" w:cs="Arial" w:eastAsia="Arial" w:hAnsi="Arial"/>
                <w:sz w:val="18"/>
                <w:szCs w:val="18"/>
                <w:color w:val="auto"/>
              </w:rPr>
              <w:t>10,719,547</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856"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10"/>
          </w:tcPr>
          <w:p>
            <w:pPr>
              <w:jc w:val="center"/>
              <w:ind w:right="172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4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gridSpan w:val="2"/>
          </w:tcPr>
          <w:p>
            <w:pPr>
              <w:jc w:val="right"/>
              <w:ind w:right="1760"/>
              <w:spacing w:after="0"/>
              <w:rPr>
                <w:sz w:val="20"/>
                <w:szCs w:val="20"/>
                <w:color w:val="auto"/>
              </w:rPr>
            </w:pPr>
            <w:r>
              <w:rPr>
                <w:rFonts w:ascii="Arial" w:cs="Arial" w:eastAsia="Arial" w:hAnsi="Arial"/>
                <w:sz w:val="18"/>
                <w:szCs w:val="18"/>
                <w:b w:val="1"/>
                <w:bCs w:val="1"/>
                <w:color w:val="auto"/>
              </w:rPr>
              <w:t>Page</w:t>
            </w:r>
          </w:p>
        </w:tc>
      </w:tr>
      <w:tr>
        <w:trPr>
          <w:trHeight w:val="385"/>
        </w:trPr>
        <w:tc>
          <w:tcPr>
            <w:tcW w:w="340" w:type="dxa"/>
            <w:vAlign w:val="bottom"/>
          </w:tcPr>
          <w:p>
            <w:pPr>
              <w:spacing w:after="0"/>
              <w:rPr>
                <w:sz w:val="24"/>
                <w:szCs w:val="24"/>
                <w:color w:val="auto"/>
              </w:rPr>
            </w:pPr>
          </w:p>
        </w:tc>
        <w:tc>
          <w:tcPr>
            <w:tcW w:w="306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00" w:type="dxa"/>
            <w:vAlign w:val="bottom"/>
            <w:gridSpan w:val="9"/>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400" w:type="dxa"/>
            <w:vAlign w:val="bottom"/>
            <w:gridSpan w:val="12"/>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 March 31, 2011 (unaudited) and December 31, 2010</w:t>
              </w:r>
            </w:hyperlink>
          </w:p>
        </w:tc>
        <w:tc>
          <w:tcPr>
            <w:tcW w:w="2120" w:type="dxa"/>
            <w:vAlign w:val="bottom"/>
            <w:gridSpan w:val="4"/>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Income — For the Three Months Ended March 31, 2011 and 2010 (unaudited)</w:t>
              </w:r>
            </w:hyperlink>
          </w:p>
        </w:tc>
        <w:tc>
          <w:tcPr>
            <w:tcW w:w="580" w:type="dxa"/>
            <w:vAlign w:val="bottom"/>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4</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For the Three Months Ended March 31, 2011 and 2010</w:t>
              </w:r>
            </w:hyperlink>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160" w:type="dxa"/>
            <w:vAlign w:val="bottom"/>
            <w:gridSpan w:val="2"/>
          </w:tcPr>
          <w:p>
            <w:pPr>
              <w:spacing w:after="0"/>
              <w:rPr>
                <w:sz w:val="17"/>
                <w:szCs w:val="17"/>
                <w:color w:val="auto"/>
              </w:rPr>
            </w:pPr>
          </w:p>
        </w:tc>
        <w:tc>
          <w:tcPr>
            <w:tcW w:w="2420" w:type="dxa"/>
            <w:vAlign w:val="bottom"/>
            <w:gridSpan w:val="2"/>
          </w:tcPr>
          <w:p>
            <w:pPr>
              <w:jc w:val="right"/>
              <w:ind w:right="1460"/>
              <w:spacing w:after="0" w:line="196" w:lineRule="exact"/>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6</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13</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460" w:type="dxa"/>
            <w:vAlign w:val="bottom"/>
            <w:gridSpan w:val="3"/>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26</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6140" w:type="dxa"/>
            <w:vAlign w:val="bottom"/>
            <w:gridSpan w:val="11"/>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26</w:t>
            </w:r>
          </w:p>
        </w:tc>
      </w:tr>
      <w:tr>
        <w:trPr>
          <w:trHeight w:val="412"/>
        </w:trPr>
        <w:tc>
          <w:tcPr>
            <w:tcW w:w="340" w:type="dxa"/>
            <w:vAlign w:val="bottom"/>
          </w:tcPr>
          <w:p>
            <w:pPr>
              <w:spacing w:after="0"/>
              <w:rPr>
                <w:sz w:val="24"/>
                <w:szCs w:val="24"/>
                <w:color w:val="auto"/>
              </w:rPr>
            </w:pPr>
          </w:p>
        </w:tc>
        <w:tc>
          <w:tcPr>
            <w:tcW w:w="276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590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27</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6580" w:type="dxa"/>
            <w:vAlign w:val="bottom"/>
            <w:gridSpan w:val="13"/>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27</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3560" w:type="dxa"/>
            <w:vAlign w:val="bottom"/>
            <w:gridSpan w:val="6"/>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27</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 Defaults Upon Senior Securities</w:t>
              </w:r>
            </w:hyperlink>
          </w:p>
        </w:tc>
        <w:tc>
          <w:tcPr>
            <w:tcW w:w="5580" w:type="dxa"/>
            <w:vAlign w:val="bottom"/>
            <w:gridSpan w:val="8"/>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27</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27</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top w:val="single" w:sz="8" w:color="0000EE"/>
            </w:tcBorders>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6600" w:type="dxa"/>
            <w:vAlign w:val="bottom"/>
            <w:gridSpan w:val="14"/>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28</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320" w:type="dxa"/>
            <w:vAlign w:val="bottom"/>
            <w:gridSpan w:val="17"/>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29</w:t>
            </w: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1"/>
              </w:rPr>
              <w:t>Exhibit 31.1</w:t>
            </w:r>
          </w:p>
        </w:tc>
        <w:tc>
          <w:tcPr>
            <w:tcW w:w="220" w:type="dxa"/>
            <w:vAlign w:val="bottom"/>
            <w:tcBorders>
              <w:top w:val="single" w:sz="8" w:color="0000EE"/>
            </w:tcBorders>
          </w:tcPr>
          <w:p>
            <w:pPr>
              <w:spacing w:after="0"/>
              <w:rPr>
                <w:sz w:val="24"/>
                <w:szCs w:val="24"/>
                <w:color w:val="auto"/>
              </w:rPr>
            </w:pPr>
          </w:p>
        </w:tc>
        <w:tc>
          <w:tcPr>
            <w:tcW w:w="7520" w:type="dxa"/>
            <w:vAlign w:val="bottom"/>
            <w:gridSpan w:val="18"/>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Exhibit 31.2</w:t>
            </w:r>
          </w:p>
        </w:tc>
        <w:tc>
          <w:tcPr>
            <w:tcW w:w="7740" w:type="dxa"/>
            <w:vAlign w:val="bottom"/>
            <w:gridSpan w:val="19"/>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Exhibit 32.1</w:t>
            </w:r>
          </w:p>
        </w:tc>
        <w:tc>
          <w:tcPr>
            <w:tcW w:w="7740" w:type="dxa"/>
            <w:vAlign w:val="bottom"/>
            <w:gridSpan w:val="19"/>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5"/>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804"/>
        </w:trPr>
        <w:tc>
          <w:tcPr>
            <w:tcW w:w="400" w:type="dxa"/>
            <w:vAlign w:val="bottom"/>
            <w:gridSpan w:val="3"/>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4200" w:type="dxa"/>
            <w:vAlign w:val="bottom"/>
            <w:gridSpan w:val="14"/>
          </w:tcPr>
          <w:p>
            <w:pPr>
              <w:jc w:val="center"/>
              <w:ind w:left="36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240" w:type="dxa"/>
            <w:vAlign w:val="bottom"/>
            <w:gridSpan w:val="8"/>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24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8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6"/>
              </w:rPr>
              <w:t>MARCH 31, 2011 AND DECEMBER 31, 2010</w:t>
            </w:r>
          </w:p>
        </w:tc>
        <w:tc>
          <w:tcPr>
            <w:tcW w:w="6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4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auto"/>
                <w:w w:val="89"/>
              </w:rPr>
              <w:t>(In Thousands, Except Shares)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101,326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53,566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43,513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385,384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467,922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445,919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1,215,213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1,167,933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24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Floor plan notes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283,893</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237,810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58,230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Current maturities of capital lease obligations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42,658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59,095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69,036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186,841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189,850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33,691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64,964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240" w:type="dxa"/>
            <w:vAlign w:val="bottom"/>
            <w:gridSpan w:val="8"/>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Preferred stock, par value $.01 per share; 1,000,000 shares authorized; 0 shares outstanding</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40" w:type="dxa"/>
            <w:vAlign w:val="bottom"/>
            <w:gridSpan w:val="8"/>
            <w:shd w:val="clear" w:color="auto" w:fill="CCEEFF"/>
          </w:tcPr>
          <w:p>
            <w:pPr>
              <w:ind w:left="400"/>
              <w:spacing w:after="0"/>
              <w:rPr>
                <w:sz w:val="20"/>
                <w:szCs w:val="20"/>
                <w:color w:val="auto"/>
              </w:rPr>
            </w:pPr>
            <w:r>
              <w:rPr>
                <w:rFonts w:ascii="Arial" w:cs="Arial" w:eastAsia="Arial" w:hAnsi="Arial"/>
                <w:sz w:val="18"/>
                <w:szCs w:val="18"/>
                <w:color w:val="auto"/>
              </w:rPr>
              <w:t>in 2011 and 2010</w:t>
            </w: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240" w:type="dxa"/>
            <w:vAlign w:val="bottom"/>
            <w:gridSpan w:val="8"/>
          </w:tcPr>
          <w:p>
            <w:pPr>
              <w:ind w:left="200"/>
              <w:spacing w:after="0" w:line="201" w:lineRule="exact"/>
              <w:rPr>
                <w:sz w:val="20"/>
                <w:szCs w:val="20"/>
                <w:color w:val="auto"/>
              </w:rPr>
            </w:pPr>
            <w:r>
              <w:rPr>
                <w:rFonts w:ascii="Arial" w:cs="Arial" w:eastAsia="Arial" w:hAnsi="Arial"/>
                <w:sz w:val="18"/>
                <w:szCs w:val="18"/>
                <w:color w:val="auto"/>
                <w:w w:val="94"/>
              </w:rPr>
              <w:t>Common stock, par value $.01 per share; 60,000,000 class A shares and 20,000,000 class B</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400"/>
              <w:spacing w:after="0"/>
              <w:rPr>
                <w:sz w:val="20"/>
                <w:szCs w:val="20"/>
                <w:color w:val="auto"/>
              </w:rPr>
            </w:pPr>
            <w:r>
              <w:rPr>
                <w:rFonts w:ascii="Arial" w:cs="Arial" w:eastAsia="Arial" w:hAnsi="Arial"/>
                <w:sz w:val="18"/>
                <w:szCs w:val="18"/>
                <w:color w:val="auto"/>
                <w:w w:val="92"/>
              </w:rPr>
              <w:t>shares authorized; 27,025,263 class A shares and 10,719,547 class B shares outstanding in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40" w:type="dxa"/>
            <w:vAlign w:val="bottom"/>
            <w:gridSpan w:val="8"/>
          </w:tcPr>
          <w:p>
            <w:pPr>
              <w:ind w:left="400"/>
              <w:spacing w:after="0"/>
              <w:rPr>
                <w:sz w:val="20"/>
                <w:szCs w:val="20"/>
                <w:color w:val="auto"/>
              </w:rPr>
            </w:pPr>
            <w:r>
              <w:rPr>
                <w:rFonts w:ascii="Arial" w:cs="Arial" w:eastAsia="Arial" w:hAnsi="Arial"/>
                <w:sz w:val="18"/>
                <w:szCs w:val="18"/>
                <w:color w:val="auto"/>
                <w:w w:val="95"/>
              </w:rPr>
              <w:t>2011; and 26,798,707 class A shares and 10,700,044 class B shares outstanding in 2010</w:t>
            </w: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200,286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Treasury stock, at cost: 1,639,843 class B shares</w:t>
            </w:r>
          </w:p>
        </w:tc>
        <w:tc>
          <w:tcPr>
            <w:tcW w:w="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(17,948)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464,919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8"/>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1,215,213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1,167,933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2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CONSOLIDATED STATEMENTS OF INCOME</w:t>
            </w:r>
          </w:p>
        </w:tc>
        <w:tc>
          <w:tcPr>
            <w:tcW w:w="3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ind w:left="200"/>
              <w:spacing w:after="0"/>
              <w:rPr>
                <w:sz w:val="20"/>
                <w:szCs w:val="20"/>
                <w:color w:val="auto"/>
              </w:rPr>
            </w:pPr>
            <w:r>
              <w:rPr>
                <w:rFonts w:ascii="Arial" w:cs="Arial" w:eastAsia="Arial" w:hAnsi="Arial"/>
                <w:sz w:val="18"/>
                <w:szCs w:val="18"/>
                <w:color w:val="auto"/>
              </w:rPr>
              <w:t>New and used commercial vehicle sales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277,530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180,604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Parts and service sales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145,560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ind w:left="200"/>
              <w:spacing w:after="0"/>
              <w:rPr>
                <w:sz w:val="20"/>
                <w:szCs w:val="20"/>
                <w:color w:val="auto"/>
              </w:rPr>
            </w:pPr>
            <w:r>
              <w:rPr>
                <w:rFonts w:ascii="Arial" w:cs="Arial" w:eastAsia="Arial" w:hAnsi="Arial"/>
                <w:sz w:val="18"/>
                <w:szCs w:val="18"/>
                <w:color w:val="auto"/>
              </w:rPr>
              <w:t>Lease and rental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18,985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Finance and insurance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2,061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446,104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New and used commercial vehicle sales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258,905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ind w:left="200"/>
              <w:spacing w:after="0"/>
              <w:rPr>
                <w:sz w:val="20"/>
                <w:szCs w:val="20"/>
                <w:color w:val="auto"/>
              </w:rPr>
            </w:pPr>
            <w:r>
              <w:rPr>
                <w:rFonts w:ascii="Arial" w:cs="Arial" w:eastAsia="Arial" w:hAnsi="Arial"/>
                <w:sz w:val="18"/>
                <w:szCs w:val="18"/>
                <w:color w:val="auto"/>
              </w:rPr>
              <w:t>Parts and service sales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88,712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62,629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16,097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80" w:type="dxa"/>
            <w:vAlign w:val="bottom"/>
            <w:gridSpan w:val="6"/>
          </w:tcPr>
          <w:p>
            <w:pPr>
              <w:ind w:left="200"/>
              <w:spacing w:after="0"/>
              <w:rPr>
                <w:sz w:val="20"/>
                <w:szCs w:val="20"/>
                <w:color w:val="auto"/>
              </w:rPr>
            </w:pPr>
            <w:r>
              <w:rPr>
                <w:rFonts w:ascii="Arial" w:cs="Arial" w:eastAsia="Arial" w:hAnsi="Arial"/>
                <w:sz w:val="18"/>
                <w:szCs w:val="18"/>
                <w:color w:val="auto"/>
              </w:rPr>
              <w:t>Total cost of products sold</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363,714</w:t>
            </w:r>
          </w:p>
        </w:tc>
        <w:tc>
          <w:tcPr>
            <w:tcW w:w="3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82,390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65,346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50,137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4,180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Arial" w:cs="Arial" w:eastAsia="Arial" w:hAnsi="Arial"/>
                <w:sz w:val="18"/>
                <w:szCs w:val="18"/>
                <w:color w:val="auto"/>
              </w:rPr>
              <w:t>Loss on sale of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12,821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1,201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4,353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7,267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8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80" w:type="dxa"/>
            <w:vAlign w:val="bottom"/>
            <w:gridSpan w:val="6"/>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37,621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80" w:type="dxa"/>
            <w:vAlign w:val="bottom"/>
            <w:gridSpan w:val="6"/>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38,815</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37,745</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48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0" w:type="dxa"/>
            <w:vAlign w:val="bottom"/>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98"/>
              </w:rPr>
              <w:t>CONSOLIDATED STATEMENTS OF CASH FLOWS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7,267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w w:val="96"/>
              </w:rPr>
              <w:t>Adjustments to reconcile net income to net cash provided by (used in)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12,649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Loss on sale of property and equipment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gridSpan w:val="6"/>
          </w:tcPr>
          <w:p>
            <w:pPr>
              <w:ind w:left="600"/>
              <w:spacing w:after="0" w:line="201" w:lineRule="exact"/>
              <w:rPr>
                <w:sz w:val="20"/>
                <w:szCs w:val="20"/>
                <w:color w:val="auto"/>
              </w:rPr>
            </w:pPr>
            <w:r>
              <w:rPr>
                <w:rFonts w:ascii="Arial" w:cs="Arial" w:eastAsia="Arial" w:hAnsi="Arial"/>
                <w:sz w:val="18"/>
                <w:szCs w:val="18"/>
                <w:color w:val="auto"/>
                <w:w w:val="95"/>
              </w:rPr>
              <w:t>Stock-based compensation expense related to employee stock options and employee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gridSpan w:val="6"/>
          </w:tcPr>
          <w:p>
            <w:pPr>
              <w:ind w:left="800"/>
              <w:spacing w:after="0"/>
              <w:rPr>
                <w:sz w:val="20"/>
                <w:szCs w:val="20"/>
                <w:color w:val="auto"/>
              </w:rPr>
            </w:pPr>
            <w:r>
              <w:rPr>
                <w:rFonts w:ascii="Arial" w:cs="Arial" w:eastAsia="Arial" w:hAnsi="Arial"/>
                <w:sz w:val="18"/>
                <w:szCs w:val="18"/>
                <w:color w:val="auto"/>
              </w:rPr>
              <w:t>stock purchases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2,557</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Provision for deferred income tax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Excess tax benefits from stock-based compensation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accounts receivable,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(9,789)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Change in inventories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(29,940)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(22,602)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prepaid expenses and other,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Change in trade accounts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4,725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accrued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(9,651)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(17,331)</w:t>
            </w:r>
          </w:p>
        </w:tc>
        <w:tc>
          <w:tcPr>
            <w:tcW w:w="2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(34,256)</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Business acquisitions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(60,018)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Change in other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(85,845)</w:t>
            </w:r>
          </w:p>
        </w:tc>
        <w:tc>
          <w:tcPr>
            <w:tcW w:w="2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(9,898)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Draws on floor plan notes payable,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46,083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11,706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(18,764)</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(8,181)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35,526</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18,324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(67,650)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40" w:type="dxa"/>
            <w:vAlign w:val="bottom"/>
            <w:gridSpan w:val="6"/>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168,976</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149,095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101,326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gridSpan w:val="6"/>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14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400"/>
              <w:spacing w:after="0"/>
              <w:rPr>
                <w:sz w:val="20"/>
                <w:szCs w:val="20"/>
                <w:color w:val="auto"/>
              </w:rPr>
            </w:pPr>
            <w:r>
              <w:rPr>
                <w:rFonts w:ascii="Arial" w:cs="Arial" w:eastAsia="Arial" w:hAnsi="Arial"/>
                <w:sz w:val="18"/>
                <w:szCs w:val="18"/>
                <w:color w:val="auto"/>
              </w:rPr>
              <w:t>Interest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gridSpan w:val="6"/>
            <w:vMerge w:val="restart"/>
          </w:tcPr>
          <w:p>
            <w:pPr>
              <w:ind w:left="20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40" w:type="dxa"/>
            <w:vAlign w:val="bottom"/>
            <w:gridSpan w:val="6"/>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Assets acquired under capital leases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2010. Results of operations for interim periods are not necessarily indicative of results that may be expected for any other interim periods or the full fiscal year.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0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its operating segment, the Truck segment, which is the level at which segment management regularly reviews operating results and makes resource allocation decisions. The Construction Equipment segment is no longer reported as a separate business segment because the Company sold its John Deere construction equipment business in the third quarter of 2010. See Note 11 for further discussion of the sale of the construction equipment business.</w:t>
      </w:r>
    </w:p>
    <w:p>
      <w:pPr>
        <w:spacing w:after="0" w:line="137"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and liabilities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5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Goodwill is tested for impairment during the fourth quarter of each year, or more frequently when events or changes in circumstances indicate that the asset might be impaired, and no impairment write down was required in the fourth quarter of 2010. However, the Company cannot predict the occurrence of certain events that might adversely affect the reported value of goodwill in the future. Such events may include, but are not limited to, the discontinuance of operations by certain manufacturers the Company represents, strategic decisions made in response to economic and competitive conditions or another significant decrease in general economic conditions in the United States.</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sets forth the change in the carrying amount of goodwill for the Company for the period ended March 31, 2011:</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150,388</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Acquisition of Asbury Automotive Atlanta, L.L.C.(See Note 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22,854</w:t>
            </w: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Heintzelman’s Truck Center (See Note 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7"/>
        </w:trPr>
        <w:tc>
          <w:tcPr>
            <w:tcW w:w="8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174,359</w:t>
            </w: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 Commitments and Contingencies</w:t>
      </w:r>
    </w:p>
    <w:p>
      <w:pPr>
        <w:spacing w:after="0" w:line="189"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commercial vehicles.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3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2006, the Company signed an agreement with Titan Technology Partners to implement SAP enterprise software and a new SAP dealership management system. The cost of the SAP software and implementation is estimated at approximately $39.8 million, of which $38.3 million was expended at March 31, 2011.</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4 — Earnings Per Share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700" w:type="dxa"/>
            <w:vAlign w:val="bottom"/>
          </w:tcPr>
          <w:p>
            <w:pPr>
              <w:ind w:left="380"/>
              <w:spacing w:after="0"/>
              <w:rPr>
                <w:sz w:val="20"/>
                <w:szCs w:val="20"/>
                <w:color w:val="auto"/>
              </w:rPr>
            </w:pPr>
            <w:r>
              <w:rPr>
                <w:rFonts w:ascii="Arial" w:cs="Arial" w:eastAsia="Arial" w:hAnsi="Arial"/>
                <w:sz w:val="18"/>
                <w:szCs w:val="18"/>
                <w:color w:val="auto"/>
                <w:w w:val="92"/>
              </w:rPr>
              <w:t>The following table sets forth the computation of basic and diluted earnings per share:</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March 31, 2011</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9"/>
              </w:rPr>
              <w:t>March 31, 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Numerator -</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tcPr>
          <w:p>
            <w:pPr>
              <w:ind w:left="200"/>
              <w:spacing w:after="0" w:line="201" w:lineRule="exact"/>
              <w:rPr>
                <w:sz w:val="20"/>
                <w:szCs w:val="20"/>
                <w:color w:val="auto"/>
              </w:rPr>
            </w:pPr>
            <w:r>
              <w:rPr>
                <w:rFonts w:ascii="Arial" w:cs="Arial" w:eastAsia="Arial" w:hAnsi="Arial"/>
                <w:sz w:val="18"/>
                <w:szCs w:val="18"/>
                <w:color w:val="auto"/>
              </w:rPr>
              <w:t>Numerator for basic and diluted earnings per share-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400"/>
              <w:spacing w:after="0"/>
              <w:rPr>
                <w:sz w:val="20"/>
                <w:szCs w:val="20"/>
                <w:color w:val="auto"/>
              </w:rPr>
            </w:pPr>
            <w:r>
              <w:rPr>
                <w:rFonts w:ascii="Arial" w:cs="Arial" w:eastAsia="Arial" w:hAnsi="Arial"/>
                <w:sz w:val="18"/>
                <w:szCs w:val="18"/>
                <w:color w:val="auto"/>
              </w:rPr>
              <w:t>Income from continuing operations available to common shareholders</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7,267,000</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1,922,000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8"/>
                <w:szCs w:val="18"/>
                <w:color w:val="auto"/>
              </w:rPr>
              <w:t>Denominator for basic earnings per share, weighted average shares outstanding</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37,621,287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37,170,720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 and Director stock options and restricted share awards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1,193,404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573,888</w:t>
            </w:r>
          </w:p>
        </w:tc>
        <w:tc>
          <w:tcPr>
            <w:tcW w:w="0" w:type="dxa"/>
            <w:vAlign w:val="bottom"/>
          </w:tcPr>
          <w:p>
            <w:pPr>
              <w:spacing w:after="0"/>
              <w:rPr>
                <w:sz w:val="1"/>
                <w:szCs w:val="1"/>
                <w:color w:val="auto"/>
              </w:rPr>
            </w:pPr>
          </w:p>
        </w:tc>
      </w:tr>
      <w:tr>
        <w:trPr>
          <w:trHeight w:val="209"/>
        </w:trPr>
        <w:tc>
          <w:tcPr>
            <w:tcW w:w="6700" w:type="dxa"/>
            <w:vAlign w:val="bottom"/>
          </w:tcPr>
          <w:p>
            <w:pPr>
              <w:ind w:left="200"/>
              <w:spacing w:after="0"/>
              <w:rPr>
                <w:sz w:val="20"/>
                <w:szCs w:val="20"/>
                <w:color w:val="auto"/>
              </w:rPr>
            </w:pPr>
            <w:r>
              <w:rPr>
                <w:rFonts w:ascii="Arial" w:cs="Arial" w:eastAsia="Arial" w:hAnsi="Arial"/>
                <w:sz w:val="18"/>
                <w:szCs w:val="18"/>
                <w:color w:val="auto"/>
                <w:w w:val="97"/>
              </w:rPr>
              <w:t>Denominator for diluted earnings per share, adjusted weighted average shares and</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400"/>
              <w:spacing w:after="0"/>
              <w:rPr>
                <w:sz w:val="20"/>
                <w:szCs w:val="20"/>
                <w:color w:val="auto"/>
              </w:rPr>
            </w:pPr>
            <w:r>
              <w:rPr>
                <w:rFonts w:ascii="Arial" w:cs="Arial" w:eastAsia="Arial" w:hAnsi="Arial"/>
                <w:sz w:val="18"/>
                <w:szCs w:val="18"/>
                <w:color w:val="auto"/>
              </w:rPr>
              <w:t>assumed conversions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38,814,691</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37,744,608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from continuing operations per common share</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Diluted earnings from continuing operations per common share and common share</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ended March 31, 2011 and 2010 that were not included in the computation of diluted earnings per share because the effect would have been anti-dilutive are as follows: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March 31, 2010</w:t>
            </w:r>
          </w:p>
        </w:tc>
      </w:tr>
      <w:tr>
        <w:trPr>
          <w:trHeight w:val="20"/>
        </w:trPr>
        <w:tc>
          <w:tcPr>
            <w:tcW w:w="6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498,600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2,184,401</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anti-dilutive securities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498,600</w:t>
            </w:r>
          </w:p>
        </w:tc>
        <w:tc>
          <w:tcPr>
            <w:tcW w:w="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2,184,401</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$2.6 million for the three months ended March 31, 2011, and $1.9 million for the three months ended March 31, 2010. As of March 31, 2011, there was $9.8 million of total unrecognized compensation cost related to non-vested share-based compensation arrangements to be recognized over a weighted-average period of 3.57 years.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02"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Certain methods and assumptions were used by the Company in estimating the fair value of financial instruments at March 31, 2011. The carrying value of current assets and current liabilities approximates the fair value due to the short maturity of these items.</w:t>
      </w:r>
    </w:p>
    <w:p>
      <w:pPr>
        <w:spacing w:after="0" w:line="8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4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24"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As of March 31, 2011 and 2010, the Company held $7.6 million of auction rate securities with underlying tax-exempt municipal bonds that mature in 2030. These bonds have credit wrap insurance and a credit rating of Aa3 by Moody’s.</w:t>
      </w:r>
    </w:p>
    <w:p>
      <w:pPr>
        <w:spacing w:after="0" w:line="143"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As of March 31, 2011,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ASC 820-10, “Fair Value Measurements and Disclosures.” If the credit quality of these investments deteriorates, or adverse developments occur in the bond insurance market, the Company may be required to record an impairment charge on these investments in the future.</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 Agreements</w:t>
      </w:r>
    </w:p>
    <w:p>
      <w:pPr>
        <w:spacing w:after="0" w:line="198" w:lineRule="exact"/>
        <w:rPr>
          <w:sz w:val="20"/>
          <w:szCs w:val="20"/>
          <w:color w:val="auto"/>
        </w:rPr>
      </w:pPr>
    </w:p>
    <w:p>
      <w:pPr>
        <w:jc w:val="both"/>
        <w:ind w:left="340" w:right="1360" w:firstLine="389"/>
        <w:spacing w:after="0" w:line="293" w:lineRule="auto"/>
        <w:rPr>
          <w:sz w:val="20"/>
          <w:szCs w:val="20"/>
          <w:color w:val="auto"/>
        </w:rPr>
      </w:pPr>
      <w:r>
        <w:rPr>
          <w:rFonts w:ascii="Arial" w:cs="Arial" w:eastAsia="Arial" w:hAnsi="Arial"/>
          <w:sz w:val="16"/>
          <w:szCs w:val="16"/>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jc w:val="both"/>
        <w:ind w:left="340" w:right="1360" w:firstLine="389"/>
        <w:spacing w:after="0" w:line="291" w:lineRule="auto"/>
        <w:rPr>
          <w:sz w:val="20"/>
          <w:szCs w:val="20"/>
          <w:color w:val="auto"/>
        </w:rPr>
      </w:pPr>
      <w:r>
        <w:rPr>
          <w:rFonts w:ascii="Arial" w:cs="Arial" w:eastAsia="Arial" w:hAnsi="Arial"/>
          <w:sz w:val="16"/>
          <w:szCs w:val="16"/>
          <w:color w:val="auto"/>
        </w:rPr>
        <w:t>At March 31, 2011, the Company had an aggregate $45.0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 The Company’s interest rate swaps qualify for cash flow hedge accounting treatment. Unrealized gains or losses are recorded in accumulated other comprehensive loss. Realized gains and losses will be recognized in interest expense, if they occur. Amounts to be received or paid under the contracts will be recognized as interest expense over the life of the contracts. The Company did not have any interest rate swap contracts in place as of March 31, 2010. There was no ineffectiveness for these swaps during the quarter ended March 31, 2011.</w:t>
      </w:r>
    </w:p>
    <w:p>
      <w:pPr>
        <w:spacing w:after="0" w:line="127"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$0.2 million as of March 31, 2011. The carrying value of these swaps is included in Other Long-Term Liabilities on the accompanying Consolidated Balance Sheet as of March 31, 2011.</w:t>
      </w:r>
    </w:p>
    <w:p>
      <w:pPr>
        <w:spacing w:after="0" w:line="160" w:lineRule="exact"/>
        <w:rPr>
          <w:sz w:val="20"/>
          <w:szCs w:val="20"/>
          <w:color w:val="auto"/>
        </w:rPr>
      </w:pPr>
    </w:p>
    <w:p>
      <w:pPr>
        <w:jc w:val="both"/>
        <w:ind w:left="340" w:right="1360" w:firstLine="389"/>
        <w:spacing w:after="0" w:line="277" w:lineRule="auto"/>
        <w:rPr>
          <w:sz w:val="20"/>
          <w:szCs w:val="20"/>
          <w:color w:val="auto"/>
        </w:rPr>
      </w:pPr>
      <w:r>
        <w:rPr>
          <w:rFonts w:ascii="Arial" w:cs="Arial" w:eastAsia="Arial" w:hAnsi="Arial"/>
          <w:sz w:val="18"/>
          <w:szCs w:val="18"/>
          <w:color w:val="auto"/>
        </w:rPr>
        <w:t>As of March 31, 2011, the Company was party to derivative financial instruments as described in the following table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Fixed</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Notional</w:t>
            </w: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Interest</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Agreement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Expiration Date</w:t>
            </w:r>
          </w:p>
        </w:tc>
        <w:tc>
          <w:tcPr>
            <w:tcW w:w="260" w:type="dxa"/>
            <w:vAlign w:val="bottom"/>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5.075%</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July 1, 2015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Rate Swap</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4,536</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5.075%</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July 1, 2015</w:t>
            </w:r>
          </w:p>
        </w:tc>
        <w:tc>
          <w:tcPr>
            <w:tcW w:w="4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December 31, 2014</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Rate Swap</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1,517</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 2014</w:t>
            </w:r>
          </w:p>
        </w:tc>
        <w:tc>
          <w:tcPr>
            <w:tcW w:w="4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December 31, 2014</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Rate Swap</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6,109</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 2014</w:t>
            </w:r>
          </w:p>
        </w:tc>
        <w:tc>
          <w:tcPr>
            <w:tcW w:w="4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June 29, 2015</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Rate Swap</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864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June 30, 2015</w:t>
            </w:r>
          </w:p>
        </w:tc>
        <w:tc>
          <w:tcPr>
            <w:tcW w:w="4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June 30, 2015</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Rate Swap</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8,352</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June 30, 2015</w:t>
            </w:r>
          </w:p>
        </w:tc>
        <w:tc>
          <w:tcPr>
            <w:tcW w:w="4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June 30, 2015</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Interest Rate Swap</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w:t>
            </w:r>
          </w:p>
        </w:tc>
        <w:tc>
          <w:tcPr>
            <w:tcW w:w="3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June 30, 2015</w:t>
            </w:r>
          </w:p>
        </w:tc>
        <w:tc>
          <w:tcPr>
            <w:tcW w:w="4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bl>
    <w:p>
      <w:pPr>
        <w:spacing w:after="0" w:line="1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Fair values of derivative instruments are on the accompanying Consolidated Balance Sheet as of March 31, 2011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Derivatives Designated as</w:t>
            </w:r>
          </w:p>
        </w:tc>
        <w:tc>
          <w:tcPr>
            <w:tcW w:w="180" w:type="dxa"/>
            <w:vAlign w:val="bottom"/>
          </w:tcPr>
          <w:p>
            <w:pPr>
              <w:spacing w:after="0"/>
              <w:rPr>
                <w:sz w:val="20"/>
                <w:szCs w:val="20"/>
                <w:color w:val="auto"/>
              </w:rPr>
            </w:pPr>
          </w:p>
        </w:tc>
        <w:tc>
          <w:tcPr>
            <w:tcW w:w="3080" w:type="dxa"/>
            <w:vAlign w:val="bottom"/>
            <w:gridSpan w:val="4"/>
          </w:tcPr>
          <w:p>
            <w:pPr>
              <w:ind w:left="820"/>
              <w:spacing w:after="0"/>
              <w:rPr>
                <w:sz w:val="20"/>
                <w:szCs w:val="20"/>
                <w:color w:val="auto"/>
              </w:rPr>
            </w:pPr>
            <w:r>
              <w:rPr>
                <w:rFonts w:ascii="Arial" w:cs="Arial" w:eastAsia="Arial" w:hAnsi="Arial"/>
                <w:sz w:val="18"/>
                <w:szCs w:val="18"/>
                <w:b w:val="1"/>
                <w:bCs w:val="1"/>
                <w:color w:val="auto"/>
              </w:rPr>
              <w:t>Asset Derivatives</w:t>
            </w:r>
          </w:p>
        </w:tc>
        <w:tc>
          <w:tcPr>
            <w:tcW w:w="120" w:type="dxa"/>
            <w:vAlign w:val="bottom"/>
          </w:tcPr>
          <w:p>
            <w:pPr>
              <w:spacing w:after="0"/>
              <w:rPr>
                <w:sz w:val="20"/>
                <w:szCs w:val="20"/>
                <w:color w:val="auto"/>
              </w:rPr>
            </w:pPr>
          </w:p>
        </w:tc>
        <w:tc>
          <w:tcPr>
            <w:tcW w:w="26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Liability Derivatives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Hedging Instruments</w:t>
            </w:r>
          </w:p>
        </w:tc>
        <w:tc>
          <w:tcPr>
            <w:tcW w:w="18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Balance Sheet Location</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Balance Sheet Location</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Other Long-Term Liabilities</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 Segment Information</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as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3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Construction Equipment segment is no longer reported as a separate business segment because the Company sold the assets of its John Deere construction equipment business. See Note 11 for further discussion of the sale of the construction equipment business. The assets of the construction equipment business of $26.9 million have been included in the All Other segment assets in the table below for the period ended March 31, 2010.</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evaluates performance based on income before income taxes not including extraordinary items.</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accounted for intersegment sales and transfers as if the sales or transfers were to third parties, that is, at current market prices. There were no material intersegment sales during the quarters ended March 31, 2011 and 2010.</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March 31, 2011 and 2010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Truck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Segment</w:t>
            </w:r>
          </w:p>
        </w:tc>
        <w:tc>
          <w:tcPr>
            <w:tcW w:w="1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All Other</w:t>
            </w:r>
          </w:p>
        </w:tc>
        <w:tc>
          <w:tcPr>
            <w:tcW w:w="16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Totals</w:t>
            </w:r>
          </w:p>
        </w:tc>
      </w:tr>
      <w:tr>
        <w:trPr>
          <w:trHeight w:val="210"/>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442,140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3,964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446,104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11,620</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Segment assets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1,189,412</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25,801</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1,215,213</w:t>
            </w:r>
          </w:p>
        </w:tc>
      </w:tr>
      <w:tr>
        <w:trPr>
          <w:trHeight w:val="202"/>
        </w:trPr>
        <w:tc>
          <w:tcPr>
            <w:tcW w:w="5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295,758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3,530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299,288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Segment assets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955,181</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52,129</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1,007,310</w:t>
            </w:r>
          </w:p>
        </w:tc>
      </w:tr>
    </w:tbl>
    <w:p>
      <w:pPr>
        <w:spacing w:after="0" w:line="147"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 Income Taxes</w:t>
      </w:r>
    </w:p>
    <w:p>
      <w:pPr>
        <w:spacing w:after="0" w:line="189"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included accruals for unrecognized income tax benefits totaling $1.5 million as a component of accrued liabilities as of March 31, 2011, and December 31, 2010. The unrecognized tax benefits of $1.5 million at March 31, 2011, if recognized, would impact the Company’s effective tax rate. An unfavorable settlement would require a charge to income tax expense and a favorable resolution would be recognized as a reduction to income tax expense. As of March 31, 2011, the Company accrued interest of $130,000 related to unrecognized tax benefits in the current provision for income taxes. No amounts were accrued for penalties.</w:t>
      </w:r>
    </w:p>
    <w:p>
      <w:pPr>
        <w:spacing w:after="0" w:line="11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does not anticipate a significant change in the amount of unrecognized tax benefits in the next 12 months. As of March 31, 2011, the tax years ended December 31, 2008 through 2010 remained subject to audit by federal tax authorities and the tax years ended December 31, 2006 through 2010, remained subject to audit by state tax authorities.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 Acquisitions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acquisitions were considered business combinations accounted for under ASC 805 “Business Combinations.” Pro forma information is not included in accordance with ASC 805 since no acquisitions were considered material individually or in the aggregate.</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March 14, 2011, the Company acquired certain assets of Asbury Automotive Atlanta L.L.C., a subsidiary of Asbury Automotive Group, Inc., which operates commercial truck and bus dealerships in the metro Atlanta area under the “Nalley Motor Trucks” name. The acquisition includes the International, Hino, Isuzu, UD, IC Bus and Workhorse franchises in metro Atlanta, dealership locations in Atlanta and Doraville and a collision center in Atlanta.</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These locations are operating as Rush Truck Centers and offer commercial vehicles manufactured by International, Hino, Isuzu, UD, IC Bus and Workhorse Custom Chassis in addition to parts, service, body shop, financing and insurance capabilities. The transaction was valued at approximately $55.3 million, with the purchase price paid in cash. The operations of Nalley Motor Trucks are included in the accompanying consolidated financial statements from the date of the acquisition. The preliminary purchase price was allocated based on the fair values of the assets at the date of acquisition as follows (in thousands):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22,854</w:t>
            </w:r>
          </w:p>
        </w:tc>
        <w:tc>
          <w:tcPr>
            <w:tcW w:w="100" w:type="dxa"/>
            <w:vAlign w:val="bottom"/>
            <w:shd w:val="clear" w:color="auto" w:fill="CCEEFF"/>
          </w:tcPr>
          <w:p>
            <w:pPr>
              <w:spacing w:after="0"/>
              <w:rPr>
                <w:sz w:val="18"/>
                <w:szCs w:val="18"/>
                <w:color w:val="auto"/>
              </w:rPr>
            </w:pPr>
          </w:p>
        </w:tc>
      </w:tr>
      <w:tr>
        <w:trPr>
          <w:trHeight w:val="439"/>
        </w:trPr>
        <w:tc>
          <w:tcPr>
            <w:tcW w:w="866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55,287</w:t>
            </w:r>
          </w:p>
        </w:tc>
        <w:tc>
          <w:tcPr>
            <w:tcW w:w="100" w:type="dxa"/>
            <w:vAlign w:val="bottom"/>
          </w:tcPr>
          <w:p>
            <w:pPr>
              <w:spacing w:after="0"/>
              <w:rPr>
                <w:sz w:val="24"/>
                <w:szCs w:val="24"/>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As the value of certain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All of the goodwill acquired in the Nalley Motor Trucks acquisition will be amortized over 15 years for tax purposes.</w:t>
      </w:r>
    </w:p>
    <w:p>
      <w:pPr>
        <w:spacing w:after="0" w:line="13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February 21, 2011, the Company acquired certain assets of Heintzelman’s Truck Center, which consisted of a Ford commercial vehicle dealership in Orlando, Florida. The Company is operating the facility as a full-service Rush Truck Center offering Ford trucks, parts, service, leasing, financing and insurance. The transaction was valued at approximately $4.7 million, with the purchase price paid in cash. The operations of Heintzelman’s Truck Center are included in the accompanying consolidated financial statements from the date of the acquisition. The preliminary purchase price was allocated based on the fair values of the assets at the date of acquisition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23"/>
        </w:trPr>
        <w:tc>
          <w:tcPr>
            <w:tcW w:w="86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r>
      <w:tr>
        <w:trPr>
          <w:trHeight w:val="20"/>
        </w:trPr>
        <w:tc>
          <w:tcPr>
            <w:tcW w:w="8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color w:val="auto"/>
        </w:rPr>
        <w:t>As the value of certain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All of the goodwill acquired in the Heintzelman’s Truck Center acquisition will be amortized over 15 years for tax purposes.</w:t>
      </w:r>
    </w:p>
    <w:p>
      <w:pPr>
        <w:spacing w:after="0" w:line="127"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May 24, 2010, the Company acquired certain assets of Lake City Companies, LLC and certain of its subsidiaries and affiliates (collectively, “Lake City International”). The transaction, including the real estate, was valued at approximately $70.0 million. The preliminary purchase price was allocated based on the fair values of the assets at the date of acquisition. The value of certain assets and liabilities are preliminary in nature and are subject to adjustment as additional information is obtained about the facts and circumstances that existed at the acquisition date. A change to the preliminary valuation of acquired assets and liabilities could result in an adjustment to identified intangibles and goodwill in the second quarter of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 Comprehensive Income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provides a reconciliation of net income to comprehensive income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For the Three Months</w:t>
            </w:r>
          </w:p>
        </w:tc>
      </w:tr>
      <w:tr>
        <w:trPr>
          <w:trHeight w:val="230"/>
        </w:trPr>
        <w:tc>
          <w:tcPr>
            <w:tcW w:w="7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8"/>
                <w:szCs w:val="18"/>
                <w:color w:val="auto"/>
              </w:rPr>
              <w:t>Ended March 31,</w:t>
            </w:r>
          </w:p>
        </w:tc>
      </w:tr>
      <w:tr>
        <w:trPr>
          <w:trHeight w:val="210"/>
        </w:trPr>
        <w:tc>
          <w:tcPr>
            <w:tcW w:w="7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cash flow swaps, net of tax</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730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7,345</w:t>
            </w:r>
          </w:p>
        </w:tc>
        <w:tc>
          <w:tcPr>
            <w:tcW w:w="3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 Discontinued Operations</w:t>
      </w:r>
    </w:p>
    <w:p>
      <w:pPr>
        <w:spacing w:after="0" w:line="189"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results of operations of the construction equipment business have been classified as discontinued operations in the Company’s consolidated statements of income, and excluded from business segment information.</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sales and earnings before income taxes related to the discontinued business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20" w:type="dxa"/>
            <w:vAlign w:val="bottom"/>
            <w:gridSpan w:val="6"/>
          </w:tcPr>
          <w:p>
            <w:pPr>
              <w:jc w:val="right"/>
              <w:ind w:right="200"/>
              <w:spacing w:after="0"/>
              <w:rPr>
                <w:sz w:val="20"/>
                <w:szCs w:val="20"/>
                <w:color w:val="auto"/>
              </w:rPr>
            </w:pPr>
            <w:r>
              <w:rPr>
                <w:rFonts w:ascii="Arial" w:cs="Arial" w:eastAsia="Arial" w:hAnsi="Arial"/>
                <w:sz w:val="18"/>
                <w:szCs w:val="18"/>
                <w:color w:val="auto"/>
                <w:w w:val="93"/>
              </w:rPr>
              <w:t>For The 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7"/>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80" w:type="dxa"/>
            <w:vAlign w:val="bottom"/>
            <w:gridSpan w:val="2"/>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Results of operations from discontinued operations before income taxes</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1280" w:type="dxa"/>
            <w:vAlign w:val="bottom"/>
            <w:gridSpan w:val="2"/>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40" w:type="dxa"/>
            <w:vAlign w:val="bottom"/>
            <w:vMerge w:val="restart"/>
          </w:tcPr>
          <w:p>
            <w:pPr>
              <w:spacing w:after="0"/>
              <w:rPr>
                <w:sz w:val="20"/>
                <w:szCs w:val="20"/>
                <w:color w:val="auto"/>
              </w:rPr>
            </w:pPr>
            <w:r>
              <w:rPr>
                <w:rFonts w:ascii="Arial" w:cs="Arial" w:eastAsia="Arial" w:hAnsi="Arial"/>
                <w:sz w:val="18"/>
                <w:szCs w:val="18"/>
                <w:color w:val="auto"/>
              </w:rPr>
              <w:t>Basic earnings per common share from discontinued operations, net of tax</w:t>
            </w: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555"/>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Diluted earnings per common share and common share equivalents from discontinued</w:t>
            </w: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net of tax</w:t>
            </w:r>
          </w:p>
        </w:tc>
        <w:tc>
          <w:tcPr>
            <w:tcW w:w="1280" w:type="dxa"/>
            <w:vAlign w:val="bottom"/>
            <w:gridSpan w:val="2"/>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340" w:type="dxa"/>
            <w:vAlign w:val="bottom"/>
          </w:tcPr>
          <w:p>
            <w:pPr>
              <w:spacing w:after="0"/>
              <w:rPr>
                <w:sz w:val="24"/>
                <w:szCs w:val="24"/>
                <w:color w:val="auto"/>
              </w:rPr>
            </w:pPr>
          </w:p>
        </w:tc>
        <w:tc>
          <w:tcPr>
            <w:tcW w:w="6740" w:type="dxa"/>
            <w:vAlign w:val="bottom"/>
          </w:tcPr>
          <w:p>
            <w:pPr>
              <w:ind w:left="476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2010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5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02"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General Motors Corporation. Hino</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UD Truck North America, Ltd. Isuzu</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Caterpillar, Inc. PacLease</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Cummins Intellectual Property, Inc. Eaton</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Eaton Corporation. Arvin Meritor</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Meritor Technology</w:t>
      </w:r>
      <w:r>
        <w:rPr>
          <w:rFonts w:ascii="Arial" w:cs="Arial" w:eastAsia="Arial" w:hAnsi="Arial"/>
          <w:sz w:val="17"/>
          <w:szCs w:val="17"/>
          <w:color w:val="auto"/>
        </w:rPr>
        <w:t>,</w:t>
      </w:r>
      <w:r>
        <w:rPr>
          <w:rFonts w:ascii="Arial" w:cs="Arial" w:eastAsia="Arial" w:hAnsi="Arial"/>
          <w:sz w:val="17"/>
          <w:szCs w:val="17"/>
          <w:i w:val="1"/>
          <w:iCs w:val="1"/>
          <w:color w:val="auto"/>
        </w:rPr>
        <w:t xml:space="preserve"> Inc. JPMorgan Chase</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JP Morgan Chase &amp; Co. SAP</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SAP Aktiengesellschaft. International</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Navistar International Transportation Corp. Blue Bird</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Blue Bird Investment Corporation. Autocar</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Shem, LLC. IC Bus</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IC Bus, LLC. Collins Bus Corporation</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Collins Bus Corporation. Fuso</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Mitsubishi Fuso Truck and Bus Corporation. Workhorse</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is a registered trademark of Workhorse Custom Chassis, LLC.</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more than 60 Rush Truck Centers in Alabama, Arizona, California, Colorado, Florida, Georgia, Idaho, New Mexico, North Carolina, Oklahoma, Oregon, Tennessee, Texas and Utah.</w:t>
      </w:r>
    </w:p>
    <w:p>
      <w:pPr>
        <w:spacing w:after="0" w:line="16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3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Construction Equipment Segment will no longer be reported as a separate business segment because the Company sold its John Deere construction equipment business in September 2010. Operating results of the Construction Equipment Segment have been classified as discontinued operations in the financial statements and related discussion and analysis below.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83"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13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13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current economic environment.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19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The Company arranges financing for customers through various institutions and receives financing fees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w:t>
      </w:r>
    </w:p>
    <w:p>
      <w:pPr>
        <w:spacing w:after="0" w:line="114"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may be charged back for unearned financing or insurance contract fees in the event of early termination of the contracts by customers. In the case of finance contracts, a customer may prepay, or fail to pay, thereby terminating the underlying contract. Revenues from these fees are recorded at the time of the sale of a unit and a reserve for future amounts which might be charged back is established based on historical chargeback results and the termination provisions of the applicable contracts, including the impact of refinance and default rates on retail finance contracts and cancellation rates on other insurance products. The Company’s finance and insurance revenue recognition accounting methodology contains uncertainties because it requires management to make assumptions and to apply judgment to estimate future charge-backs. The Company’s estimate of future charge-backs is based primarily on historical experience. The actual amount of historical charge-backs has not been materially different than the Company’s estimates.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Accruals</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53"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Income Taxes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37"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4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4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ended March 31, 2011 and 2010.</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200" w:type="dxa"/>
            <w:vAlign w:val="bottom"/>
          </w:tcPr>
          <w:p>
            <w:pPr>
              <w:ind w:left="38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25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Parts and service sales</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Finance and insurance</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vMerge w:val="continue"/>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commercial vehicles and the absorption rate (revenue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6"/>
            <w:vMerge w:val="restart"/>
          </w:tcPr>
          <w:p>
            <w:pPr>
              <w:jc w:val="right"/>
              <w:ind w:right="820"/>
              <w:spacing w:after="0"/>
              <w:rPr>
                <w:sz w:val="20"/>
                <w:szCs w:val="20"/>
                <w:color w:val="auto"/>
              </w:rPr>
            </w:pPr>
            <w:r>
              <w:rPr>
                <w:rFonts w:ascii="Arial" w:cs="Arial" w:eastAsia="Arial" w:hAnsi="Arial"/>
                <w:sz w:val="18"/>
                <w:szCs w:val="18"/>
                <w:b w:val="1"/>
                <w:bCs w:val="1"/>
                <w:color w:val="auto"/>
                <w:w w:val="99"/>
              </w:rPr>
              <w:t>Three Months Ended</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1"/>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6"/>
            <w:vMerge w:val="continue"/>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2011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4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969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0"/>
              <w:spacing w:after="0"/>
              <w:rPr>
                <w:sz w:val="20"/>
                <w:szCs w:val="20"/>
                <w:color w:val="auto"/>
              </w:rPr>
            </w:pPr>
            <w:r>
              <w:rPr>
                <w:rFonts w:ascii="Arial" w:cs="Arial" w:eastAsia="Arial" w:hAnsi="Arial"/>
                <w:sz w:val="18"/>
                <w:szCs w:val="18"/>
                <w:color w:val="auto"/>
              </w:rPr>
              <w:t>Total new vehicle unit sales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2,268</w:t>
            </w:r>
          </w:p>
        </w:tc>
        <w:tc>
          <w:tcPr>
            <w:tcW w:w="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w:t>
            </w:r>
          </w:p>
        </w:tc>
        <w:tc>
          <w:tcPr>
            <w:tcW w:w="460" w:type="dxa"/>
            <w:vAlign w:val="bottom"/>
            <w:vMerge w:val="continue"/>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b w:val="1"/>
                <w:bCs w:val="1"/>
                <w:color w:val="auto"/>
              </w:rPr>
              <w:t>Vehicle revenue: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37.4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vehicle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Used vehicle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46.4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24.7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b w:val="1"/>
                <w:bCs w:val="1"/>
                <w:color w:val="auto"/>
              </w:rPr>
              <w:t>Absorption rate:</w:t>
            </w:r>
          </w:p>
        </w:tc>
        <w:tc>
          <w:tcPr>
            <w:tcW w:w="2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97.0%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sales of truck bodies, trailers and other new equipment.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Performance Indicator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Absorption Rate</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Management uses several performance metrics to evaluate the performance of its commercial vehicle dealerships, and considers 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109.0% absorption rate for the first quarter of 2011 and 97.0% absorption rate for the first quarter in 2010.</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 2011 Compared to Three Months Ended March 31, 2010</w:t>
      </w:r>
    </w:p>
    <w:p>
      <w:pPr>
        <w:spacing w:after="0" w:line="202"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As general economic conditions in the U.S. continue to improve, the Company has seen increased demand for its product and service offerings. The Company believes that, barring some event that derails the current economic recovery, demand for Class 8 trucks and medium-duty trucks will continue to increase throughout 2011 and 2012. The Company has made several key acquisitions in the last year to take advantage of the strong truck markets expected in the coming years.</w:t>
      </w:r>
    </w:p>
    <w:p>
      <w:pPr>
        <w:spacing w:after="0" w:line="13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Deliveries of Class 8 trucks increased 38.8% in the first quarter of 2011 compared to the first quarter of 2010. The Company and industry analysts expect a strong recovery in commercial vehicle retail sales in 2011, 2012 and 2013. A.C.T. Research Co., LLC (“A.C.T. Research”), a truck industry data and forecasting service provider, currently predicts U.S. retail sales of Class 8 trucks of approximately 179,200 units in 2011, and 235,000 units in 2012, compared to 110,109 units in 2010. The Company believes that if U.S. Class 8 new truck orders continue at the pace set in recent months, 2011 U.S. Class 8 truck sales could reach the range of 180,000 to 200,000 units.</w:t>
      </w:r>
    </w:p>
    <w:p>
      <w:pPr>
        <w:spacing w:after="0" w:line="153"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Deliveries of new medium-duty vehicles, including vehicles that are Class 3 or smaller, increased by 51.1% in the first quarter of 2011, compared to the first quarter of last year. A.C.T. Research currently predicts U.S. retail sales of Class 4, 5, 6, and 7 medium-duty commercial vehicles of approximately 134,500 units in 2011, a 14.46% increase from the number of deliveries in 2010, and 156,000 units in 2012.</w:t>
      </w:r>
    </w:p>
    <w:p>
      <w:pPr>
        <w:spacing w:after="0" w:line="16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Company’s overall parts, service and body shop sales increased 42.9% in the first quarter of 2011 compared to the first quarter of 2010. Despite lost operating days caused by inclement weather conditions throughout most of the country in January and February, the Company was able to achieve a very strong 109.0% absorption rate for the quarter.</w:t>
      </w:r>
    </w:p>
    <w:p>
      <w:pPr>
        <w:spacing w:after="0" w:line="14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completed two acquisitions in the southeast U.S. in the first quarter of 2011. In February, the Company acquired Heintzelman’s Ford in Orlando, Florida, which added a fourth Ford franchise to its dealership network. In March, the Company acquired the International, Hino, Isuzu, UD, IC Bus and Workhorse franchises from Asbury Automotive’s Nalley Motor Trucks in metro-Atlanta. This acquisition will operate as part of the Company’s Navistar Division, which now includes15 full service dealerships and two dedicated collision centers.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Revenues increased $146.8 million, or 49.1%, in the first quarter of 2011 compared to the first quarter of 2010. Sales of new and used commercial vehicles increased $96.9 million, or 53.7%, in the first quarter of 2011 compared to the first quarter of 2010. Demand for commercial vehicles has increased as general economic conditions in the United States have improved and credit is being made available on reasonable terms to a wider range of buyers. Our parts, service and body shop revenues increased in the first quarter of 2011 compared to 2010, primarily due to increased maintenance and repair as commercial vehicle utilization continues to increase.</w:t>
      </w:r>
    </w:p>
    <w:p>
      <w:pPr>
        <w:spacing w:after="0" w:line="11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sold 1,345 heavy-duty trucks in the first quarter of 2011, a 38.8% increase compared to 969 heavy-duty trucks in the first quarter of 2010. The Company’s acquisition of Lake City International contributed to the sale of 96 heavy-duty trucks, or 25.5% of the increase. According to A.C.T. Research, the U.S. Class 8 truck market increased 32.0% in the first quarter of 2011 compared to the first quarter of 2010. The Company’s share of the U.S. Class 8 truck sales market was approximately 4.3% in 2010. The Company expects its market share to range between 4.1% and 4.6% of U.S. Class 8 truck sales in 2011. This market share percentage would result in the sale of approximately 7,300 to 8,200 of Class 8 trucks in 2011 based on A.C.T. Research’s estimate that U.S. retail sales will increase to 179,200 units. The Company’s ability to sell this many trucks may be limited by manufacturer and component suppliers’ ability to increase production substantially over 2010 levels.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The Company sold 923 medium-duty commercial vehicles, including 103 buses and 103 vehicles that are Class 3 or smaller, in the first quarter of 2011. Excluding vehicles that are Class 3 and smaller, this represented a 34.2% increase compared to 611 medium-duty commercial vehicles, including 98 buses, in the first quarter of 2010. The Company’s acquisition of Lake City International contributed to the sale of 31 medium-duty commercial vehicles, including 17 buses, or 15.4% of the increase. A.C.T. Research estimates that unit sales of Class 4 through 7 commercial vehicles in the U.S. increased approximately 13.0% in the first quarter of 2011 compared to the first quarter of 2010. In 2010, the Company achieved a 2.5% share of the Class 4 through 7 commercial vehicle sales market in the U.S. As a result of acquisitions that occurred during 2010, the Company expects its market share to range between 2.6% and 3.0% of U.S. Class 4 through 7 commercial vehicle sales in 2011. This market share percentage would result in the sale of approximately 3,500 to 4,000 of Class 4 through 7 commercial vehicles in 2011 based on A.C.T. Research’s current U.S. retail sales estimates of 134,500 units. The Company expects to sell 450 vehicles that are Class 3 or smaller in 2011.</w:t>
      </w:r>
    </w:p>
    <w:p>
      <w:pPr>
        <w:spacing w:after="0" w:line="14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sold 1,107 used commercial vehicles in the first quarter of 2011, a 61.4% increase compared to 686 used commercial vehicles in the first quarter of 2010. The Company’s acquisition of Lake City International contributed to the sale of 160 used commercial vehicles, or 38.0% of the increase. The Company expects to sell approximately 3,800 to 4,200 used commercial vehicles in 2011. The Company expects used truck sales to be largely dependent upon our ability to acquire quality used commercial vehicles and maintain an adequate used commercial vehicle inventory throughout 2011.</w:t>
      </w:r>
    </w:p>
    <w:p>
      <w:pPr>
        <w:spacing w:after="0" w:line="13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Parts and service sales increased $43.7 million, or 42.9%, in the first quarter of 2011 compared to the first quarter of 2010. The Company’s acquisition of Lake City International contributed $11.9 million of the increase. As commercial vehicle utilization remains high, the Company expects parts, service and body shop sales to continue to remain strong through 2011.</w:t>
      </w:r>
    </w:p>
    <w:p>
      <w:pPr>
        <w:spacing w:after="0" w:line="12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Truck lease and rental revenues increased $5.0 million, or 35.3%, in the first quarter of 2011 compared to the first quarter of 2010. The Company’s acquisition of Lake City International contributed $2.4 million of the increase. The remainder of the increase in lease and rental revenue is consistent with management’s expectations, which are based upon the increased number of units put into service in the lease and rental fleet during 2010 and increased rental fleet utilization. The Company expects lease and rental revenue to increase 10% to 13% during 2011, compared to 2010 based on the increase of units in the lease and rental fleet and the acquisition of Lake City International.</w:t>
      </w:r>
    </w:p>
    <w:p>
      <w:pPr>
        <w:spacing w:after="0" w:line="16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Finance and insurance revenues increased $0.5 million, or 32.5%, in the first quarter of 2011 compared to the first quarter of 2010. The increase in finance and insurance revenue is a direct result of the increase in new and used commercial vehicle sales. The Company expects finance and insurance revenue to fluctuate proportionately with the Company’s new and used commercial vehicle sales in 2011. Finance and insurance revenues have limited direct costs and, therefore, contribute a disproportionate share of the Company’s operating profits.</w:t>
      </w:r>
    </w:p>
    <w:p>
      <w:pPr>
        <w:spacing w:after="0" w:line="14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income increased $0.7 million, or 53.9% in the first quarter of 2011 compared to the first quarter of 2010. Other income consists primarily of the gain on sale realized on trucks from the lease and rental fleet, document fees related to commercial vehicle sales, mineral royalties and purchase discounts.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Gross profit increased $24.3 million, or 41.9%, in the first quarter of 2011, compared to the first quarter of 2010. Gross profit as a percentage of sales decreased to 18.5% in the first quarter of 2011 from 19.6% in the first quarter of 2010. This decrease in gross profit as a percentage of sales is primarily a result of a change in our product sales mix. Commercial vehicle sales, a lower margin revenue item, increased as a percentage of total revenue to 62.2% in 2011, from 60.3% in 2010. Parts and service revenue, a higher margin revenue item, decreased as a percentage of total revenue to 32.6% in 2011, from 34.0% in 2010.</w:t>
      </w:r>
    </w:p>
    <w:p>
      <w:pPr>
        <w:spacing w:after="0" w:line="132"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Gross margins on Class 8 truck sales decreased to 6.3% in the first quarter of 2011, from 7.2% in the first quarter of 2010. The decrease in gross margins is primarily related to the increase in sales to fleet customers compared to the first quarter of 2010. In 2011, the Company expects overall gross margins from Class 8 truck sales to return to historic levels of approximately 6.5% to 7.5%.</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Gross margins on medium-duty commercial vehicle sales decreased to 4.9% in the first quarter of 2011, from 6.3% in the first quarter of 2010. Gross margins on medium-duty commercial vehicles are difficult to forecast accurately because gross margins vary significantly depending upon the mix of fleet and non-fleet purchasers and types of medium-duty commercial vehicles sold. For 2011, the Company expects overall gross margins from medium-duty commercial vehicle sales of approximately 5.5% to 6.2%, but this will largely depend upon general economic conditions and the mix of purchasers.</w:t>
      </w:r>
    </w:p>
    <w:p>
      <w:pPr>
        <w:spacing w:after="0" w:line="146"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Gross margins on used commercial vehicle sales decreased to 10.1% in the first quarter of 2011, from 13.8% in the first quarter of 2010. The Company expects margins on used commercial vehicles will return to the historical range of approximately 8.0% to 10.0% during 2011, but this will largely depend upon general economic conditions and the availability of quality used vehicles.</w:t>
      </w:r>
    </w:p>
    <w:p>
      <w:pPr>
        <w:spacing w:after="0" w:line="106"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Gross margins from the Company’s parts, service and body shop operations increased to 39.1% in the first quarter of 2011, from 38.5% in the first quarter of 2010. Gross profit for the parts, service and body shop departments increased to $56.8 million in the first quarter of 2011 from $39.2 million in the first quarter of 2010. The Company expects gross margins on parts, service and body shop operations to range from 38.0% to 40.0% in 2011.</w:t>
      </w:r>
    </w:p>
    <w:p>
      <w:pPr>
        <w:spacing w:after="0" w:line="14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Gross margins from truck lease and rental sales increased to 15.2% in the first quarter of 2011, from 12.7% in the first quarter of 2010. The increase in lease and rental revenue is primarily attributable to increased utilization of vehicles in the Company’s rental fleet and increased variable rental revenue that is based on the miles that vehicles being leased are driven. The Company expects gross margins from lease and rental sales of approximately 15.0% to 20.0% during 2011.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Selling, General and Administrative (“SG&amp;A”) expenses increased $15.2 million, or 30.3%, in the first quarter of 2011, compared to the first quarter of 2010. SG&amp;A expenses as a percentage of total revenue decreased to 14.6% in the first quarter of 2011, from 16.8% in the first quarter of 2010. SG&amp;A expenses as a percentage of total revenue have historically ranged from 10.0% to 15.0%. In general, when new and used commercial vehicle revenue decreases as a percentage of revenue, SG&amp;A expenses as a percentage of total revenue will be at, or exceed, the higher end of this range. Historically low commercial vehicle revenue during 2009 and early 2010, caused SG&amp;A expenses as a percentage of sales to fall outside this range. For 2011, the Company expects SG&amp;A expenses as a percentage of total revenue to range from 13.0% to 15.0%. For 2011, the Company expects the selling portion of SG&amp;A expenses to be approximately 25% to 30% of new and used commercial vehicle gross profit. In 2011, the Company expects the general and administrative portion of SG&amp;A expenses to increase approximately 15.0% primarily due to an expected increase in personnel costs related to increased parts and service business, the full year effect of acquisitions made in 2010 and the first quarter of 2011, and the reinstatement of certain employee benefits.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Net interest expense decreased $0.1 million, or 7.4%, in the first quarter of 2011 compared to the first quarter of 2010. The Company’s floor plan agreement with GE Capital was modified at the end of 2010, which increased interest rates related to floor plan notes payable, however, net interest expense in 2011 will vary based on inventory levels and cash available for prepayment of floor plan financing.</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9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As a result of the factors described above, income from continuing operations before income taxes increased $8.5 million, or 278.4%, in the first quarter of 2011 compared to the first quarter of 2010. The Company believes that income from continuing operations before income taxes will increase in 2011 compared to 2010 because of the factors described above.</w:t>
      </w: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Income taxes increased $3.2 million, or 278.9%, in the first quarter of 2011, compared to the first quarter of 2010. The Company provided for taxes at a 38.0% effective rate in the first quarter of 2011 compared to an effective rate of 42.0% in the first quarter of 2010. In the first quarter of 2010, the Company received $0.1 million in tax credits for sales of alternative fuel vehicles to tax-exempt entities. The Company expects its effective tax rate to be approximately 36.0% to 39.0% of pretax income in 2011.</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Income from discontinued operations, net of income taxes decreased $0.3 million in the first quarter of 2011 compared to the first quarter of 2010. Income from discontinued operations includes operating results for the Company’s construction equipment business, which was sold in September 2010.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or purchase of new facilities. Historically, these cash requirements have been met through the retention of profits, borrowings under our floor plan arrangements and bank financings. The Company does not expect the absence of cash flows from discontinued operations to materially affect future liquidity and capital resources. As of March 31, 2011, the Company had working capital of approximately $107.8 million, including $101.3 million in cash available to fund our operations. The Company believes that these funds are sufficient to meet any operating requirements for at least the next twelve months.</w:t>
      </w:r>
    </w:p>
    <w:p>
      <w:pPr>
        <w:spacing w:after="0" w:line="127"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Available cash is generally invested in variable interest rate instruments in accordance with the Company’s investment policy which is to invest excess funds in a manner that will provide maximum preservation and safety of principal. The portfolio is maintained to meet anticipated liquidity needs of the Company in order to ensure the availability of cash to meet the Company’s obligations and to minimize potential liquidation losses. As of March 31, 2011, the majority of excess cash is maintained in a depository account or invested in a money market fund that invests exclusively in U.S. Treasury bills, notes and other obligations issued or guaranteed by the U.S. Treasury, and repurchase agreements collateralized by such obligations.</w:t>
      </w:r>
    </w:p>
    <w:p>
      <w:pPr>
        <w:spacing w:after="0" w:line="151"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The Company has a secured line of credit that provides for a maximum borrowing of $8.0 million. There were no advances outstanding under this secured line of credit at March 31, 2011, however, $7.1 million was pledged to secure various letters of credit related to self-insurance products, leaving $0.9 million available for future borrowings as of March 31, 2011.</w:t>
      </w:r>
    </w:p>
    <w:p>
      <w:pPr>
        <w:spacing w:after="0" w:line="12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long-term real estate debt agreements and floor plan credit agreement require the Company to satisfy various financial ratios such as the debt to worth ratio, leverage ratio and the fixed charge coverage ratio and certain requirements for tangible net worth and GAAP net worth. At March 31, 2011, the Company was in compliance with all debt covenants related to debt secured by real estate and its floor plan credit agreement. The Company does not anticipate any breach of the covenants in the foreseeable future.</w:t>
      </w:r>
    </w:p>
    <w:p>
      <w:pPr>
        <w:spacing w:after="0" w:line="148"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Titan Technology Partners is currently implementing SAP enterprise software and a new SAP dealership management system for the Company. The total cost of the SAP software and implementation is estimated to be approximately $39.8 million. As of March 31, 2011, the Company had cumulative expenditures of $38.3 million related to the SAP project. The Company expects to spend approximately $1.5 million to $1.8 million related to the SAP project during the remainder of 2011.</w:t>
      </w:r>
    </w:p>
    <w:p>
      <w:pPr>
        <w:spacing w:after="0" w:line="144"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expects to purchase or lease trucks worth approximately $55.0 million for its leasing operations in 2011, depending on customer demand, all of which will be financed. The Company also expects to make capital expenditures for recurring items such as computers, shop tools and equipment and vehicles of approximately $15.0 million during 2011.</w:t>
      </w:r>
    </w:p>
    <w:p>
      <w:pPr>
        <w:spacing w:after="0" w:line="12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currently anticipates funding its capital expenditures relating to the implementation of the SAP enterprise software and SAP dealership management system, improvement and expansion of existing facilities and recurring expenses, as well as a portion of the construction or purchase of new facilities through its operating cash flow. The Company expects to finance 70% to 80% of the appraised value of any newly constructed or purchased facilities, which will increase the Company’s cash and cash equivalents by that amount.</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firstLine="389"/>
        <w:spacing w:after="0" w:line="286" w:lineRule="auto"/>
        <w:rPr>
          <w:sz w:val="20"/>
          <w:szCs w:val="20"/>
          <w:color w:val="auto"/>
        </w:rPr>
      </w:pPr>
      <w:r>
        <w:rPr>
          <w:rFonts w:ascii="Arial" w:cs="Arial" w:eastAsia="Arial" w:hAnsi="Arial"/>
          <w:sz w:val="17"/>
          <w:szCs w:val="17"/>
          <w:color w:val="auto"/>
        </w:rPr>
        <w:t>The Company has no other material commitments for capital expenditures as of March 31, 2011, except that the Company will continue to purchase vehicles for its lease and rental division and authorize capital expenditures for improvement and expansion of its existing dealership facilities and construction of new facilities based on market opportunities.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jc w:val="both"/>
        <w:ind w:left="340" w:right="1360" w:firstLine="389"/>
        <w:spacing w:after="0" w:line="308" w:lineRule="auto"/>
        <w:rPr>
          <w:sz w:val="20"/>
          <w:szCs w:val="20"/>
          <w:color w:val="auto"/>
        </w:rPr>
      </w:pPr>
      <w:r>
        <w:rPr>
          <w:rFonts w:ascii="Arial" w:cs="Arial" w:eastAsia="Arial" w:hAnsi="Arial"/>
          <w:sz w:val="17"/>
          <w:szCs w:val="17"/>
          <w:color w:val="auto"/>
        </w:rPr>
        <w:t>Cash and cash equivalents decreased by $67.7 million during the three months ended March 31, 2011 and decreased by $3.3 million during the three months ended March 31, 2010. The major components of these changes are discussed below.</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8" w:lineRule="exact"/>
        <w:rPr>
          <w:sz w:val="20"/>
          <w:szCs w:val="20"/>
          <w:color w:val="auto"/>
        </w:rPr>
      </w:pPr>
    </w:p>
    <w:p>
      <w:pPr>
        <w:jc w:val="both"/>
        <w:ind w:left="340" w:right="1360" w:firstLine="389"/>
        <w:spacing w:after="0" w:line="302"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the first quarter of 2011, operating activities resulted in net cash used in operations of $17.3 million. Cash used in operating activities was primarily impacted by the increase in inventories and accounts receivable which was offset by the decrease in accrued expenses. During the first quarter of 2010, operating activities resulted in cash used by operations of $11.7 million.</w:t>
      </w:r>
    </w:p>
    <w:p>
      <w:pPr>
        <w:spacing w:after="0" w:line="114" w:lineRule="exact"/>
        <w:rPr>
          <w:sz w:val="20"/>
          <w:szCs w:val="20"/>
          <w:color w:val="auto"/>
        </w:rPr>
      </w:pPr>
    </w:p>
    <w:p>
      <w:pPr>
        <w:jc w:val="both"/>
        <w:ind w:left="340" w:right="1360" w:firstLine="389"/>
        <w:spacing w:after="0" w:line="253" w:lineRule="auto"/>
        <w:rPr>
          <w:sz w:val="20"/>
          <w:szCs w:val="20"/>
          <w:color w:val="auto"/>
        </w:rPr>
      </w:pPr>
      <w:r>
        <w:rPr>
          <w:rFonts w:ascii="Arial" w:cs="Arial" w:eastAsia="Arial" w:hAnsi="Arial"/>
          <w:sz w:val="18"/>
          <w:szCs w:val="18"/>
          <w:color w:val="auto"/>
        </w:rPr>
        <w:t>Cash flows from operating activities as adjusted for all draws on floor plan notes, except for floor plan related to inventory acquired in business acquisitions, (“Adjusted Cash Flows from Operating Activities”) was $15.5 million for the three months ended March 31, 2011, and $13.7 million for the three months ended March 31, 2010. Generally, all vehicle dealers finance the purchase of vehicles with floor plan borrowings. Our agreements with our floor plan provider require us to repay amounts borrowed for the purchase of such vehicles immediately after they are sold. As a result, changes in floor plan notes payable are directly linked to changes in vehicle inventory. However, as reflected in our consolidated statements of cash flows, changes in inventory are recorded as cash flows from operating activities if such inventory is procured in the normal course of business, or as cash flows from investing activities if such inventory is procured as part of a business acquisition, while all draws on floor plan notes are recorded as cash flows from financing activities.</w:t>
      </w:r>
    </w:p>
    <w:p>
      <w:pPr>
        <w:spacing w:after="0" w:line="157"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60" w:lineRule="exact"/>
        <w:rPr>
          <w:sz w:val="20"/>
          <w:szCs w:val="20"/>
          <w:color w:val="auto"/>
        </w:rPr>
      </w:pPr>
    </w:p>
    <w:p>
      <w:pPr>
        <w:jc w:val="both"/>
        <w:ind w:left="340" w:right="1360" w:firstLine="389"/>
        <w:spacing w:after="0" w:line="293" w:lineRule="auto"/>
        <w:rPr>
          <w:sz w:val="20"/>
          <w:szCs w:val="20"/>
          <w:color w:val="auto"/>
        </w:rPr>
      </w:pPr>
      <w:r>
        <w:rPr>
          <w:rFonts w:ascii="Arial" w:cs="Arial" w:eastAsia="Arial" w:hAnsi="Arial"/>
          <w:sz w:val="16"/>
          <w:szCs w:val="16"/>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except floor plan changes related to acquisitions, were classified as an operating activity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8"/>
                <w:szCs w:val="18"/>
                <w:color w:val="auto"/>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 (GAAP)</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Draws on floor plan notes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46,083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draws on floor plan notes payable related to inventory acquired in business acquisitions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(13,250)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15,502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13,727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ind w:left="476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Cash flows used in investing activities consist primarily of cash used for capital expenditures and business acquisitions. During the first quarter of 2011, cash used in investing activities was $85.8 million. Capital expenditures consisted of purchases of property and equipment and improvements to our existing dealership facilities of $34.3 million. Property and equipment purchases during the first quarter of 2011 consisted of $13.9 million for additional units for rental and leasing operations, which was directly offset by borrowings of long-term debt. The Company expects to purchase or lease trucks worth approximately $55.0 million for its leasing operations in 2011, depending on customer demand, all of which will be financed. Cash used in business acquisitions was $60.0 million during the first quarter of 2011 (See Note 9 — Acquisitions of Notes to Consolidated Financial Statements). During 2011, the Company expects to make capital expenditures for recurring items such as computers, shop equipment and vehicles of approximately $15.0 million, in addition to $1.5 million to $1.8 million for the SAP project described above.</w:t>
      </w:r>
    </w:p>
    <w:p>
      <w:pPr>
        <w:spacing w:after="0" w:line="12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During the first quarter of 2010, cash used in investing activities was $9.9 million. Capital expenditures consisted of purchases of property and equipment and improvements to our existing dealership facilities of $9.9 million. Property and equipment purchases during the first quarter of 2010 consisted of $4.9 million for additional units for rental and leasing operations, which was directly offset by borrowings of long-term debt.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Cash provided by financing activities was $35.5 million during the first quarter of 2011. The Company had borrowings of long-term debt of $11.7 million and repayments of long-term debt of $18.8 million during the first quarter of 2011. The Company had net draws on floor plan notes payable of $46.1 million during the first quarter of 2011. The borrowings of long-term debt were primarily related to units for the rental and leasing operations.</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Cash provided by financing activities was $18.3 million during the first quarter of 2010. The Company had borrowings of long-term debt of $3.1 million and repayments of long-term debt of $8.2 million during the first quarter of 2010. The Company had net draws on floor plan notes payable of $25.4 million during the first quarter of 2010. The borrowings of long-term debt were primarily related to units for the rental and leasing operations.</w:t>
      </w:r>
    </w:p>
    <w:p>
      <w:pPr>
        <w:spacing w:after="0" w:line="146"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Substantially all of the Company’s commercial vehicle purchases are made on terms requiring payment within 15 days or less from the date the commercial vehicles are invoiced from the factory. We financed substantially all of the purchases of commercial vehicle inventory under our $450.0 million credit agreement with GE Capital. All principal amounts outstanding bear interest at a rate per annum equal to the sum of the LIBOR rate plus 2.95%, which is payable monthly. The credit agreement allows for prepayment of the inventory loans, up to 65% of the aggregate inventory loans outstanding, with monthly adjustments to the interest due. The Company makes monthly interest payments to GE Capital on the amount financed, but is not required to commence loan principal repayments on any vehicle until such vehicle has been financed for 12 months or is sold. On March 31, 2011, the Company had approximately $274.4 million outstanding under its credit agreement with GE Capital.</w:t>
      </w:r>
    </w:p>
    <w:p>
      <w:pPr>
        <w:spacing w:after="0" w:line="152"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Navistar Financial Corporation offers a floor plan program that provides an interest free financing period, which varies depending on the commercial vehicle purchased. If the commercial vehicle financed by Navistar is not sold within the interest free finance period, the Company transfers the financed commercial vehicle to the GE Capital credit agreement. On March 31, 2011, the Company had approximately $9.6 million outstanding under the floor plan program with Navistar Financial Corporation.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March 31, 2011, the Company’s backlog of commercial vehicle orders was approximately $576.2 million compared to a backlog of commercial vehicle orders of approximately $83.5 million on March 31, 2010. The Company includes only confirmed orders in its backlog. The delivery time for a custom-ordered commercial vehicle varies depending on the truck specifications and demand for the particular model ordered, however, the Company expects to fill all of its backlog orders during 2011. The Company sells the majority of its new commercial vehicles by customer special order, with the remainder sold out of inventory. Orders from a number of the Company’s major fleet customers are included in the Company’s backlog as of March 31, 2011.</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Cyclicality</w:t>
      </w:r>
    </w:p>
    <w:p>
      <w:pPr>
        <w:spacing w:after="0" w:line="198"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18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37"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5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3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2010, the EPA and the U.S. Department of Transportation (DOT) announced the first national standards to reduce greenhouse gas (GHG) emissions and improve fuel efficiency of heavy-duty trucks and buses. This comprehensive national program is projected to reduce GHG emissions by about 250 million metric tons and save 500 million barrels of oil over the lives of the vehicles produced within the program’s first five years.</w:t>
      </w:r>
    </w:p>
    <w:p>
      <w:pPr>
        <w:spacing w:after="0" w:line="16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EPA and DOT’s National Highway Traffic Safety Administration are proposing new standards for three categories of heavy trucks: combination tractors (the main power unit portion of a tractor-trailer combined vehicle), heavy-duty pickups and vans, and vocational vehicles. The categories were established to address specific challenges for manufacturers in each area. For combination tractors, the agencies are proposing engine and vehicle standards that begin in the 2014 model year and achieve up to a 20 percent reduction in carbon dioxide (CO2) emissions and fuel consumption by 2018 model year.</w:t>
      </w:r>
    </w:p>
    <w:p>
      <w:pPr>
        <w:spacing w:after="0" w:line="13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For heavy-duty pickup trucks and vans, the agencies are proposing separate gasoline and diesel truck standards, which phase in starting in the 2014 model year and achieve up to a 10 percent reduction for gasoline vehicles and 15 percent reduction for diesel vehicles by 2018 model year (12 and 17 percent respectively if accounting for air conditioning leakage). Lastly, for vocational vehicles, the agencies are proposing engine and vehicle standards starting in the 2014 model year which would achieve up to a 10 percent reduction in fuel consumption and CO2 emissions by 2018 model year.</w:t>
      </w:r>
    </w:p>
    <w:p>
      <w:pPr>
        <w:spacing w:after="0" w:line="13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16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200" w:lineRule="exact"/>
        <w:rPr>
          <w:sz w:val="20"/>
          <w:szCs w:val="20"/>
          <w:color w:val="auto"/>
        </w:rPr>
      </w:pP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83"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March 31, 2011, the Company had floor plan borrowings and variable interest rate real estate debt of approximately $365.2 million. Assuming an increase or decrease in LIBOR of 100 basis points, annual interest expense could correspondingly increase or decrease by approximately $3.7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2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March 31, 2011, the Company has interest rate swaps with a total notional amount of $45.0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62"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which totaled $101.3 million on March 31, 2011.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$1.0 million.</w:t>
      </w:r>
    </w:p>
    <w:p>
      <w:pPr>
        <w:spacing w:after="0" w:line="12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4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As of March 31, 2011, the Company holds $7.6 million of auction rate securities with underlying tax-exempt municipal bonds that mature in 2030.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Operations of approximately $0.8 million. For further discussion of the risks related to our auction rate securities, see Note 6 — Financial Instruments and Fair Value of the Notes to Consolidated Financial Statements.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2011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March 31, 2011 that has materially affected, or is reasonably likely to materially affect, the Company’s internal control over financial reporting.</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2010 Annual Report on Form 10-K (the “2010 Annual Report”) describes some of the risks and uncertainties associated with our business that have the potential to materially affect our business, financial condition or results of operations.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has been no material change in our risk factors disclosed in our 2010 Annual Report.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did not make any unregistered sales of equity securities during the first quarter of 2011.</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 did not repurchase any shares of its Class A Common Stock or Class B Common Stock during the first quarter of 2011.</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6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6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82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340" w:type="dxa"/>
            <w:vAlign w:val="bottom"/>
          </w:tcPr>
          <w:p>
            <w:pPr>
              <w:spacing w:after="0"/>
              <w:rPr>
                <w:sz w:val="16"/>
                <w:szCs w:val="16"/>
                <w:color w:val="auto"/>
              </w:rPr>
            </w:pPr>
          </w:p>
        </w:tc>
        <w:tc>
          <w:tcPr>
            <w:tcW w:w="10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3.1</w:t>
            </w: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6"/>
              </w:rPr>
              <w:t>the Company’s Quarterly Report on Form 10-Q (File No. 000-20797) for the quarter ended June 30, 2008)</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4"/>
              </w:rPr>
              <w:t>Rush Enterprises, Inc. Amended and Restated Bylaws (incorporated herein by reference to Exhibit 3.2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5"/>
              </w:rPr>
              <w:t>Company’s Quarterly Report on Form 10-Q (File No. 000-20797) filed for the quarter ended June 30, 2009)</w:t>
            </w:r>
          </w:p>
        </w:tc>
      </w:tr>
      <w:tr>
        <w:trPr>
          <w:trHeight w:val="418"/>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1"/>
              </w:rPr>
              <w:t>Rush Enterprises, Inc. Amended and Restated 2006 Non-Employee Director Stock Plan (incorporated herein by</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6"/>
              </w:rPr>
              <w:t>reference to Exhibit 10.1 of the Company’s Annual Report on Form 10-K (File No. 000-20797) for the year</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ended December 31, 2010)</w:t>
            </w:r>
          </w:p>
        </w:tc>
      </w:tr>
      <w:tr>
        <w:trPr>
          <w:trHeight w:val="418"/>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3"/>
              </w:rPr>
              <w:t>Form of Rush Enterprises, Inc. 2007 Long-Term Incentive Plan Restricted Stock Unit Agreement (incorporated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2"/>
              </w:rPr>
              <w:t>herein by reference to Exhibit 10.1 of the Company’s Current Report on Form 8-K (File No. 000-20797) filed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March 11, 2011)</w:t>
            </w:r>
          </w:p>
        </w:tc>
      </w:tr>
      <w:tr>
        <w:trPr>
          <w:trHeight w:val="418"/>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9"/>
              </w:rPr>
              <w:t>Certification of CEO pursuant to Rules 13a-14(a) and 15d-14(a) adopted pursuant to Section 302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Sarbanes-Oxley Act of 2002.</w:t>
            </w:r>
          </w:p>
        </w:tc>
      </w:tr>
      <w:tr>
        <w:trPr>
          <w:trHeight w:val="418"/>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9"/>
              </w:rPr>
              <w:t>Certification of CFO pursuant to Rules 13a-14(a) and 15d-14(a) adopted pursuant to Section 302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Sarbanes-Oxley Act of 2002.</w:t>
            </w:r>
          </w:p>
        </w:tc>
      </w:tr>
      <w:tr>
        <w:trPr>
          <w:trHeight w:val="418"/>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Oxley Act of 2002.</w:t>
            </w:r>
          </w:p>
        </w:tc>
      </w:tr>
      <w:tr>
        <w:trPr>
          <w:trHeight w:val="418"/>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Oxley Act of 2002.</w:t>
            </w:r>
          </w:p>
        </w:tc>
      </w:tr>
    </w:tbl>
    <w:p>
      <w:pPr>
        <w:spacing w:after="0" w:line="107" w:lineRule="exact"/>
        <w:rPr>
          <w:sz w:val="20"/>
          <w:szCs w:val="20"/>
          <w:color w:val="auto"/>
        </w:rPr>
      </w:pPr>
    </w:p>
    <w:p>
      <w:pPr>
        <w:ind w:left="340" w:right="5179" w:hanging="8"/>
        <w:spacing w:after="0" w:line="328" w:lineRule="auto"/>
        <w:tabs>
          <w:tab w:leader="none" w:pos="732"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38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RUSH ENTERPRISES, INC.</w:t>
            </w:r>
          </w:p>
        </w:tc>
      </w:tr>
      <w:tr>
        <w:trPr>
          <w:trHeight w:val="432"/>
        </w:trPr>
        <w:tc>
          <w:tcPr>
            <w:tcW w:w="3260" w:type="dxa"/>
            <w:vAlign w:val="bottom"/>
          </w:tcPr>
          <w:p>
            <w:pPr>
              <w:ind w:left="340"/>
              <w:spacing w:after="0"/>
              <w:rPr>
                <w:sz w:val="20"/>
                <w:szCs w:val="20"/>
                <w:color w:val="auto"/>
              </w:rPr>
            </w:pPr>
            <w:r>
              <w:rPr>
                <w:rFonts w:ascii="Arial" w:cs="Arial" w:eastAsia="Arial" w:hAnsi="Arial"/>
                <w:sz w:val="18"/>
                <w:szCs w:val="18"/>
                <w:color w:val="auto"/>
              </w:rPr>
              <w:t>Date: May 10, 2011</w:t>
            </w: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/S/ W.M. “RUSTY” RUSH</w:t>
            </w:r>
          </w:p>
        </w:tc>
      </w:tr>
      <w:tr>
        <w:trPr>
          <w:trHeight w:val="195"/>
        </w:trPr>
        <w:tc>
          <w:tcPr>
            <w:tcW w:w="3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276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260" w:type="dxa"/>
            <w:vAlign w:val="bottom"/>
          </w:tcPr>
          <w:p>
            <w:pPr>
              <w:ind w:left="340"/>
              <w:spacing w:after="0"/>
              <w:rPr>
                <w:sz w:val="20"/>
                <w:szCs w:val="20"/>
                <w:color w:val="auto"/>
              </w:rPr>
            </w:pPr>
            <w:r>
              <w:rPr>
                <w:rFonts w:ascii="Arial" w:cs="Arial" w:eastAsia="Arial" w:hAnsi="Arial"/>
                <w:sz w:val="18"/>
                <w:szCs w:val="18"/>
                <w:color w:val="auto"/>
              </w:rPr>
              <w:t>Date: May 10, 2011</w:t>
            </w: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/S/ STEVEN L. KELLER</w:t>
            </w:r>
          </w:p>
        </w:tc>
      </w:tr>
      <w:tr>
        <w:trPr>
          <w:trHeight w:val="195"/>
        </w:trPr>
        <w:tc>
          <w:tcPr>
            <w:tcW w:w="3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276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83"/>
        </w:trPr>
        <w:tc>
          <w:tcPr>
            <w:tcW w:w="3260" w:type="dxa"/>
            <w:vAlign w:val="bottom"/>
          </w:tcPr>
          <w:p>
            <w:pPr>
              <w:spacing w:after="0"/>
              <w:rPr>
                <w:sz w:val="24"/>
                <w:szCs w:val="24"/>
                <w:color w:val="auto"/>
              </w:rPr>
            </w:pPr>
          </w:p>
        </w:tc>
        <w:tc>
          <w:tcPr>
            <w:tcW w:w="5400" w:type="dxa"/>
            <w:vAlign w:val="bottom"/>
            <w:gridSpan w:val="2"/>
          </w:tcPr>
          <w:p>
            <w:pPr>
              <w:ind w:left="1840"/>
              <w:spacing w:after="0"/>
              <w:rPr>
                <w:sz w:val="20"/>
                <w:szCs w:val="20"/>
                <w:color w:val="auto"/>
              </w:rPr>
            </w:pPr>
            <w:r>
              <w:rPr>
                <w:rFonts w:ascii="Arial" w:cs="Arial" w:eastAsia="Arial" w:hAnsi="Arial"/>
                <w:sz w:val="18"/>
                <w:szCs w:val="18"/>
                <w:color w:val="auto"/>
              </w:rPr>
              <w:t>29</w:t>
            </w:r>
          </w:p>
        </w:tc>
        <w:tc>
          <w:tcPr>
            <w:tcW w:w="2760" w:type="dxa"/>
            <w:vAlign w:val="bottom"/>
          </w:tcPr>
          <w:p>
            <w:pPr>
              <w:spacing w:after="0"/>
              <w:rPr>
                <w:sz w:val="24"/>
                <w:szCs w:val="24"/>
                <w:color w:val="auto"/>
              </w:rPr>
            </w:pPr>
          </w:p>
        </w:tc>
      </w:tr>
      <w:tr>
        <w:trPr>
          <w:trHeight w:val="226"/>
        </w:trPr>
        <w:tc>
          <w:tcPr>
            <w:tcW w:w="32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Table of Contents</w:t>
              </w:r>
            </w:hyperlink>
          </w:p>
        </w:tc>
        <w:tc>
          <w:tcPr>
            <w:tcW w:w="280" w:type="dxa"/>
            <w:vAlign w:val="bottom"/>
          </w:tcPr>
          <w:p>
            <w:pPr>
              <w:spacing w:after="0"/>
              <w:rPr>
                <w:sz w:val="17"/>
                <w:szCs w:val="17"/>
                <w:color w:val="auto"/>
              </w:rPr>
            </w:pPr>
          </w:p>
        </w:tc>
        <w:tc>
          <w:tcPr>
            <w:tcW w:w="836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6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340" w:type="dxa"/>
            <w:vAlign w:val="bottom"/>
          </w:tcPr>
          <w:p>
            <w:pPr>
              <w:spacing w:after="0"/>
              <w:rPr>
                <w:sz w:val="24"/>
                <w:szCs w:val="2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Exhibit</w:t>
            </w:r>
          </w:p>
        </w:tc>
        <w:tc>
          <w:tcPr>
            <w:tcW w:w="280" w:type="dxa"/>
            <w:vAlign w:val="bottom"/>
          </w:tcPr>
          <w:p>
            <w:pPr>
              <w:spacing w:after="0"/>
              <w:rPr>
                <w:sz w:val="24"/>
                <w:szCs w:val="24"/>
                <w:color w:val="auto"/>
              </w:rPr>
            </w:pPr>
          </w:p>
        </w:tc>
        <w:tc>
          <w:tcPr>
            <w:tcW w:w="83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80" w:type="dxa"/>
            <w:vAlign w:val="bottom"/>
          </w:tcPr>
          <w:p>
            <w:pPr>
              <w:spacing w:after="0"/>
              <w:rPr>
                <w:sz w:val="20"/>
                <w:szCs w:val="20"/>
                <w:color w:val="auto"/>
              </w:rPr>
            </w:pPr>
          </w:p>
        </w:tc>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34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9"/>
              </w:rPr>
              <w:t>31.1*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spacing w:after="0" w:line="195" w:lineRule="exact"/>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6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31.2*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60" w:type="dxa"/>
            <w:vAlign w:val="bottom"/>
          </w:tcPr>
          <w:p>
            <w:pPr>
              <w:spacing w:after="0"/>
              <w:rPr>
                <w:sz w:val="20"/>
                <w:szCs w:val="20"/>
                <w:color w:val="auto"/>
              </w:rPr>
            </w:pPr>
            <w:r>
              <w:rPr>
                <w:rFonts w:ascii="Arial" w:cs="Arial" w:eastAsia="Arial" w:hAnsi="Arial"/>
                <w:sz w:val="18"/>
                <w:szCs w:val="18"/>
                <w:color w:val="auto"/>
                <w:w w:val="91"/>
              </w:rPr>
              <w:t>Certification of CFO pursuant to Rules 13a-14(a) and 15d-14(a) adopted pursuant to Section 302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60" w:type="dxa"/>
            <w:vAlign w:val="bottom"/>
            <w:gridSpan w:val="2"/>
          </w:tcPr>
          <w:p>
            <w:pPr>
              <w:jc w:val="center"/>
              <w:ind w:left="29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60" w:type="dxa"/>
            <w:vAlign w:val="bottom"/>
          </w:tcPr>
          <w:p>
            <w:pPr>
              <w:spacing w:after="0"/>
              <w:rPr>
                <w:sz w:val="20"/>
                <w:szCs w:val="20"/>
                <w:color w:val="auto"/>
              </w:rPr>
            </w:pPr>
            <w:r>
              <w:rPr>
                <w:rFonts w:ascii="Arial" w:cs="Arial" w:eastAsia="Arial" w:hAnsi="Arial"/>
                <w:sz w:val="18"/>
                <w:szCs w:val="18"/>
                <w:color w:val="auto"/>
                <w:w w:val="90"/>
              </w:rPr>
              <w:t>Certification of CEO pursuant to 18 U.S.C. Section 1350 as adopted pursuant to Section 906 of the Sarbanes-Oxley</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Act of 2002.</w:t>
            </w:r>
          </w:p>
        </w:tc>
      </w:tr>
      <w:tr>
        <w:trPr>
          <w:trHeight w:val="418"/>
        </w:trPr>
        <w:tc>
          <w:tcPr>
            <w:tcW w:w="1360" w:type="dxa"/>
            <w:vAlign w:val="bottom"/>
            <w:gridSpan w:val="2"/>
          </w:tcPr>
          <w:p>
            <w:pPr>
              <w:jc w:val="center"/>
              <w:ind w:left="29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60" w:type="dxa"/>
            <w:vAlign w:val="bottom"/>
          </w:tcPr>
          <w:p>
            <w:pPr>
              <w:spacing w:after="0"/>
              <w:rPr>
                <w:sz w:val="20"/>
                <w:szCs w:val="20"/>
                <w:color w:val="auto"/>
              </w:rPr>
            </w:pPr>
            <w:r>
              <w:rPr>
                <w:rFonts w:ascii="Arial" w:cs="Arial" w:eastAsia="Arial" w:hAnsi="Arial"/>
                <w:sz w:val="18"/>
                <w:szCs w:val="18"/>
                <w:color w:val="auto"/>
                <w:w w:val="90"/>
              </w:rPr>
              <w:t>Certification of CFO pursuant to 18 U.S.C. Section 1350 as adopted pursuant to Section 906 of the Sarbanes-Oxley</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Act of 2002.</w:t>
            </w:r>
          </w:p>
        </w:tc>
      </w:tr>
    </w:tbl>
    <w:p>
      <w:pPr>
        <w:spacing w:after="0" w:line="107"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05" w:right="1440" w:bottom="1440" w:gutter="0" w:footer="0" w:header="0"/>
        </w:sectPr>
      </w:pPr>
    </w:p>
    <w:bookmarkStart w:id="31" w:name="page32"/>
    <w:bookmarkEnd w:id="31"/>
    <w:p>
      <w:pPr>
        <w:jc w:val="right"/>
        <w:ind w:right="159"/>
        <w:spacing w:after="0"/>
        <w:rPr>
          <w:sz w:val="20"/>
          <w:szCs w:val="20"/>
          <w:color w:val="auto"/>
        </w:rPr>
      </w:pPr>
      <w:r>
        <w:rPr>
          <w:rFonts w:ascii="Arial" w:cs="Arial" w:eastAsia="Arial" w:hAnsi="Arial"/>
          <w:sz w:val="18"/>
          <w:szCs w:val="18"/>
          <w:u w:val="single" w:color="auto"/>
          <w:color w:val="auto"/>
        </w:rPr>
        <w:t>EXHIBIT 31.1</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W.M. “Rusty” Rush, certify that:</w:t>
      </w:r>
    </w:p>
    <w:p>
      <w:pPr>
        <w:spacing w:after="0" w:line="185" w:lineRule="exact"/>
        <w:rPr>
          <w:sz w:val="20"/>
          <w:szCs w:val="20"/>
          <w:color w:val="auto"/>
        </w:rPr>
      </w:pPr>
    </w:p>
    <w:p>
      <w:pPr>
        <w:ind w:left="188" w:hanging="188"/>
        <w:spacing w:after="0"/>
        <w:tabs>
          <w:tab w:leader="none" w:pos="188"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179" w:firstLine="381"/>
        <w:spacing w:after="0" w:line="286" w:lineRule="auto"/>
        <w:tabs>
          <w:tab w:leader="none" w:pos="657"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8" w:right="159" w:firstLine="381"/>
        <w:spacing w:after="0" w:line="264"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47"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79" w:firstLine="381"/>
        <w:spacing w:after="0" w:line="264"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159" w:firstLine="381"/>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May 10, 2011</w:t>
            </w:r>
          </w:p>
        </w:tc>
        <w:tc>
          <w:tcPr>
            <w:tcW w:w="5320" w:type="dxa"/>
            <w:vAlign w:val="bottom"/>
            <w:gridSpan w:val="2"/>
          </w:tcPr>
          <w:p>
            <w:pPr>
              <w:ind w:left="1540"/>
              <w:spacing w:after="0"/>
              <w:rPr>
                <w:sz w:val="20"/>
                <w:szCs w:val="20"/>
                <w:color w:val="auto"/>
              </w:rPr>
            </w:pPr>
            <w:r>
              <w:rPr>
                <w:rFonts w:ascii="Arial" w:cs="Arial" w:eastAsia="Arial" w:hAnsi="Arial"/>
                <w:sz w:val="18"/>
                <w:szCs w:val="18"/>
                <w:color w:val="auto"/>
              </w:rPr>
              <w:t>By: /S/ W.M. “RUSTY” RUSH</w:t>
            </w:r>
          </w:p>
        </w:tc>
      </w:tr>
      <w:tr>
        <w:trPr>
          <w:trHeight w:val="195"/>
        </w:trPr>
        <w:tc>
          <w:tcPr>
            <w:tcW w:w="2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87"/>
          </w:cols>
          <w:pgMar w:left="572" w:top="125" w:right="1440" w:bottom="1440" w:gutter="0" w:footer="0" w:header="0"/>
        </w:sectPr>
      </w:pPr>
    </w:p>
    <w:bookmarkStart w:id="32" w:name="page33"/>
    <w:bookmarkEnd w:id="32"/>
    <w:p>
      <w:pPr>
        <w:jc w:val="right"/>
        <w:ind w:right="159"/>
        <w:spacing w:after="0"/>
        <w:rPr>
          <w:sz w:val="20"/>
          <w:szCs w:val="20"/>
          <w:color w:val="auto"/>
        </w:rPr>
      </w:pPr>
      <w:r>
        <w:rPr>
          <w:rFonts w:ascii="Arial" w:cs="Arial" w:eastAsia="Arial" w:hAnsi="Arial"/>
          <w:sz w:val="18"/>
          <w:szCs w:val="18"/>
          <w:u w:val="single" w:color="auto"/>
          <w:color w:val="auto"/>
        </w:rPr>
        <w:t>EXHIBIT 31.2</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179" w:firstLine="381"/>
        <w:spacing w:after="0" w:line="286" w:lineRule="auto"/>
        <w:tabs>
          <w:tab w:leader="none" w:pos="657"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8" w:right="159" w:firstLine="381"/>
        <w:spacing w:after="0" w:line="264"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47"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79" w:firstLine="381"/>
        <w:spacing w:after="0" w:line="264" w:lineRule="auto"/>
        <w:tabs>
          <w:tab w:leader="none" w:pos="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159" w:firstLine="381"/>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Date: May 10, 2011</w:t>
            </w:r>
          </w:p>
        </w:tc>
        <w:tc>
          <w:tcPr>
            <w:tcW w:w="5420" w:type="dxa"/>
            <w:vAlign w:val="bottom"/>
            <w:gridSpan w:val="3"/>
          </w:tcPr>
          <w:p>
            <w:pPr>
              <w:ind w:left="1480"/>
              <w:spacing w:after="0"/>
              <w:rPr>
                <w:sz w:val="20"/>
                <w:szCs w:val="20"/>
                <w:color w:val="auto"/>
              </w:rPr>
            </w:pPr>
            <w:r>
              <w:rPr>
                <w:rFonts w:ascii="Arial" w:cs="Arial" w:eastAsia="Arial" w:hAnsi="Arial"/>
                <w:sz w:val="18"/>
                <w:szCs w:val="18"/>
                <w:color w:val="auto"/>
              </w:rPr>
              <w:t>By: /S/ STEVEN L. KELLER</w:t>
            </w:r>
          </w:p>
        </w:tc>
      </w:tr>
      <w:tr>
        <w:trPr>
          <w:trHeight w:val="195"/>
        </w:trPr>
        <w:tc>
          <w:tcPr>
            <w:tcW w:w="2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2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2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9887"/>
          </w:cols>
          <w:pgMar w:left="572" w:top="125" w:right="1440" w:bottom="1440" w:gutter="0" w:footer="0" w:header="0"/>
        </w:sectPr>
      </w:pPr>
    </w:p>
    <w:bookmarkStart w:id="33" w:name="page34"/>
    <w:bookmarkEnd w:id="33"/>
    <w:p>
      <w:pPr>
        <w:jc w:val="right"/>
        <w:ind w:right="159"/>
        <w:spacing w:after="0"/>
        <w:rPr>
          <w:sz w:val="20"/>
          <w:szCs w:val="20"/>
          <w:color w:val="auto"/>
        </w:rPr>
      </w:pPr>
      <w:r>
        <w:rPr>
          <w:rFonts w:ascii="Arial" w:cs="Arial" w:eastAsia="Arial" w:hAnsi="Arial"/>
          <w:sz w:val="18"/>
          <w:szCs w:val="18"/>
          <w:u w:val="single" w:color="auto"/>
          <w:color w:val="auto"/>
        </w:rPr>
        <w:t>EXHIBIT 32.1</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2011,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740" w:hanging="370"/>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W.M. “RUSTY” RUSH</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600"/>
        <w:spacing w:after="0"/>
        <w:tabs>
          <w:tab w:leader="none" w:pos="5200" w:val="left"/>
        </w:tabs>
        <w:rPr>
          <w:sz w:val="20"/>
          <w:szCs w:val="20"/>
          <w:color w:val="auto"/>
        </w:rPr>
      </w:pPr>
      <w:r>
        <w:rPr>
          <w:rFonts w:ascii="Arial" w:cs="Arial" w:eastAsia="Arial" w:hAnsi="Arial"/>
          <w:sz w:val="18"/>
          <w:szCs w:val="18"/>
          <w:color w:val="auto"/>
        </w:rPr>
        <w:t>Date:</w:t>
        <w:tab/>
        <w:t>May 10, 2011</w:t>
      </w:r>
    </w:p>
    <w:p>
      <w:pPr>
        <w:spacing w:after="0" w:line="170"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517" w:right="1440" w:bottom="1440" w:gutter="0" w:footer="0" w:header="0"/>
        </w:sectPr>
      </w:pPr>
    </w:p>
    <w:bookmarkStart w:id="34" w:name="page35"/>
    <w:bookmarkEnd w:id="34"/>
    <w:p>
      <w:pPr>
        <w:jc w:val="right"/>
        <w:ind w:right="159"/>
        <w:spacing w:after="0"/>
        <w:rPr>
          <w:sz w:val="20"/>
          <w:szCs w:val="20"/>
          <w:color w:val="auto"/>
        </w:rPr>
      </w:pPr>
      <w:r>
        <w:rPr>
          <w:rFonts w:ascii="Arial" w:cs="Arial" w:eastAsia="Arial" w:hAnsi="Arial"/>
          <w:sz w:val="18"/>
          <w:szCs w:val="18"/>
          <w:u w:val="single" w:color="auto"/>
          <w:color w:val="auto"/>
        </w:rPr>
        <w:t>EXHIBIT 32.2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2011,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Vice President and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740" w:hanging="370"/>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/S/ STEVEN L. KELLER</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-130810</wp:posOffset>
            </wp:positionV>
            <wp:extent cx="26498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4280"/>
        <w:spacing w:after="0"/>
        <w:tabs>
          <w:tab w:leader="none" w:pos="484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9" w:lineRule="exact"/>
        <w:rPr>
          <w:sz w:val="20"/>
          <w:szCs w:val="20"/>
          <w:color w:val="auto"/>
        </w:rPr>
      </w:pPr>
    </w:p>
    <w:p>
      <w:pPr>
        <w:ind w:left="4280"/>
        <w:spacing w:after="0"/>
        <w:tabs>
          <w:tab w:leader="none" w:pos="4840" w:val="left"/>
        </w:tabs>
        <w:rPr>
          <w:sz w:val="20"/>
          <w:szCs w:val="20"/>
          <w:color w:val="auto"/>
        </w:rPr>
      </w:pPr>
      <w:r>
        <w:rPr>
          <w:rFonts w:ascii="Arial" w:cs="Arial" w:eastAsia="Arial" w:hAnsi="Arial"/>
          <w:sz w:val="18"/>
          <w:szCs w:val="18"/>
          <w:color w:val="auto"/>
        </w:rPr>
        <w:t>Date:</w:t>
        <w:tab/>
        <w:t>May 10, 2011</w:t>
      </w:r>
    </w:p>
    <w:p>
      <w:pPr>
        <w:spacing w:after="0" w:line="184"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2019-12-10T14:39:16Z</dcterms:created>
  <dcterms:modified xsi:type="dcterms:W3CDTF">2019-12-10T14:39:16Z</dcterms:modified>
</cp:coreProperties>
</file>