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Chess Raymond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IH 35 SOUTH, SUITE 500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BRAUNFELS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RUSH ENTERPRISES INC \TX\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RUSHA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55"/>
        <w:gridCol w:w="462"/>
        <w:gridCol w:w="624"/>
        <w:gridCol w:w="1249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1,938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49,063.5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28, 2023, the Issuer effected a 3-for-2 stock split of its common stock. The amount of securities reported on this Form 4 have been adjusted to reflect the stock split.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L. Keller, Attorney in Fact for Ray Chess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93040" TargetMode="External"/><Relationship Id="rId4" Type="http://schemas.openxmlformats.org/officeDocument/2006/relationships/hyperlink" Target="http://www.sec.gov/cgi-bin/browse-edgar?action=getcompany&amp;CIK=000101201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3199</Characters>
  <CharactersWithSpaces>3737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