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18" w:lineRule="exact"/>
        <w:rPr>
          <w:rFonts w:ascii="Arial" w:cs="Arial" w:eastAsia="Arial" w:hAnsi="Arial"/>
          <w:sz w:val="17"/>
          <w:szCs w:val="17"/>
          <w:color w:val="auto"/>
        </w:rPr>
      </w:pPr>
    </w:p>
    <w:p>
      <w:pPr>
        <w:ind w:left="3980"/>
        <w:spacing w:after="0"/>
        <w:rPr>
          <w:rFonts w:ascii="Arial" w:cs="Arial" w:eastAsia="Arial" w:hAnsi="Arial"/>
          <w:sz w:val="17"/>
          <w:szCs w:val="17"/>
          <w:color w:val="auto"/>
        </w:rPr>
      </w:pPr>
      <w:r>
        <w:rPr>
          <w:rFonts w:ascii="Arial" w:cs="Arial" w:eastAsia="Arial" w:hAnsi="Arial"/>
          <w:sz w:val="18"/>
          <w:szCs w:val="18"/>
          <w:b w:val="1"/>
          <w:bCs w:val="1"/>
          <w:color w:val="auto"/>
        </w:rPr>
        <w:t>For the quarterly period ended June 30, 2016</w:t>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right="2100" w:firstLine="8"/>
        <w:spacing w:after="0" w:line="521" w:lineRule="auto"/>
        <w:tabs>
          <w:tab w:leader="none" w:pos="150"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0-20797</w:t>
      </w:r>
    </w:p>
    <w:p>
      <w:pPr>
        <w:spacing w:after="0" w:line="200" w:lineRule="exact"/>
        <w:rPr>
          <w:sz w:val="24"/>
          <w:szCs w:val="24"/>
          <w:color w:val="auto"/>
        </w:rPr>
      </w:pP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226" w:right="199" w:bottom="1440" w:gutter="0" w:footer="0" w:header="0"/>
        </w:sectPr>
      </w:pPr>
    </w:p>
    <w:p>
      <w:pPr>
        <w:spacing w:after="0" w:line="211"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Texas</w:t>
      </w:r>
    </w:p>
    <w:p>
      <w:pPr>
        <w:spacing w:after="0" w:line="23"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580"/>
        <w:spacing w:after="0"/>
        <w:rPr>
          <w:sz w:val="20"/>
          <w:szCs w:val="20"/>
          <w:color w:val="auto"/>
        </w:rPr>
      </w:pPr>
      <w:r>
        <w:rPr>
          <w:rFonts w:ascii="Arial" w:cs="Arial" w:eastAsia="Arial" w:hAnsi="Arial"/>
          <w:sz w:val="18"/>
          <w:szCs w:val="18"/>
          <w:color w:val="auto"/>
        </w:rPr>
        <w:t>74-1733016</w:t>
      </w:r>
    </w:p>
    <w:p>
      <w:pPr>
        <w:spacing w:after="0" w:line="23" w:lineRule="exact"/>
        <w:rPr>
          <w:sz w:val="24"/>
          <w:szCs w:val="24"/>
          <w:color w:val="auto"/>
        </w:rPr>
      </w:pPr>
    </w:p>
    <w:p>
      <w:pPr>
        <w:jc w:val="center"/>
        <w:ind w:right="158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540" w:space="720"/>
            <w:col w:w="4200"/>
          </w:cols>
          <w:pgMar w:left="240" w:top="226" w:right="199" w:bottom="1440" w:gutter="0" w:footer="0" w:header="0"/>
          <w:type w:val="continuous"/>
        </w:sectPr>
      </w:pP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60"/>
          </w:cols>
          <w:pgMar w:left="240" w:top="226" w:right="199" w:bottom="1440" w:gutter="0" w:footer="0" w:header="0"/>
          <w:type w:val="continuous"/>
        </w:sectPr>
      </w:pP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(830) 302-5200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both"/>
        <w:ind w:right="260"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740"/>
        <w:spacing w:after="0"/>
        <w:tabs>
          <w:tab w:leader="none" w:pos="61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ind w:left="4740"/>
        <w:spacing w:after="0"/>
        <w:tabs>
          <w:tab w:leader="none" w:pos="61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60"/>
          </w:cols>
          <w:pgMar w:left="240" w:top="226" w:right="199" w:bottom="1440" w:gutter="0" w:footer="0" w:header="0"/>
          <w:type w:val="continuous"/>
        </w:sectPr>
      </w:pPr>
    </w:p>
    <w:p>
      <w:pPr>
        <w:spacing w:after="0" w:line="232"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120" w:space="720"/>
            <w:col w:w="3620"/>
          </w:cols>
          <w:pgMar w:left="240" w:top="226" w:right="199" w:bottom="1440" w:gutter="0" w:footer="0" w:header="0"/>
          <w:type w:val="continuous"/>
        </w:sectPr>
      </w:pPr>
    </w:p>
    <w:p>
      <w:pPr>
        <w:spacing w:after="0" w:line="4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6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7120" w:space="720"/>
            <w:col w:w="3620"/>
          </w:cols>
          <w:pgMar w:left="240" w:top="226" w:right="199" w:bottom="1440" w:gutter="0" w:footer="0" w:header="0"/>
          <w:type w:val="continuous"/>
        </w:sectPr>
      </w:pPr>
    </w:p>
    <w:p>
      <w:pPr>
        <w:spacing w:after="0" w:line="3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4740"/>
        <w:spacing w:after="0"/>
        <w:tabs>
          <w:tab w:leader="none" w:pos="614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ectPr>
          <w:pgSz w:w="11900" w:h="16838" w:orient="portrait"/>
          <w:cols w:equalWidth="0" w:num="1">
            <w:col w:w="11460"/>
          </w:cols>
          <w:pgMar w:left="240" w:top="226" w:right="199" w:bottom="1440" w:gutter="0" w:footer="0" w:header="0"/>
          <w:type w:val="continuous"/>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August 1, 2016.</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460" w:type="dxa"/>
            <w:vAlign w:val="bottom"/>
            <w:gridSpan w:val="3"/>
          </w:tcPr>
          <w:p>
            <w:pPr>
              <w:jc w:val="right"/>
              <w:ind w:right="1660"/>
              <w:spacing w:after="0"/>
              <w:rPr>
                <w:sz w:val="20"/>
                <w:szCs w:val="20"/>
                <w:color w:val="auto"/>
              </w:rPr>
            </w:pPr>
            <w:r>
              <w:rPr>
                <w:rFonts w:ascii="Arial" w:cs="Arial" w:eastAsia="Arial" w:hAnsi="Arial"/>
                <w:sz w:val="18"/>
                <w:szCs w:val="18"/>
                <w:color w:val="auto"/>
              </w:rPr>
              <w:t>Number of Shares</w:t>
            </w:r>
          </w:p>
        </w:tc>
      </w:tr>
      <w:tr>
        <w:trPr>
          <w:trHeight w:val="190"/>
        </w:trPr>
        <w:tc>
          <w:tcPr>
            <w:tcW w:w="1740" w:type="dxa"/>
            <w:vAlign w:val="bottom"/>
          </w:tcPr>
          <w:p>
            <w:pPr>
              <w:spacing w:after="0"/>
              <w:rPr>
                <w:sz w:val="16"/>
                <w:szCs w:val="16"/>
                <w:color w:val="auto"/>
              </w:rPr>
            </w:pPr>
          </w:p>
        </w:tc>
        <w:tc>
          <w:tcPr>
            <w:tcW w:w="4260" w:type="dxa"/>
            <w:vAlign w:val="bottom"/>
            <w:gridSpan w:val="2"/>
          </w:tcPr>
          <w:p>
            <w:pPr>
              <w:spacing w:after="0" w:line="190" w:lineRule="exact"/>
              <w:rPr>
                <w:sz w:val="20"/>
                <w:szCs w:val="20"/>
                <w:color w:val="auto"/>
              </w:rPr>
            </w:pPr>
            <w:r>
              <w:rPr>
                <w:rFonts w:ascii="Arial" w:cs="Arial" w:eastAsia="Arial" w:hAnsi="Arial"/>
                <w:sz w:val="18"/>
                <w:szCs w:val="18"/>
                <w:color w:val="auto"/>
              </w:rPr>
              <w:t>Title of Class</w:t>
            </w:r>
          </w:p>
        </w:tc>
        <w:tc>
          <w:tcPr>
            <w:tcW w:w="2700" w:type="dxa"/>
            <w:vAlign w:val="bottom"/>
          </w:tcPr>
          <w:p>
            <w:pPr>
              <w:spacing w:after="0"/>
              <w:rPr>
                <w:sz w:val="16"/>
                <w:szCs w:val="16"/>
                <w:color w:val="auto"/>
              </w:rPr>
            </w:pPr>
          </w:p>
        </w:tc>
        <w:tc>
          <w:tcPr>
            <w:tcW w:w="2760" w:type="dxa"/>
            <w:vAlign w:val="bottom"/>
            <w:gridSpan w:val="2"/>
          </w:tcPr>
          <w:p>
            <w:pPr>
              <w:jc w:val="right"/>
              <w:ind w:right="1880"/>
              <w:spacing w:after="0" w:line="190" w:lineRule="exact"/>
              <w:rPr>
                <w:sz w:val="20"/>
                <w:szCs w:val="20"/>
                <w:color w:val="auto"/>
              </w:rPr>
            </w:pPr>
            <w:r>
              <w:rPr>
                <w:rFonts w:ascii="Arial" w:cs="Arial" w:eastAsia="Arial" w:hAnsi="Arial"/>
                <w:sz w:val="18"/>
                <w:szCs w:val="18"/>
                <w:color w:val="auto"/>
                <w:w w:val="88"/>
              </w:rPr>
              <w:t>Outstanding</w:t>
            </w:r>
          </w:p>
        </w:tc>
      </w:tr>
      <w:tr>
        <w:trPr>
          <w:trHeight w:val="20"/>
        </w:trPr>
        <w:tc>
          <w:tcPr>
            <w:tcW w:w="1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2"/>
        </w:trPr>
        <w:tc>
          <w:tcPr>
            <w:tcW w:w="6000" w:type="dxa"/>
            <w:vAlign w:val="bottom"/>
            <w:gridSpan w:val="3"/>
          </w:tcPr>
          <w:p>
            <w:pPr>
              <w:ind w:left="660"/>
              <w:spacing w:after="0"/>
              <w:rPr>
                <w:sz w:val="20"/>
                <w:szCs w:val="20"/>
                <w:color w:val="auto"/>
              </w:rPr>
            </w:pPr>
            <w:r>
              <w:rPr>
                <w:rFonts w:ascii="Arial" w:cs="Arial" w:eastAsia="Arial" w:hAnsi="Arial"/>
                <w:sz w:val="18"/>
                <w:szCs w:val="18"/>
                <w:color w:val="auto"/>
              </w:rPr>
              <w:t>Class A Common Stock, $.01 Par Value</w:t>
            </w:r>
          </w:p>
        </w:tc>
        <w:tc>
          <w:tcPr>
            <w:tcW w:w="5460" w:type="dxa"/>
            <w:vAlign w:val="bottom"/>
            <w:gridSpan w:val="3"/>
          </w:tcPr>
          <w:p>
            <w:pPr>
              <w:jc w:val="right"/>
              <w:ind w:right="1520"/>
              <w:spacing w:after="0"/>
              <w:rPr>
                <w:sz w:val="20"/>
                <w:szCs w:val="20"/>
                <w:color w:val="auto"/>
              </w:rPr>
            </w:pPr>
            <w:r>
              <w:rPr>
                <w:rFonts w:ascii="Arial" w:cs="Arial" w:eastAsia="Arial" w:hAnsi="Arial"/>
                <w:sz w:val="18"/>
                <w:szCs w:val="18"/>
                <w:color w:val="auto"/>
              </w:rPr>
              <w:t>29,695,203</w:t>
            </w:r>
          </w:p>
        </w:tc>
      </w:tr>
      <w:tr>
        <w:trPr>
          <w:trHeight w:val="230"/>
        </w:trPr>
        <w:tc>
          <w:tcPr>
            <w:tcW w:w="6000" w:type="dxa"/>
            <w:vAlign w:val="bottom"/>
            <w:gridSpan w:val="3"/>
          </w:tcPr>
          <w:p>
            <w:pPr>
              <w:ind w:left="660"/>
              <w:spacing w:after="0"/>
              <w:rPr>
                <w:sz w:val="20"/>
                <w:szCs w:val="20"/>
                <w:color w:val="auto"/>
              </w:rPr>
            </w:pPr>
            <w:r>
              <w:rPr>
                <w:rFonts w:ascii="Arial" w:cs="Arial" w:eastAsia="Arial" w:hAnsi="Arial"/>
                <w:sz w:val="18"/>
                <w:szCs w:val="18"/>
                <w:color w:val="auto"/>
              </w:rPr>
              <w:t>Class B Common Stock, $.01 Par Value</w:t>
            </w:r>
          </w:p>
        </w:tc>
        <w:tc>
          <w:tcPr>
            <w:tcW w:w="5460" w:type="dxa"/>
            <w:vAlign w:val="bottom"/>
            <w:gridSpan w:val="3"/>
          </w:tcPr>
          <w:p>
            <w:pPr>
              <w:jc w:val="right"/>
              <w:ind w:right="1520"/>
              <w:spacing w:after="0"/>
              <w:rPr>
                <w:sz w:val="20"/>
                <w:szCs w:val="20"/>
                <w:color w:val="auto"/>
              </w:rPr>
            </w:pPr>
            <w:r>
              <w:rPr>
                <w:rFonts w:ascii="Arial" w:cs="Arial" w:eastAsia="Arial" w:hAnsi="Arial"/>
                <w:sz w:val="18"/>
                <w:szCs w:val="18"/>
                <w:color w:val="auto"/>
              </w:rPr>
              <w:t>9,966,230</w:t>
            </w:r>
          </w:p>
        </w:tc>
      </w:tr>
      <w:tr>
        <w:trPr>
          <w:trHeight w:val="834"/>
        </w:trPr>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61"/>
        </w:trPr>
        <w:tc>
          <w:tcPr>
            <w:tcW w:w="17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3300" w:type="dxa"/>
            <w:vAlign w:val="bottom"/>
            <w:shd w:val="clear" w:color="auto" w:fill="808080"/>
          </w:tcPr>
          <w:p>
            <w:pPr>
              <w:spacing w:after="0"/>
              <w:rPr>
                <w:sz w:val="5"/>
                <w:szCs w:val="5"/>
                <w:color w:val="auto"/>
              </w:rPr>
            </w:pPr>
          </w:p>
        </w:tc>
        <w:tc>
          <w:tcPr>
            <w:tcW w:w="27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6" w:right="19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62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820" w:type="dxa"/>
            <w:vAlign w:val="bottom"/>
            <w:gridSpan w:val="3"/>
          </w:tcPr>
          <w:p>
            <w:pPr>
              <w:ind w:left="400"/>
              <w:spacing w:after="0"/>
              <w:rPr>
                <w:sz w:val="20"/>
                <w:szCs w:val="20"/>
                <w:color w:val="auto"/>
              </w:rPr>
            </w:pPr>
            <w:r>
              <w:rPr>
                <w:rFonts w:ascii="Arial" w:cs="Arial" w:eastAsia="Arial" w:hAnsi="Arial"/>
                <w:sz w:val="18"/>
                <w:szCs w:val="18"/>
                <w:b w:val="1"/>
                <w:bCs w:val="1"/>
                <w:color w:val="auto"/>
                <w:w w:val="92"/>
              </w:rPr>
              <w:t>Page</w:t>
            </w:r>
          </w:p>
        </w:tc>
      </w:tr>
      <w:tr>
        <w:trPr>
          <w:trHeight w:val="412"/>
        </w:trPr>
        <w:tc>
          <w:tcPr>
            <w:tcW w:w="2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100" w:type="dxa"/>
            <w:vAlign w:val="bottom"/>
            <w:gridSpan w:val="9"/>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 June 30, 2016 (unaudited) and December 31, 2015</w:t>
              </w:r>
            </w:hyperlink>
          </w:p>
        </w:tc>
        <w:tc>
          <w:tcPr>
            <w:tcW w:w="3720" w:type="dxa"/>
            <w:vAlign w:val="bottom"/>
            <w:gridSpan w:val="4"/>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and Comprehensive Income - For the Three and Six Months Ended June 30, 2016 and 2015</w:t>
              </w:r>
            </w:hyperlink>
          </w:p>
        </w:tc>
        <w:tc>
          <w:tcPr>
            <w:tcW w:w="400" w:type="dxa"/>
            <w:vAlign w:val="bottom"/>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 For the Six Months Ended June 30, 2016 and 2015 (unaudited)</w:t>
              </w:r>
            </w:hyperlink>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Consolidated Financial Statements (unaudited)</w:t>
              </w:r>
            </w:hyperlink>
          </w:p>
        </w:tc>
        <w:tc>
          <w:tcPr>
            <w:tcW w:w="3520" w:type="dxa"/>
            <w:vAlign w:val="bottom"/>
            <w:tcBorders>
              <w:top w:val="single" w:sz="8" w:color="0000EE"/>
            </w:tcBorders>
            <w:gridSpan w:val="4"/>
          </w:tcPr>
          <w:p>
            <w:pPr>
              <w:spacing w:after="0"/>
              <w:rPr>
                <w:sz w:val="24"/>
                <w:szCs w:val="24"/>
                <w:color w:val="auto"/>
              </w:rPr>
            </w:pPr>
          </w:p>
        </w:tc>
        <w:tc>
          <w:tcPr>
            <w:tcW w:w="2060" w:type="dxa"/>
            <w:vAlign w:val="bottom"/>
            <w:gridSpan w:val="2"/>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20" w:type="dxa"/>
            <w:vAlign w:val="bottom"/>
          </w:tcPr>
          <w:p>
            <w:pPr>
              <w:spacing w:after="0"/>
              <w:rPr>
                <w:sz w:val="24"/>
                <w:szCs w:val="24"/>
                <w:color w:val="auto"/>
              </w:rPr>
            </w:pPr>
          </w:p>
        </w:tc>
        <w:tc>
          <w:tcPr>
            <w:tcW w:w="10620" w:type="dxa"/>
            <w:vAlign w:val="bottom"/>
            <w:gridSpan w:val="17"/>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4">
              <w:r>
                <w:rPr>
                  <w:rFonts w:ascii="Arial" w:cs="Arial" w:eastAsia="Arial" w:hAnsi="Arial"/>
                  <w:sz w:val="18"/>
                  <w:szCs w:val="18"/>
                  <w:color w:val="0000EE"/>
                </w:rPr>
                <w:t>Management’s Discussion and Analysis of Financial Condition and Results of Operations</w:t>
              </w:r>
            </w:hyperlink>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620" w:type="dxa"/>
            <w:vAlign w:val="bottom"/>
            <w:gridSpan w:val="17"/>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7">
              <w:r>
                <w:rPr>
                  <w:rFonts w:ascii="Arial" w:cs="Arial" w:eastAsia="Arial" w:hAnsi="Arial"/>
                  <w:sz w:val="18"/>
                  <w:szCs w:val="18"/>
                  <w:color w:val="0000EE"/>
                </w:rPr>
                <w:t>Quantitative and Qualitative Disclosures About Market Risk</w:t>
              </w:r>
            </w:hyperlink>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60" w:type="dxa"/>
            <w:vAlign w:val="bottom"/>
            <w:tcBorders>
              <w:left w:val="single" w:sz="8" w:color="0000EE"/>
            </w:tcBorders>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620" w:type="dxa"/>
            <w:vAlign w:val="bottom"/>
            <w:gridSpan w:val="17"/>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7">
              <w:r>
                <w:rPr>
                  <w:rFonts w:ascii="Arial" w:cs="Arial" w:eastAsia="Arial" w:hAnsi="Arial"/>
                  <w:sz w:val="18"/>
                  <w:szCs w:val="18"/>
                  <w:color w:val="0000EE"/>
                </w:rPr>
                <w:t>Controls and Procedures</w:t>
              </w:r>
            </w:hyperlink>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1062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Item 1.</w:t>
            </w:r>
          </w:p>
        </w:tc>
        <w:tc>
          <w:tcPr>
            <w:tcW w:w="960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r>
      <w:tr>
        <w:trPr>
          <w:trHeight w:val="412"/>
        </w:trPr>
        <w:tc>
          <w:tcPr>
            <w:tcW w:w="2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Item</w:t>
            </w: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8280" w:type="dxa"/>
            <w:vAlign w:val="bottom"/>
            <w:gridSpan w:val="10"/>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r>
      <w:tr>
        <w:trPr>
          <w:trHeight w:val="237"/>
        </w:trPr>
        <w:tc>
          <w:tcPr>
            <w:tcW w:w="20" w:type="dxa"/>
            <w:vAlign w:val="bottom"/>
          </w:tcPr>
          <w:p>
            <w:pPr>
              <w:spacing w:after="0"/>
              <w:rPr>
                <w:sz w:val="20"/>
                <w:szCs w:val="20"/>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1A.</w:t>
            </w:r>
          </w:p>
        </w:tc>
        <w:tc>
          <w:tcPr>
            <w:tcW w:w="1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10620" w:type="dxa"/>
            <w:vAlign w:val="bottom"/>
            <w:gridSpan w:val="17"/>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8">
              <w:r>
                <w:rPr>
                  <w:rFonts w:ascii="Arial" w:cs="Arial" w:eastAsia="Arial" w:hAnsi="Arial"/>
                  <w:sz w:val="18"/>
                  <w:szCs w:val="18"/>
                  <w:color w:val="0000EE"/>
                </w:rPr>
                <w:t>Unregistered Sales of Equity Securities and Use of Proceeds</w:t>
              </w:r>
            </w:hyperlink>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620" w:type="dxa"/>
            <w:vAlign w:val="bottom"/>
            <w:gridSpan w:val="17"/>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9">
              <w:r>
                <w:rPr>
                  <w:rFonts w:ascii="Arial" w:cs="Arial" w:eastAsia="Arial" w:hAnsi="Arial"/>
                  <w:sz w:val="18"/>
                  <w:szCs w:val="18"/>
                  <w:color w:val="0000EE"/>
                </w:rPr>
                <w:t>Defaults Upon Senior Securities</w:t>
              </w:r>
            </w:hyperlink>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728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620" w:type="dxa"/>
            <w:vAlign w:val="bottom"/>
            <w:gridSpan w:val="17"/>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9">
              <w:r>
                <w:rPr>
                  <w:rFonts w:ascii="Arial" w:cs="Arial" w:eastAsia="Arial" w:hAnsi="Arial"/>
                  <w:sz w:val="18"/>
                  <w:szCs w:val="18"/>
                  <w:color w:val="0000EE"/>
                </w:rPr>
                <w:t>Mine Safety Disclosures</w:t>
              </w:r>
            </w:hyperlink>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r>
      <w:tr>
        <w:trPr>
          <w:trHeight w:val="412"/>
        </w:trPr>
        <w:tc>
          <w:tcPr>
            <w:tcW w:w="2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840" w:type="dxa"/>
            <w:vAlign w:val="bottom"/>
            <w:gridSpan w:val="8"/>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r>
      <w:tr>
        <w:trPr>
          <w:trHeight w:val="412"/>
        </w:trPr>
        <w:tc>
          <w:tcPr>
            <w:tcW w:w="2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300" w:type="dxa"/>
            <w:vAlign w:val="bottom"/>
            <w:gridSpan w:val="11"/>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r>
      <w:tr>
        <w:trPr>
          <w:trHeight w:val="412"/>
        </w:trPr>
        <w:tc>
          <w:tcPr>
            <w:tcW w:w="2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30">
              <w:r>
                <w:rPr>
                  <w:rFonts w:ascii="Arial" w:cs="Arial" w:eastAsia="Arial" w:hAnsi="Arial"/>
                  <w:sz w:val="18"/>
                  <w:szCs w:val="18"/>
                  <w:b w:val="1"/>
                  <w:bCs w:val="1"/>
                  <w:color w:val="0000EE"/>
                  <w:w w:val="96"/>
                </w:rPr>
                <w:t>SIGNATURES</w:t>
              </w:r>
            </w:hyperlink>
          </w:p>
        </w:tc>
        <w:tc>
          <w:tcPr>
            <w:tcW w:w="9460" w:type="dxa"/>
            <w:vAlign w:val="bottom"/>
            <w:gridSpan w:val="15"/>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r>
      <w:tr>
        <w:trPr>
          <w:trHeight w:val="69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80" w:type="dxa"/>
            <w:vAlign w:val="bottom"/>
            <w:gridSpan w:val="12"/>
          </w:tcPr>
          <w:p>
            <w:pPr>
              <w:ind w:left="462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540" w:type="dxa"/>
            <w:vAlign w:val="bottom"/>
            <w:tcBorders>
              <w:left w:val="single" w:sz="8" w:color="808080"/>
            </w:tcBorders>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30, 2016 AND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13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92,664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127,510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1,038,598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20,186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1,302,541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1,157,252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Goodwill,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285,041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2,812,695</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2,852,008</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Floor plan notes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830,092</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14,303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 directly associated with assets held for sale</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84,073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1,204,604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Long-term debt, net of current maturities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496,658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Preferred stock, par value $.01 per share; 1,000,000 shares authorized; 0 shares outstanding in 2016 and</w:t>
            </w:r>
          </w:p>
        </w:tc>
        <w:tc>
          <w:tcPr>
            <w:tcW w:w="20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2015</w:t>
            </w:r>
          </w:p>
        </w:tc>
        <w:tc>
          <w:tcPr>
            <w:tcW w:w="5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9"/>
              </w:rPr>
              <w:t>Common stock, par value $.01 per share; 60,000,000 class A shares and 20,000,000 class B shares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w w:val="90"/>
              </w:rPr>
              <w:t>authorized; 29,615,609 class A shares and 10,167,314 class B shares outstanding in 2016; and 30,303,818</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class A shares and 10,093,305 class B shares outstanding in 2015</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0"/>
              </w:rPr>
              <w:t>Treasury stock, at cost: 934,171 class A shares and 2,728,624 class B shares in 2016; and 2,616,657 class B</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shares in 2015</w:t>
            </w:r>
          </w:p>
        </w:tc>
        <w:tc>
          <w:tcPr>
            <w:tcW w:w="20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(63,667)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613,058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846,007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2,812,695</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2,852,008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636,853</w:t>
            </w:r>
          </w:p>
        </w:tc>
        <w:tc>
          <w:tcPr>
            <w:tcW w:w="140" w:type="dxa"/>
            <w:vAlign w:val="bottom"/>
          </w:tcPr>
          <w:p>
            <w:pPr>
              <w:spacing w:after="0"/>
              <w:rPr>
                <w:sz w:val="18"/>
                <w:szCs w:val="18"/>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917,878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1,305,398</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1,718,072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 sales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353,268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670,604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49,297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103,039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4,182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1,330,303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856,274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1,214,991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Parts and service sales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209,519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222,225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427,762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845,984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1,122,670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1,733,554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2,122,583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207,633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161,309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308,532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10,829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expense, net</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12,386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22,993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Basic</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40,275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40,402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41,072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41,029</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13,223</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13,212</w:t>
            </w:r>
          </w:p>
        </w:tc>
        <w:tc>
          <w:tcPr>
            <w:tcW w:w="140" w:type="dxa"/>
            <w:vAlign w:val="bottom"/>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78,539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(loss) on sale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Impairment loss on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Deferred income tax expense (benefit)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Excess tax expense from stock-based compensation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Draws (payments) on floor plan notes payable – trade,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(115,268)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(115,706)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(221,911)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(Payments) draws on floor plan notes payable – non-trade,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(35,650)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(83,561)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(77,663)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w w:val="98"/>
              </w:rPr>
              <w:t>Proceeds from issuance of shares relating to employee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(expense) from stock-based compensation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Common stock repurchased</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(20,299)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(118,515)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92,664</w:t>
            </w:r>
          </w:p>
        </w:tc>
        <w:tc>
          <w:tcPr>
            <w:tcW w:w="1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19,757</w:t>
            </w: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320"/>
              <w:spacing w:after="0" w:line="196" w:lineRule="exact"/>
              <w:rPr>
                <w:sz w:val="20"/>
                <w:szCs w:val="20"/>
                <w:color w:val="auto"/>
              </w:rPr>
            </w:pPr>
            <w:r>
              <w:rPr>
                <w:rFonts w:ascii="Arial" w:cs="Arial" w:eastAsia="Arial" w:hAnsi="Arial"/>
                <w:sz w:val="18"/>
                <w:szCs w:val="18"/>
                <w:color w:val="auto"/>
              </w:rPr>
              <w:t>Income taxes, net of refunds</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(13,129)</w:t>
            </w:r>
          </w:p>
        </w:tc>
        <w:tc>
          <w:tcPr>
            <w:tcW w:w="46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Noncash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Assets acquired under capital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10,017</w:t>
            </w:r>
          </w:p>
        </w:tc>
        <w:tc>
          <w:tcPr>
            <w:tcW w:w="140" w:type="dxa"/>
            <w:vAlign w:val="bottom"/>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2015. Results of operations for interim periods are not necessarily indicative of results that may be expected for any other interim periods or the full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total capitalized costs of the SAP enterprise software and SAP dealership management system of $35.0 million, including capitalized interest, are recorded on the Consolidated Balance Sheet in Other Assets, net of accumulated amortization of $15.1 million. The SAP software is being amortized over a period of 15 years. The Company completed the conversion of all of its Rush Truck Centers and leasing operations to the SAP enterprise software and SAP dealership management system in the third quarter of 2015.</w:t>
      </w:r>
    </w:p>
    <w:p>
      <w:pPr>
        <w:spacing w:after="0" w:line="187"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Amortization expense relating to the SAP software, which is recognized in depreciation and amortization expense in the Consolidated Statement of Income, was $0.8 million for the three months ended June 30, 2016 and the three months ended June 30, 2015, and $1.7 million for the six months ended June 30, 2016 and $1.6 million for the six months ended June 30, 2015. The Company estimates that amortization expense relating to the SAP software will be approximately $3.4 million for each of the next five years.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June 30, 2016, and $7.9 million at December 31, 2015,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impairment write down was required in any period presented. The Company cannot predict the occurrence of certain events that might adversely affect the reported value of manufacturer franchise rights in the future.</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12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5"/>
          </w:tcPr>
          <w:p>
            <w:pPr>
              <w:ind w:left="6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8"/>
                <w:szCs w:val="18"/>
                <w:color w:val="auto"/>
              </w:rPr>
            </w:pPr>
          </w:p>
        </w:tc>
        <w:tc>
          <w:tcPr>
            <w:tcW w:w="1880" w:type="dxa"/>
            <w:vAlign w:val="bottom"/>
            <w:gridSpan w:val="5"/>
          </w:tcPr>
          <w:p>
            <w:pPr>
              <w:ind w:left="1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2015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160"/>
              <w:spacing w:after="0" w:line="201" w:lineRule="exact"/>
              <w:rPr>
                <w:sz w:val="20"/>
                <w:szCs w:val="20"/>
                <w:color w:val="auto"/>
              </w:rPr>
            </w:pPr>
            <w:r>
              <w:rPr>
                <w:rFonts w:ascii="Arial" w:cs="Arial" w:eastAsia="Arial" w:hAnsi="Arial"/>
                <w:sz w:val="18"/>
                <w:szCs w:val="18"/>
                <w:color w:val="auto"/>
                <w:w w:val="93"/>
              </w:rPr>
              <w:t>Numerator for basic and diluted earnings per share – Net income available to common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10,817</w:t>
            </w:r>
          </w:p>
        </w:tc>
        <w:tc>
          <w:tcPr>
            <w:tcW w:w="220" w:type="dxa"/>
            <w:vAlign w:val="bottom"/>
          </w:tcPr>
          <w:p>
            <w:pPr>
              <w:spacing w:after="0"/>
              <w:rPr>
                <w:sz w:val="17"/>
                <w:szCs w:val="17"/>
                <w:color w:val="auto"/>
              </w:rPr>
            </w:pPr>
          </w:p>
        </w:tc>
        <w:tc>
          <w:tcPr>
            <w:tcW w:w="200" w:type="dxa"/>
            <w:vAlign w:val="bottom"/>
            <w:vMerge w:val="restart"/>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19,576</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13,212</w:t>
            </w:r>
          </w:p>
        </w:tc>
        <w:tc>
          <w:tcPr>
            <w:tcW w:w="200" w:type="dxa"/>
            <w:vAlign w:val="bottom"/>
            <w:vMerge w:val="restart"/>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36,357</w:t>
            </w:r>
          </w:p>
        </w:tc>
        <w:tc>
          <w:tcPr>
            <w:tcW w:w="0" w:type="dxa"/>
            <w:vAlign w:val="bottom"/>
          </w:tcPr>
          <w:p>
            <w:pPr>
              <w:spacing w:after="0"/>
              <w:rPr>
                <w:sz w:val="1"/>
                <w:szCs w:val="1"/>
                <w:color w:val="auto"/>
              </w:rPr>
            </w:pPr>
          </w:p>
        </w:tc>
      </w:tr>
      <w:tr>
        <w:trPr>
          <w:trHeight w:val="217"/>
        </w:trPr>
        <w:tc>
          <w:tcPr>
            <w:tcW w:w="6600" w:type="dxa"/>
            <w:vAlign w:val="bottom"/>
          </w:tcPr>
          <w:p>
            <w:pPr>
              <w:ind w:left="320"/>
              <w:spacing w:after="0"/>
              <w:rPr>
                <w:sz w:val="20"/>
                <w:szCs w:val="20"/>
                <w:color w:val="auto"/>
              </w:rPr>
            </w:pPr>
            <w:r>
              <w:rPr>
                <w:rFonts w:ascii="Arial" w:cs="Arial" w:eastAsia="Arial" w:hAnsi="Arial"/>
                <w:sz w:val="18"/>
                <w:szCs w:val="18"/>
                <w:color w:val="auto"/>
              </w:rPr>
              <w:t>shareholders</w:t>
            </w:r>
          </w:p>
        </w:tc>
        <w:tc>
          <w:tcPr>
            <w:tcW w:w="1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60"/>
              <w:spacing w:after="0"/>
              <w:rPr>
                <w:sz w:val="20"/>
                <w:szCs w:val="20"/>
                <w:color w:val="auto"/>
              </w:rPr>
            </w:pPr>
            <w:r>
              <w:rPr>
                <w:rFonts w:ascii="Arial" w:cs="Arial" w:eastAsia="Arial" w:hAnsi="Arial"/>
                <w:sz w:val="18"/>
                <w:szCs w:val="18"/>
                <w:color w:val="auto"/>
                <w:w w:val="98"/>
              </w:rPr>
              <w:t>Denominator for basic earnings per share – weighted average shares outstanding</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40,275</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40,402</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40,171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20"/>
              <w:spacing w:after="0"/>
              <w:rPr>
                <w:sz w:val="20"/>
                <w:szCs w:val="20"/>
                <w:color w:val="auto"/>
              </w:rPr>
            </w:pPr>
            <w:r>
              <w:rPr>
                <w:rFonts w:ascii="Arial" w:cs="Arial" w:eastAsia="Arial" w:hAnsi="Arial"/>
                <w:sz w:val="18"/>
                <w:szCs w:val="18"/>
                <w:color w:val="auto"/>
              </w:rPr>
              <w:t>Employee and director stock options and restricted share awards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60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Denominator for diluted earnings per share – adjusted weighted average shares</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40,778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41,072</w:t>
            </w:r>
          </w:p>
        </w:tc>
        <w:tc>
          <w:tcPr>
            <w:tcW w:w="22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220" w:type="dxa"/>
            <w:vAlign w:val="bottom"/>
            <w:vMerge w:val="restart"/>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41,029</w:t>
            </w:r>
          </w:p>
        </w:tc>
        <w:tc>
          <w:tcPr>
            <w:tcW w:w="10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320"/>
              <w:spacing w:after="0" w:line="190" w:lineRule="exact"/>
              <w:rPr>
                <w:sz w:val="20"/>
                <w:szCs w:val="20"/>
                <w:color w:val="auto"/>
              </w:rPr>
            </w:pPr>
            <w:r>
              <w:rPr>
                <w:rFonts w:ascii="Arial" w:cs="Arial" w:eastAsia="Arial" w:hAnsi="Arial"/>
                <w:sz w:val="18"/>
                <w:szCs w:val="18"/>
                <w:color w:val="auto"/>
              </w:rPr>
              <w:t>outstanding and assumed conversions</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600" w:type="dxa"/>
            <w:vAlign w:val="bottom"/>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six months ended June 30, 2016, and 2015, that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700" w:type="dxa"/>
            <w:vAlign w:val="bottom"/>
            <w:gridSpan w:val="4"/>
          </w:tcPr>
          <w:p>
            <w:pPr>
              <w:jc w:val="center"/>
              <w:ind w:left="130"/>
              <w:spacing w:after="0"/>
              <w:rPr>
                <w:sz w:val="20"/>
                <w:szCs w:val="20"/>
                <w:color w:val="auto"/>
              </w:rPr>
            </w:pPr>
            <w:r>
              <w:rPr>
                <w:rFonts w:ascii="Arial" w:cs="Arial" w:eastAsia="Arial" w:hAnsi="Arial"/>
                <w:sz w:val="18"/>
                <w:szCs w:val="18"/>
                <w:color w:val="auto"/>
                <w:w w:val="90"/>
              </w:rPr>
              <w:t>Three Months Ended</w:t>
            </w:r>
          </w:p>
        </w:tc>
        <w:tc>
          <w:tcPr>
            <w:tcW w:w="2520" w:type="dxa"/>
            <w:vAlign w:val="bottom"/>
            <w:gridSpan w:val="4"/>
          </w:tcPr>
          <w:p>
            <w:pPr>
              <w:jc w:val="center"/>
              <w:ind w:left="21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gridSpan w:val="3"/>
          </w:tcPr>
          <w:p>
            <w:pPr>
              <w:jc w:val="center"/>
              <w:ind w:right="920"/>
              <w:spacing w:after="0"/>
              <w:rPr>
                <w:sz w:val="20"/>
                <w:szCs w:val="20"/>
                <w:color w:val="auto"/>
              </w:rPr>
            </w:pPr>
            <w:r>
              <w:rPr>
                <w:rFonts w:ascii="Arial" w:cs="Arial" w:eastAsia="Arial" w:hAnsi="Arial"/>
                <w:sz w:val="18"/>
                <w:szCs w:val="18"/>
                <w:color w:val="auto"/>
                <w:w w:val="86"/>
              </w:rPr>
              <w:t>June 30,</w:t>
            </w:r>
          </w:p>
        </w:tc>
        <w:tc>
          <w:tcPr>
            <w:tcW w:w="1120" w:type="dxa"/>
            <w:vAlign w:val="bottom"/>
          </w:tcPr>
          <w:p>
            <w:pPr>
              <w:spacing w:after="0"/>
              <w:rPr>
                <w:sz w:val="20"/>
                <w:szCs w:val="20"/>
                <w:color w:val="auto"/>
              </w:rPr>
            </w:pPr>
          </w:p>
        </w:tc>
        <w:tc>
          <w:tcPr>
            <w:tcW w:w="1400" w:type="dxa"/>
            <w:vAlign w:val="bottom"/>
            <w:gridSpan w:val="3"/>
          </w:tcPr>
          <w:p>
            <w:pPr>
              <w:jc w:val="center"/>
              <w:ind w:right="800"/>
              <w:spacing w:after="0"/>
              <w:rPr>
                <w:sz w:val="20"/>
                <w:szCs w:val="20"/>
                <w:color w:val="auto"/>
              </w:rPr>
            </w:pPr>
            <w:r>
              <w:rPr>
                <w:rFonts w:ascii="Arial" w:cs="Arial" w:eastAsia="Arial" w:hAnsi="Arial"/>
                <w:sz w:val="18"/>
                <w:szCs w:val="18"/>
                <w:color w:val="auto"/>
                <w:w w:val="86"/>
              </w:rPr>
              <w:t>June 30,</w:t>
            </w:r>
          </w:p>
        </w:tc>
      </w:tr>
      <w:tr>
        <w:trPr>
          <w:trHeight w:val="210"/>
        </w:trPr>
        <w:tc>
          <w:tcPr>
            <w:tcW w:w="5040" w:type="dxa"/>
            <w:vAlign w:val="bottom"/>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36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30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r>
      <w:tr>
        <w:trPr>
          <w:trHeight w:val="21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accounts for stock-based compensation in accordance with Accounting Standards Codification (“ASC”) 718-10, “Compensation</w:t>
      </w:r>
    </w:p>
    <w:p>
      <w:pPr>
        <w:spacing w:after="0" w:line="46"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color w:val="auto"/>
        </w:rPr>
        <w:t>– Stock Compensation,” which requires the measurement and recognition of compensation expense for all share-based payment awards made to our employees and directors, including employee stock options, restricted share awards and employee stock purchases related to the Employee Stock Purchase Plan based on estimated fair values. Stock-based compensation expense, calculated using the Black-Scholes option-pricing model for employee stock options, and included in selling, general and administrative expense, was $3.2 million for the three months ended June 30, 2016, and $3.5 million for the three months ended June 30, 2015. Stock-based compensation expense, included in selling, general and administrative expense, for the six months ended June 30, 2016, was $6.7 million and for the six months ended June 30, 2015, was $7.2 million. As of June 30, 2016, there was $18.5 million of total unrecognized compensation cost related to non-vested share-based compensation arrangements to be recognized over a weighted-average period of 2.5 years.</w:t>
      </w:r>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The Company also applies the provisions of fair value measurement to various nonrecurring measurements for its financial and nonfinancial assets and liabilities.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June 30, 2016, and December 31, 2015. The carrying value of current assets and current liabilities approximates the fair value due to the short maturity of these items.</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its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Auction Rate Securities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June 30, 2016, the Company held auction rate securities with underlying tax-exempt municipal bonds that mature in 2030 and have a fair value of $6.4 million and a cost basis of $6.9 million. As of December 31, 2015, the Company held auction rate securities with underlying tax-exempt municipal bonds that mature in 2030 and have a fair value of $6.7 million and a cost basis of $7.2 million. The issuer redeemed $150,000 of the auction rate securities during the second quarter of 2014, $275,000 during the second quarter of 2015 and $250,000 during the second quarter of 2016. These bonds have credit wrap insurance and a credit rating of A by a major credit rating agency.</w:t>
      </w: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18"/>
          <w:szCs w:val="18"/>
          <w:color w:val="auto"/>
        </w:rPr>
        <w:t>The Company valued the auction rate securities at June 30, 2016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9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 recorded a pre-tax impairment charge of $1.0 million on these auction rate securities in 2011 and a subsequent pre-tax increase in fair value of $427,000 during 2014. The Company believes that the impairment is temporary and has included the impairment in accumulated other comprehensive loss.</w:t>
      </w:r>
    </w:p>
    <w:p>
      <w:pPr>
        <w:spacing w:after="0" w:line="18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our financial statements as follows (in thousands):</w:t>
      </w:r>
    </w:p>
    <w:p>
      <w:pPr>
        <w:sectPr>
          <w:pgSz w:w="11900" w:h="16838" w:orient="portrait"/>
          <w:cols w:equalWidth="0" w:num="1">
            <w:col w:w="11080"/>
          </w:cols>
          <w:pgMar w:left="240" w:top="118" w:right="579" w:bottom="1440" w:gutter="0" w:footer="0" w:header="0"/>
        </w:sectPr>
      </w:pPr>
    </w:p>
    <w:p>
      <w:pPr>
        <w:spacing w:after="0" w:line="16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At June 30, 2016</w:t>
      </w:r>
    </w:p>
    <w:p>
      <w:pPr>
        <w:spacing w:after="0" w:line="27" w:lineRule="exact"/>
        <w:rPr>
          <w:sz w:val="20"/>
          <w:szCs w:val="20"/>
          <w:color w:val="auto"/>
        </w:rPr>
      </w:pPr>
    </w:p>
    <w:tbl>
      <w:tblPr>
        <w:tblLayout w:type="fixed"/>
        <w:tblInd w:w="3800" w:type="dxa"/>
        <w:tblCellMar>
          <w:top w:w="0" w:type="dxa"/>
          <w:left w:w="0" w:type="dxa"/>
          <w:bottom w:w="0" w:type="dxa"/>
          <w:right w:w="0" w:type="dxa"/>
        </w:tblCellMar>
      </w:tblPr>
      <w:tr>
        <w:trPr>
          <w:trHeight w:val="191"/>
        </w:trPr>
        <w:tc>
          <w:tcPr>
            <w:tcW w:w="116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Level 1</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2</w:t>
            </w:r>
          </w:p>
        </w:tc>
        <w:tc>
          <w:tcPr>
            <w:tcW w:w="116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91"/>
              </w:rPr>
              <w:t>Level 3</w:t>
            </w:r>
          </w:p>
        </w:tc>
      </w:tr>
      <w:tr>
        <w:trPr>
          <w:trHeight w:val="234"/>
        </w:trPr>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Inputs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Inputs</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At December 31,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Level 1</w:t>
            </w:r>
          </w:p>
        </w:tc>
        <w:tc>
          <w:tcPr>
            <w:tcW w:w="12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2</w:t>
            </w:r>
          </w:p>
        </w:tc>
        <w:tc>
          <w:tcPr>
            <w:tcW w:w="1100" w:type="dxa"/>
            <w:vAlign w:val="bottom"/>
            <w:tcBorders>
              <w:top w:val="single" w:sz="8" w:color="auto"/>
            </w:tcBorders>
          </w:tcPr>
          <w:p>
            <w:pPr>
              <w:jc w:val="center"/>
              <w:ind w:left="10"/>
              <w:spacing w:after="0" w:line="191" w:lineRule="exact"/>
              <w:rPr>
                <w:sz w:val="20"/>
                <w:szCs w:val="20"/>
                <w:color w:val="auto"/>
              </w:rPr>
            </w:pPr>
            <w:r>
              <w:rPr>
                <w:rFonts w:ascii="Arial" w:cs="Arial" w:eastAsia="Arial" w:hAnsi="Arial"/>
                <w:sz w:val="18"/>
                <w:szCs w:val="18"/>
                <w:b w:val="1"/>
                <w:bCs w:val="1"/>
                <w:color w:val="auto"/>
                <w:w w:val="91"/>
              </w:rPr>
              <w:t>Level 3</w:t>
            </w:r>
          </w:p>
        </w:tc>
      </w:tr>
      <w:tr>
        <w:trPr>
          <w:trHeight w:val="234"/>
        </w:trPr>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1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r>
    </w:tbl>
    <w:p>
      <w:pPr>
        <w:spacing w:after="0" w:line="20" w:lineRule="exact"/>
        <w:rPr>
          <w:sz w:val="20"/>
          <w:szCs w:val="20"/>
          <w:color w:val="auto"/>
        </w:rPr>
      </w:pPr>
    </w:p>
    <w:p>
      <w:pPr>
        <w:sectPr>
          <w:pgSz w:w="11900" w:h="16838" w:orient="portrait"/>
          <w:cols w:equalWidth="0" w:num="2">
            <w:col w:w="7360" w:space="220"/>
            <w:col w:w="3500"/>
          </w:cols>
          <w:pgMar w:left="240" w:top="118" w:right="579" w:bottom="1440" w:gutter="0" w:footer="0" w:header="0"/>
          <w:type w:val="continuous"/>
        </w:sectPr>
      </w:pPr>
    </w:p>
    <w:tbl>
      <w:tblPr>
        <w:tblLayout w:type="fixed"/>
        <w:tblInd w:w="820" w:type="dxa"/>
        <w:tblCellMar>
          <w:top w:w="0" w:type="dxa"/>
          <w:left w:w="0" w:type="dxa"/>
          <w:bottom w:w="0" w:type="dxa"/>
          <w:right w:w="0" w:type="dxa"/>
        </w:tblCellMar>
      </w:tblPr>
      <w:tr>
        <w:trPr>
          <w:trHeight w:val="20"/>
        </w:trPr>
        <w:tc>
          <w:tcPr>
            <w:tcW w:w="2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 in auction rate securities</w:t>
            </w:r>
          </w:p>
        </w:tc>
        <w:tc>
          <w:tcPr>
            <w:tcW w:w="4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6,417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430"/>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6,650</w:t>
            </w:r>
          </w:p>
        </w:tc>
      </w:tr>
      <w:tr>
        <w:trPr>
          <w:trHeight w:val="630"/>
        </w:trPr>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Gross Unrealized</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Loss In</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Cost Basis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OCI</w:t>
            </w:r>
          </w:p>
        </w:tc>
        <w:tc>
          <w:tcPr>
            <w:tcW w:w="280" w:type="dxa"/>
            <w:vAlign w:val="bottom"/>
          </w:tcPr>
          <w:p>
            <w:pPr>
              <w:spacing w:after="0"/>
              <w:rPr>
                <w:sz w:val="20"/>
                <w:szCs w:val="20"/>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2016</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Investment in auction rate securities</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6,900</w:t>
            </w:r>
          </w:p>
        </w:tc>
        <w:tc>
          <w:tcPr>
            <w:tcW w:w="86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6,417</w:t>
            </w:r>
          </w:p>
        </w:tc>
      </w:tr>
      <w:tr>
        <w:trPr>
          <w:trHeight w:val="210"/>
        </w:trPr>
        <w:tc>
          <w:tcPr>
            <w:tcW w:w="2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b w:val="1"/>
                <w:bCs w:val="1"/>
                <w:color w:val="auto"/>
              </w:rPr>
              <w:t>December 31, 2015</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7,150</w:t>
            </w:r>
          </w:p>
        </w:tc>
        <w:tc>
          <w:tcPr>
            <w:tcW w:w="8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6,650</w:t>
            </w:r>
          </w:p>
        </w:tc>
      </w:tr>
      <w:tr>
        <w:trPr>
          <w:trHeight w:val="20"/>
        </w:trPr>
        <w:tc>
          <w:tcPr>
            <w:tcW w:w="29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Swap Agreements</w:t>
      </w:r>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In January 2012, the Company entered into swap agreements to hedge against the potential impact of increases in interest rates on its floating-rate debt instruments. All interest rate swap contracts expired by July 1, 2015, therefore, at June 30, 2016, the Company did not have any interest rate swap contracts. Swap agreements that hedge exposures to changes in interest rates exposed the Company to credit risk and market risk.</w:t>
      </w:r>
    </w:p>
    <w:p>
      <w:pPr>
        <w:spacing w:after="0" w:line="147"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These swap contracts were designated as cash flow hedges, to pay fixed rates of interest and receive a floating interest rate based on LIBOR. The fixed interest rates specified in the interest rate swap contracts became effective on or about January 1, 2012. The Company’s interest rate swaps qualified for cash flow hedge accounting treatment. Unrealized gains or losses were recorded in Accumulated Other Comprehensive Income (Loss) on the Consolidated Balance Sheets. Amounts received or paid under the contracts were recognized as interest expense over the life of the contracts.</w:t>
      </w: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derivative instruments described above are on the accompanying Consolidated Statements of Income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gridSpan w:val="6"/>
          </w:tcPr>
          <w:p>
            <w:pPr>
              <w:jc w:val="center"/>
              <w:ind w:left="231"/>
              <w:spacing w:after="0"/>
              <w:rPr>
                <w:sz w:val="20"/>
                <w:szCs w:val="20"/>
                <w:color w:val="auto"/>
              </w:rPr>
            </w:pPr>
            <w:r>
              <w:rPr>
                <w:rFonts w:ascii="Arial" w:cs="Arial" w:eastAsia="Arial" w:hAnsi="Arial"/>
                <w:sz w:val="18"/>
                <w:szCs w:val="18"/>
                <w:b w:val="1"/>
                <w:bCs w:val="1"/>
                <w:color w:val="auto"/>
                <w:w w:val="85"/>
              </w:rPr>
              <w:t>Loss Reclassified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48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89"/>
              </w:rPr>
              <w:t>Gain (Loss) Recognized in</w:t>
            </w: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gridSpan w:val="6"/>
          </w:tcPr>
          <w:p>
            <w:pPr>
              <w:jc w:val="center"/>
              <w:ind w:left="211"/>
              <w:spacing w:after="0"/>
              <w:rPr>
                <w:sz w:val="20"/>
                <w:szCs w:val="20"/>
                <w:color w:val="auto"/>
              </w:rPr>
            </w:pPr>
            <w:r>
              <w:rPr>
                <w:rFonts w:ascii="Arial" w:cs="Arial" w:eastAsia="Arial" w:hAnsi="Arial"/>
                <w:sz w:val="18"/>
                <w:szCs w:val="18"/>
                <w:b w:val="1"/>
                <w:bCs w:val="1"/>
                <w:color w:val="auto"/>
                <w:w w:val="91"/>
              </w:rPr>
              <w:t>from Accumulated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080" w:type="dxa"/>
            <w:vAlign w:val="bottom"/>
            <w:gridSpan w:val="6"/>
          </w:tcPr>
          <w:p>
            <w:pPr>
              <w:jc w:val="center"/>
              <w:ind w:left="192"/>
              <w:spacing w:after="0"/>
              <w:rPr>
                <w:sz w:val="20"/>
                <w:szCs w:val="20"/>
                <w:color w:val="auto"/>
              </w:rPr>
            </w:pPr>
            <w:r>
              <w:rPr>
                <w:rFonts w:ascii="Arial" w:cs="Arial" w:eastAsia="Arial" w:hAnsi="Arial"/>
                <w:sz w:val="18"/>
                <w:szCs w:val="18"/>
                <w:b w:val="1"/>
                <w:bCs w:val="1"/>
                <w:color w:val="auto"/>
                <w:w w:val="92"/>
              </w:rPr>
              <w:t>OCI on Derivatives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gridSpan w:val="6"/>
          </w:tcPr>
          <w:p>
            <w:pPr>
              <w:jc w:val="center"/>
              <w:ind w:left="231"/>
              <w:spacing w:after="0"/>
              <w:rPr>
                <w:sz w:val="20"/>
                <w:szCs w:val="20"/>
                <w:color w:val="auto"/>
              </w:rPr>
            </w:pPr>
            <w:r>
              <w:rPr>
                <w:rFonts w:ascii="Arial" w:cs="Arial" w:eastAsia="Arial" w:hAnsi="Arial"/>
                <w:sz w:val="18"/>
                <w:szCs w:val="18"/>
                <w:b w:val="1"/>
                <w:bCs w:val="1"/>
                <w:color w:val="auto"/>
                <w:w w:val="94"/>
              </w:rPr>
              <w:t>OCI into Income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080" w:type="dxa"/>
            <w:vAlign w:val="bottom"/>
            <w:gridSpan w:val="6"/>
          </w:tcPr>
          <w:p>
            <w:pPr>
              <w:jc w:val="center"/>
              <w:ind w:left="212"/>
              <w:spacing w:after="0"/>
              <w:rPr>
                <w:sz w:val="20"/>
                <w:szCs w:val="20"/>
                <w:color w:val="auto"/>
              </w:rPr>
            </w:pPr>
            <w:r>
              <w:rPr>
                <w:rFonts w:ascii="Arial" w:cs="Arial" w:eastAsia="Arial" w:hAnsi="Arial"/>
                <w:sz w:val="18"/>
                <w:szCs w:val="18"/>
                <w:b w:val="1"/>
                <w:bCs w:val="1"/>
                <w:color w:val="auto"/>
                <w:w w:val="91"/>
              </w:rPr>
              <w:t>(Effective Portion)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gridSpan w:val="6"/>
          </w:tcPr>
          <w:p>
            <w:pPr>
              <w:jc w:val="center"/>
              <w:ind w:left="231"/>
              <w:spacing w:after="0"/>
              <w:rPr>
                <w:sz w:val="20"/>
                <w:szCs w:val="20"/>
                <w:color w:val="auto"/>
              </w:rPr>
            </w:pPr>
            <w:r>
              <w:rPr>
                <w:rFonts w:ascii="Arial" w:cs="Arial" w:eastAsia="Arial" w:hAnsi="Arial"/>
                <w:sz w:val="18"/>
                <w:szCs w:val="18"/>
                <w:b w:val="1"/>
                <w:bCs w:val="1"/>
                <w:color w:val="auto"/>
                <w:w w:val="91"/>
              </w:rPr>
              <w:t>(Effective Portion)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080" w:type="dxa"/>
            <w:vAlign w:val="bottom"/>
            <w:gridSpan w:val="6"/>
          </w:tcPr>
          <w:p>
            <w:pPr>
              <w:jc w:val="center"/>
              <w:ind w:left="192"/>
              <w:spacing w:after="0"/>
              <w:rPr>
                <w:sz w:val="20"/>
                <w:szCs w:val="20"/>
                <w:color w:val="auto"/>
              </w:rPr>
            </w:pPr>
            <w:r>
              <w:rPr>
                <w:rFonts w:ascii="Arial" w:cs="Arial" w:eastAsia="Arial" w:hAnsi="Arial"/>
                <w:sz w:val="18"/>
                <w:szCs w:val="18"/>
                <w:b w:val="1"/>
                <w:bCs w:val="1"/>
                <w:color w:val="auto"/>
                <w:w w:val="90"/>
              </w:rPr>
              <w:t>during the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gridSpan w:val="6"/>
          </w:tcPr>
          <w:p>
            <w:pPr>
              <w:jc w:val="center"/>
              <w:ind w:left="211"/>
              <w:spacing w:after="0"/>
              <w:rPr>
                <w:sz w:val="20"/>
                <w:szCs w:val="20"/>
                <w:color w:val="auto"/>
              </w:rPr>
            </w:pPr>
            <w:r>
              <w:rPr>
                <w:rFonts w:ascii="Arial" w:cs="Arial" w:eastAsia="Arial" w:hAnsi="Arial"/>
                <w:sz w:val="18"/>
                <w:szCs w:val="18"/>
                <w:b w:val="1"/>
                <w:bCs w:val="1"/>
                <w:color w:val="auto"/>
                <w:w w:val="90"/>
              </w:rPr>
              <w:t>during the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2080" w:type="dxa"/>
            <w:vAlign w:val="bottom"/>
            <w:tcBorders>
              <w:bottom w:val="single" w:sz="8" w:color="auto"/>
            </w:tcBorders>
            <w:gridSpan w:val="6"/>
          </w:tcPr>
          <w:p>
            <w:pPr>
              <w:jc w:val="center"/>
              <w:ind w:left="192"/>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Location of Loss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60" w:type="dxa"/>
            <w:vAlign w:val="bottom"/>
            <w:tcBorders>
              <w:bottom w:val="single" w:sz="8" w:color="auto"/>
            </w:tcBorders>
            <w:gridSpan w:val="6"/>
          </w:tcPr>
          <w:p>
            <w:pPr>
              <w:jc w:val="center"/>
              <w:ind w:left="211"/>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940" w:type="dxa"/>
            <w:vAlign w:val="bottom"/>
          </w:tcPr>
          <w:p>
            <w:pPr>
              <w:jc w:val="center"/>
              <w:ind w:left="52"/>
              <w:spacing w:after="0" w:line="191" w:lineRule="exact"/>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Reclassified into</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center"/>
              <w:ind w:left="71"/>
              <w:spacing w:after="0" w:line="191"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940" w:type="dxa"/>
            <w:vAlign w:val="bottom"/>
          </w:tcPr>
          <w:p>
            <w:pPr>
              <w:jc w:val="center"/>
              <w:ind w:left="52"/>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9"/>
              </w:rPr>
              <w:t>2015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Income</w:t>
            </w:r>
          </w:p>
        </w:tc>
        <w:tc>
          <w:tcPr>
            <w:tcW w:w="1040" w:type="dxa"/>
            <w:vAlign w:val="bottom"/>
            <w:gridSpan w:val="3"/>
          </w:tcPr>
          <w:p>
            <w:pPr>
              <w:jc w:val="right"/>
              <w:ind w:right="111"/>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117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6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Interest Expense</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(26)</w:t>
            </w:r>
          </w:p>
        </w:tc>
        <w:tc>
          <w:tcPr>
            <w:tcW w:w="100" w:type="dxa"/>
            <w:vAlign w:val="bottom"/>
            <w:shd w:val="clear" w:color="auto" w:fill="CCEEFF"/>
          </w:tcPr>
          <w:p>
            <w:pPr>
              <w:spacing w:after="0"/>
              <w:rPr>
                <w:sz w:val="18"/>
                <w:szCs w:val="18"/>
                <w:color w:val="auto"/>
              </w:rPr>
            </w:pPr>
          </w:p>
        </w:tc>
      </w:tr>
      <w:tr>
        <w:trPr>
          <w:trHeight w:val="414"/>
        </w:trPr>
        <w:tc>
          <w:tcPr>
            <w:tcW w:w="3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gridSpan w:val="6"/>
          </w:tcPr>
          <w:p>
            <w:pPr>
              <w:jc w:val="center"/>
              <w:ind w:left="151"/>
              <w:spacing w:after="0"/>
              <w:rPr>
                <w:sz w:val="20"/>
                <w:szCs w:val="20"/>
                <w:color w:val="auto"/>
              </w:rPr>
            </w:pPr>
            <w:r>
              <w:rPr>
                <w:rFonts w:ascii="Arial" w:cs="Arial" w:eastAsia="Arial" w:hAnsi="Arial"/>
                <w:sz w:val="18"/>
                <w:szCs w:val="18"/>
                <w:b w:val="1"/>
                <w:bCs w:val="1"/>
                <w:color w:val="auto"/>
                <w:w w:val="85"/>
              </w:rPr>
              <w:t>Loss Reclassified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2480" w:type="dxa"/>
            <w:vAlign w:val="bottom"/>
            <w:gridSpan w:val="9"/>
          </w:tcPr>
          <w:p>
            <w:pPr>
              <w:jc w:val="center"/>
              <w:ind w:right="80"/>
              <w:spacing w:after="0"/>
              <w:rPr>
                <w:sz w:val="20"/>
                <w:szCs w:val="20"/>
                <w:color w:val="auto"/>
              </w:rPr>
            </w:pPr>
            <w:r>
              <w:rPr>
                <w:rFonts w:ascii="Arial" w:cs="Arial" w:eastAsia="Arial" w:hAnsi="Arial"/>
                <w:sz w:val="18"/>
                <w:szCs w:val="18"/>
                <w:b w:val="1"/>
                <w:bCs w:val="1"/>
                <w:color w:val="auto"/>
                <w:w w:val="88"/>
              </w:rPr>
              <w:t>Gain (Loss) Recognized in</w:t>
            </w: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gridSpan w:val="6"/>
          </w:tcPr>
          <w:p>
            <w:pPr>
              <w:jc w:val="center"/>
              <w:ind w:left="131"/>
              <w:spacing w:after="0"/>
              <w:rPr>
                <w:sz w:val="20"/>
                <w:szCs w:val="20"/>
                <w:color w:val="auto"/>
              </w:rPr>
            </w:pPr>
            <w:r>
              <w:rPr>
                <w:rFonts w:ascii="Arial" w:cs="Arial" w:eastAsia="Arial" w:hAnsi="Arial"/>
                <w:sz w:val="18"/>
                <w:szCs w:val="18"/>
                <w:b w:val="1"/>
                <w:bCs w:val="1"/>
                <w:color w:val="auto"/>
                <w:w w:val="91"/>
              </w:rPr>
              <w:t>from Accumulated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080" w:type="dxa"/>
            <w:vAlign w:val="bottom"/>
            <w:gridSpan w:val="6"/>
          </w:tcPr>
          <w:p>
            <w:pPr>
              <w:jc w:val="center"/>
              <w:ind w:left="232"/>
              <w:spacing w:after="0"/>
              <w:rPr>
                <w:sz w:val="20"/>
                <w:szCs w:val="20"/>
                <w:color w:val="auto"/>
              </w:rPr>
            </w:pPr>
            <w:r>
              <w:rPr>
                <w:rFonts w:ascii="Arial" w:cs="Arial" w:eastAsia="Arial" w:hAnsi="Arial"/>
                <w:sz w:val="18"/>
                <w:szCs w:val="18"/>
                <w:b w:val="1"/>
                <w:bCs w:val="1"/>
                <w:color w:val="auto"/>
                <w:w w:val="92"/>
              </w:rPr>
              <w:t>OCI on Derivatives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gridSpan w:val="6"/>
          </w:tcPr>
          <w:p>
            <w:pPr>
              <w:jc w:val="center"/>
              <w:ind w:left="151"/>
              <w:spacing w:after="0"/>
              <w:rPr>
                <w:sz w:val="20"/>
                <w:szCs w:val="20"/>
                <w:color w:val="auto"/>
              </w:rPr>
            </w:pPr>
            <w:r>
              <w:rPr>
                <w:rFonts w:ascii="Arial" w:cs="Arial" w:eastAsia="Arial" w:hAnsi="Arial"/>
                <w:sz w:val="18"/>
                <w:szCs w:val="18"/>
                <w:b w:val="1"/>
                <w:bCs w:val="1"/>
                <w:color w:val="auto"/>
                <w:w w:val="94"/>
              </w:rPr>
              <w:t>OCI into Income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080" w:type="dxa"/>
            <w:vAlign w:val="bottom"/>
            <w:gridSpan w:val="6"/>
          </w:tcPr>
          <w:p>
            <w:pPr>
              <w:jc w:val="center"/>
              <w:ind w:left="232"/>
              <w:spacing w:after="0"/>
              <w:rPr>
                <w:sz w:val="20"/>
                <w:szCs w:val="20"/>
                <w:color w:val="auto"/>
              </w:rPr>
            </w:pPr>
            <w:r>
              <w:rPr>
                <w:rFonts w:ascii="Arial" w:cs="Arial" w:eastAsia="Arial" w:hAnsi="Arial"/>
                <w:sz w:val="18"/>
                <w:szCs w:val="18"/>
                <w:b w:val="1"/>
                <w:bCs w:val="1"/>
                <w:color w:val="auto"/>
                <w:w w:val="92"/>
              </w:rPr>
              <w:t>(Effective Portion)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gridSpan w:val="6"/>
          </w:tcPr>
          <w:p>
            <w:pPr>
              <w:jc w:val="center"/>
              <w:ind w:left="151"/>
              <w:spacing w:after="0"/>
              <w:rPr>
                <w:sz w:val="20"/>
                <w:szCs w:val="20"/>
                <w:color w:val="auto"/>
              </w:rPr>
            </w:pPr>
            <w:r>
              <w:rPr>
                <w:rFonts w:ascii="Arial" w:cs="Arial" w:eastAsia="Arial" w:hAnsi="Arial"/>
                <w:sz w:val="18"/>
                <w:szCs w:val="18"/>
                <w:b w:val="1"/>
                <w:bCs w:val="1"/>
                <w:color w:val="auto"/>
                <w:w w:val="91"/>
              </w:rPr>
              <w:t>(Effective Portion)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080" w:type="dxa"/>
            <w:vAlign w:val="bottom"/>
            <w:gridSpan w:val="6"/>
          </w:tcPr>
          <w:p>
            <w:pPr>
              <w:jc w:val="center"/>
              <w:ind w:left="232"/>
              <w:spacing w:after="0"/>
              <w:rPr>
                <w:sz w:val="20"/>
                <w:szCs w:val="20"/>
                <w:color w:val="auto"/>
              </w:rPr>
            </w:pPr>
            <w:r>
              <w:rPr>
                <w:rFonts w:ascii="Arial" w:cs="Arial" w:eastAsia="Arial" w:hAnsi="Arial"/>
                <w:sz w:val="18"/>
                <w:szCs w:val="18"/>
                <w:b w:val="1"/>
                <w:bCs w:val="1"/>
                <w:color w:val="auto"/>
                <w:w w:val="90"/>
              </w:rPr>
              <w:t>during the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gridSpan w:val="6"/>
          </w:tcPr>
          <w:p>
            <w:pPr>
              <w:jc w:val="center"/>
              <w:ind w:left="151"/>
              <w:spacing w:after="0"/>
              <w:rPr>
                <w:sz w:val="20"/>
                <w:szCs w:val="20"/>
                <w:color w:val="auto"/>
              </w:rPr>
            </w:pPr>
            <w:r>
              <w:rPr>
                <w:rFonts w:ascii="Arial" w:cs="Arial" w:eastAsia="Arial" w:hAnsi="Arial"/>
                <w:sz w:val="18"/>
                <w:szCs w:val="18"/>
                <w:b w:val="1"/>
                <w:bCs w:val="1"/>
                <w:color w:val="auto"/>
                <w:w w:val="93"/>
              </w:rPr>
              <w:t>during the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2080" w:type="dxa"/>
            <w:vAlign w:val="bottom"/>
            <w:tcBorders>
              <w:bottom w:val="single" w:sz="8" w:color="auto"/>
            </w:tcBorders>
            <w:gridSpan w:val="6"/>
          </w:tcPr>
          <w:p>
            <w:pPr>
              <w:jc w:val="center"/>
              <w:ind w:left="212"/>
              <w:spacing w:after="0"/>
              <w:rPr>
                <w:sz w:val="20"/>
                <w:szCs w:val="20"/>
                <w:color w:val="auto"/>
              </w:rPr>
            </w:pPr>
            <w:r>
              <w:rPr>
                <w:rFonts w:ascii="Arial" w:cs="Arial" w:eastAsia="Arial" w:hAnsi="Arial"/>
                <w:sz w:val="18"/>
                <w:szCs w:val="18"/>
                <w:b w:val="1"/>
                <w:bCs w:val="1"/>
                <w:color w:val="auto"/>
                <w:w w:val="90"/>
              </w:rPr>
              <w:t>Six Months Ended</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Location of Loss</w:t>
            </w: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center"/>
              <w:ind w:left="151"/>
              <w:spacing w:after="0"/>
              <w:rPr>
                <w:sz w:val="20"/>
                <w:szCs w:val="20"/>
                <w:color w:val="auto"/>
              </w:rPr>
            </w:pPr>
            <w:r>
              <w:rPr>
                <w:rFonts w:ascii="Arial" w:cs="Arial" w:eastAsia="Arial" w:hAnsi="Arial"/>
                <w:sz w:val="18"/>
                <w:szCs w:val="18"/>
                <w:b w:val="1"/>
                <w:bCs w:val="1"/>
                <w:color w:val="auto"/>
                <w:w w:val="90"/>
              </w:rPr>
              <w:t>Six Months Ended</w:t>
            </w: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940" w:type="dxa"/>
            <w:vAlign w:val="bottom"/>
          </w:tcPr>
          <w:p>
            <w:pPr>
              <w:jc w:val="center"/>
              <w:ind w:left="52"/>
              <w:spacing w:after="0" w:line="191" w:lineRule="exact"/>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gridSpan w:val="2"/>
          </w:tcPr>
          <w:p>
            <w:pPr>
              <w:jc w:val="center"/>
              <w:ind w:right="40"/>
              <w:spacing w:after="0" w:line="191" w:lineRule="exact"/>
              <w:rPr>
                <w:sz w:val="20"/>
                <w:szCs w:val="20"/>
                <w:color w:val="auto"/>
              </w:rPr>
            </w:pPr>
            <w:r>
              <w:rPr>
                <w:rFonts w:ascii="Arial" w:cs="Arial" w:eastAsia="Arial" w:hAnsi="Arial"/>
                <w:sz w:val="18"/>
                <w:szCs w:val="18"/>
                <w:b w:val="1"/>
                <w:bCs w:val="1"/>
                <w:color w:val="auto"/>
                <w:w w:val="88"/>
              </w:rPr>
              <w:t>Reclassified into</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gridSpan w:val="2"/>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940" w:type="dxa"/>
            <w:vAlign w:val="bottom"/>
          </w:tcPr>
          <w:p>
            <w:pPr>
              <w:jc w:val="center"/>
              <w:ind w:left="52"/>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2015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Income</w:t>
            </w:r>
          </w:p>
        </w:tc>
        <w:tc>
          <w:tcPr>
            <w:tcW w:w="1040" w:type="dxa"/>
            <w:vAlign w:val="bottom"/>
            <w:gridSpan w:val="3"/>
          </w:tcPr>
          <w:p>
            <w:pPr>
              <w:jc w:val="right"/>
              <w:ind w:right="171"/>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235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791"/>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63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w:t>
            </w:r>
          </w:p>
        </w:tc>
        <w:tc>
          <w:tcPr>
            <w:tcW w:w="120" w:type="dxa"/>
            <w:vAlign w:val="bottom"/>
            <w:gridSpan w:val="2"/>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quarter ended March 31, 2016, the Company instituted plans to consolidate its dealership network. The Company recorded an impairment charge related to the value of the real estate in the affected locations in the amount of $7.1 million in the quarter ended March 31, 2016 and $0.4 million in the quarter ended June 30, 2016. The Company also classified certain excess real estate as held for sale, which resulted in an additional impairment charge.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measurements for the Company’s long-lived assets are based on Level 3 inputs. Fair values were based on evaluations by a third-party real estate broker that utilized its knowledge and historical experience in real estate markets and transactions. The Company is actively marketing the real estate held for sale and plans to sell it within the next 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long-lived assets measured and recorded at fair value on a nonrecurring basis (in thousands):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Measurements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Using</w:t>
            </w:r>
          </w:p>
        </w:tc>
        <w:tc>
          <w:tcPr>
            <w:tcW w:w="20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Significant</w:t>
            </w:r>
          </w:p>
        </w:tc>
        <w:tc>
          <w:tcPr>
            <w:tcW w:w="20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during the</w:t>
            </w:r>
          </w:p>
        </w:tc>
        <w:tc>
          <w:tcPr>
            <w:tcW w:w="1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during the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Unobservable</w:t>
            </w:r>
          </w:p>
        </w:tc>
        <w:tc>
          <w:tcPr>
            <w:tcW w:w="20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Three Months</w:t>
            </w:r>
          </w:p>
        </w:tc>
        <w:tc>
          <w:tcPr>
            <w:tcW w:w="1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50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June 30, 2016</w:t>
            </w:r>
          </w:p>
        </w:tc>
        <w:tc>
          <w:tcPr>
            <w:tcW w:w="20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 2016</w:t>
            </w:r>
          </w:p>
        </w:tc>
        <w:tc>
          <w:tcPr>
            <w:tcW w:w="1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 2016</w:t>
            </w: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 held for sale</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20,186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further discussion of assets held for sale, see Note 10 – Restructuring Costs of the Notes to Consolidated Financial Statements. For the six months ended June 30, 2016, the loss was reported in selling, general and administrative expenses in the Consolidated Statements of Income and Comprehensive Income and was reported under the Truck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currently has one reportable business segment, the Truck Segment. The Truck Segment includes the Company’s operation of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assessing its performance.</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ectPr>
          <w:pgSz w:w="11900" w:h="16838" w:orient="portrait"/>
          <w:cols w:equalWidth="0" w:num="1">
            <w:col w:w="11040"/>
          </w:cols>
          <w:pgMar w:left="240" w:top="118" w:right="61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2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w:t>
      </w:r>
    </w:p>
    <w:p>
      <w:pPr>
        <w:spacing w:after="0" w:line="224" w:lineRule="exact"/>
        <w:rPr>
          <w:sz w:val="20"/>
          <w:szCs w:val="20"/>
          <w:color w:val="auto"/>
        </w:rPr>
      </w:pPr>
    </w:p>
    <w:p>
      <w:pPr>
        <w:jc w:val="both"/>
        <w:ind w:right="42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June 30, 2016, and 2015 (in thousands):</w:t>
      </w: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Truck</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Segment</w:t>
            </w:r>
          </w:p>
        </w:tc>
        <w:tc>
          <w:tcPr>
            <w:tcW w:w="260" w:type="dxa"/>
            <w:vAlign w:val="bottom"/>
          </w:tcPr>
          <w:p>
            <w:pPr>
              <w:spacing w:after="0"/>
              <w:rPr>
                <w:sz w:val="20"/>
                <w:szCs w:val="20"/>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Total</w:t>
            </w: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2"/>
              </w:rPr>
              <w:t>As of and for the three months ended June 30, 2016</w:t>
            </w: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1,022,547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3,915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1,026,462</w:t>
            </w: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17,865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17,809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Segment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2,779,789</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32,906</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2,812,695</w:t>
            </w: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i w:val="1"/>
                <w:iCs w:val="1"/>
                <w:color w:val="auto"/>
              </w:rPr>
              <w:t>For the six months ended June 30, 2016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2,089,837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2,097,302</w:t>
            </w: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22,235</w:t>
            </w: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21,751</w:t>
            </w:r>
          </w:p>
        </w:tc>
      </w:tr>
      <w:tr>
        <w:trPr>
          <w:trHeight w:val="216"/>
        </w:trPr>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i w:val="1"/>
                <w:iCs w:val="1"/>
                <w:color w:val="auto"/>
                <w:w w:val="92"/>
              </w:rPr>
              <w:t>As of and for the three months ended June 30, 2015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1,326,360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1,330,303</w:t>
            </w: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32,159</w:t>
            </w: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31,962</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2,715,032</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31,984</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2,747,016</w:t>
            </w: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six months ended June 30, 2015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2,516,347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7,491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2,523,838</w:t>
            </w: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59,911</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59,350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right="420" w:firstLine="648"/>
        <w:spacing w:after="0" w:line="257" w:lineRule="auto"/>
        <w:rPr>
          <w:sz w:val="20"/>
          <w:szCs w:val="20"/>
          <w:color w:val="auto"/>
        </w:rPr>
      </w:pPr>
      <w:r>
        <w:rPr>
          <w:rFonts w:ascii="Arial" w:cs="Arial" w:eastAsia="Arial" w:hAnsi="Arial"/>
          <w:sz w:val="18"/>
          <w:szCs w:val="18"/>
          <w:color w:val="auto"/>
        </w:rPr>
        <w:t>The Company had unrecognized income tax benefits totaling $2.3 million as a component of accrued liabilities at June 30, 2016 and December 31, 2015, the total of which, if recognized, would impact its effective tax rate. An unfavorable settlement may require a charge to income tax expense and a favorable resolution would be recognized as a reduction to income tax expense. The Company recognizes interest accrued related to unrecognized tax benefits in income tax expense. No amounts were accrued for penalties. The Company had approximately $110,100 accrued for the payment of interest at June 30, 2016 and December 31, 2015.</w:t>
      </w:r>
    </w:p>
    <w:p>
      <w:pPr>
        <w:spacing w:after="0" w:line="188"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June 30, 2016, the tax years ended December 31, 2012 through 2015 remained subject to audit by federal tax authorities and the tax years ended December 31, 2011 through 2015, remained subject to audit by state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components of accumulated other comprehensive loss, net of tax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right="10"/>
              <w:spacing w:after="0"/>
              <w:rPr>
                <w:sz w:val="20"/>
                <w:szCs w:val="20"/>
                <w:color w:val="auto"/>
              </w:rPr>
            </w:pPr>
            <w:r>
              <w:rPr>
                <w:rFonts w:ascii="Arial" w:cs="Arial" w:eastAsia="Arial" w:hAnsi="Arial"/>
                <w:sz w:val="18"/>
                <w:szCs w:val="18"/>
                <w:color w:val="auto"/>
                <w:w w:val="89"/>
              </w:rPr>
              <w:t>Three Months Ended June 30, 2016</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460"/>
              <w:spacing w:after="0" w:line="195" w:lineRule="exact"/>
              <w:rPr>
                <w:sz w:val="20"/>
                <w:szCs w:val="20"/>
                <w:color w:val="auto"/>
              </w:rPr>
            </w:pPr>
            <w:r>
              <w:rPr>
                <w:rFonts w:ascii="Arial" w:cs="Arial" w:eastAsia="Arial" w:hAnsi="Arial"/>
                <w:sz w:val="18"/>
                <w:szCs w:val="18"/>
                <w:color w:val="auto"/>
                <w:w w:val="95"/>
              </w:rPr>
              <w:t>Available</w:t>
            </w: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Cash Flow</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for Sale</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Swaps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Securities</w:t>
            </w:r>
          </w:p>
        </w:tc>
        <w:tc>
          <w:tcPr>
            <w:tcW w:w="44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2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5"/>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Change in fair value</w:t>
            </w: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2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5"/>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2120" w:type="dxa"/>
            <w:vAlign w:val="bottom"/>
          </w:tcPr>
          <w:p>
            <w:pPr>
              <w:spacing w:after="0"/>
              <w:rPr>
                <w:sz w:val="18"/>
                <w:szCs w:val="18"/>
                <w:color w:val="auto"/>
              </w:rPr>
            </w:pP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5"/>
              </w:rPr>
              <w:t>−</w:t>
            </w: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20" w:type="dxa"/>
            <w:vAlign w:val="bottom"/>
            <w:vMerge w:val="restart"/>
          </w:tcPr>
          <w:p>
            <w:pPr>
              <w:jc w:val="right"/>
              <w:ind w:right="190"/>
              <w:spacing w:after="0"/>
              <w:rPr>
                <w:sz w:val="20"/>
                <w:szCs w:val="20"/>
                <w:color w:val="auto"/>
              </w:rPr>
            </w:pPr>
            <w:r>
              <w:rPr>
                <w:rFonts w:ascii="Arial" w:cs="Arial" w:eastAsia="Arial" w:hAnsi="Arial"/>
                <w:sz w:val="18"/>
                <w:szCs w:val="18"/>
                <w:color w:val="auto"/>
              </w:rPr>
              <w:t>11</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 w:type="dxa"/>
            <w:vAlign w:val="bottom"/>
            <w:shd w:val="clear" w:color="auto" w:fill="808080"/>
          </w:tcPr>
          <w:p>
            <w:pPr>
              <w:spacing w:after="0"/>
              <w:rPr>
                <w:sz w:val="5"/>
                <w:szCs w:val="5"/>
                <w:color w:val="auto"/>
              </w:rPr>
            </w:pPr>
          </w:p>
        </w:tc>
        <w:tc>
          <w:tcPr>
            <w:tcW w:w="362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9"/>
              </w:rPr>
              <w:t>Three Months Ended June 30, 2015</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95"/>
              </w:rPr>
              <w:t>Available</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Cash Flow</w:t>
            </w:r>
          </w:p>
        </w:tc>
        <w:tc>
          <w:tcPr>
            <w:tcW w:w="2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for Sale</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Swaps</w:t>
            </w:r>
          </w:p>
        </w:tc>
        <w:tc>
          <w:tcPr>
            <w:tcW w:w="20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Securities</w:t>
            </w:r>
          </w:p>
        </w:tc>
        <w:tc>
          <w:tcPr>
            <w:tcW w:w="440" w:type="dxa"/>
            <w:vAlign w:val="bottom"/>
          </w:tcPr>
          <w:p>
            <w:pPr>
              <w:spacing w:after="0"/>
              <w:rPr>
                <w:sz w:val="20"/>
                <w:szCs w:val="20"/>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Total</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9"/>
              </w:rPr>
              <w:t>Six Months Ended June 30, 2016</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95"/>
              </w:rPr>
              <w:t>Available</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Cash Flow</w:t>
            </w:r>
          </w:p>
        </w:tc>
        <w:tc>
          <w:tcPr>
            <w:tcW w:w="2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for Sale</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Swaps</w:t>
            </w:r>
          </w:p>
        </w:tc>
        <w:tc>
          <w:tcPr>
            <w:tcW w:w="20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Securities</w:t>
            </w:r>
          </w:p>
        </w:tc>
        <w:tc>
          <w:tcPr>
            <w:tcW w:w="440" w:type="dxa"/>
            <w:vAlign w:val="bottom"/>
          </w:tcPr>
          <w:p>
            <w:pPr>
              <w:spacing w:after="0"/>
              <w:rPr>
                <w:sz w:val="20"/>
                <w:szCs w:val="20"/>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Total</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9"/>
              </w:rPr>
              <w:t>Six Months Ended June 30, 2015</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95"/>
              </w:rPr>
              <w:t>Available</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Cash Flow</w:t>
            </w:r>
          </w:p>
        </w:tc>
        <w:tc>
          <w:tcPr>
            <w:tcW w:w="2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for Sale</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Swaps</w:t>
            </w:r>
          </w:p>
        </w:tc>
        <w:tc>
          <w:tcPr>
            <w:tcW w:w="20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Securities</w:t>
            </w:r>
          </w:p>
        </w:tc>
        <w:tc>
          <w:tcPr>
            <w:tcW w:w="440" w:type="dxa"/>
            <w:vAlign w:val="bottom"/>
          </w:tcPr>
          <w:p>
            <w:pPr>
              <w:spacing w:after="0"/>
              <w:rPr>
                <w:sz w:val="20"/>
                <w:szCs w:val="20"/>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Total</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 of loss reclassified from accumulated other comprehensive loss into earnings (in thousands):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214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5"/>
          </w:tcPr>
          <w:p>
            <w:pPr>
              <w:ind w:left="360"/>
              <w:spacing w:after="0"/>
              <w:rPr>
                <w:sz w:val="20"/>
                <w:szCs w:val="20"/>
                <w:color w:val="auto"/>
              </w:rPr>
            </w:pPr>
            <w:r>
              <w:rPr>
                <w:rFonts w:ascii="Arial" w:cs="Arial" w:eastAsia="Arial" w:hAnsi="Arial"/>
                <w:sz w:val="18"/>
                <w:szCs w:val="18"/>
                <w:color w:val="auto"/>
              </w:rPr>
              <w:t>Six Months Ended</w:t>
            </w:r>
          </w:p>
        </w:tc>
      </w:tr>
      <w:tr>
        <w:trPr>
          <w:trHeight w:val="195"/>
        </w:trPr>
        <w:tc>
          <w:tcPr>
            <w:tcW w:w="574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June 30,</w:t>
            </w: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June 30,</w:t>
            </w:r>
          </w:p>
        </w:tc>
        <w:tc>
          <w:tcPr>
            <w:tcW w:w="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86"/>
              </w:rPr>
              <w:t>June 30,</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w w:val="95"/>
              </w:rPr>
              <w:t>June 30,</w:t>
            </w:r>
          </w:p>
        </w:tc>
        <w:tc>
          <w:tcPr>
            <w:tcW w:w="100" w:type="dxa"/>
            <w:vAlign w:val="bottom"/>
          </w:tcPr>
          <w:p>
            <w:pPr>
              <w:spacing w:after="0"/>
              <w:rPr>
                <w:sz w:val="16"/>
                <w:szCs w:val="16"/>
                <w:color w:val="auto"/>
              </w:rPr>
            </w:pPr>
          </w:p>
        </w:tc>
      </w:tr>
      <w:tr>
        <w:trPr>
          <w:trHeight w:val="230"/>
        </w:trPr>
        <w:tc>
          <w:tcPr>
            <w:tcW w:w="57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Losses on cash flow swaps to:</w:t>
            </w: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5"/>
              </w:rPr>
              <w:t>−</w:t>
            </w:r>
          </w:p>
        </w:tc>
        <w:tc>
          <w:tcPr>
            <w:tcW w:w="10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820"/>
              <w:spacing w:after="0"/>
              <w:rPr>
                <w:sz w:val="20"/>
                <w:szCs w:val="20"/>
                <w:color w:val="auto"/>
              </w:rPr>
            </w:pPr>
            <w:r>
              <w:rPr>
                <w:rFonts w:ascii="Arial" w:cs="Arial" w:eastAsia="Arial" w:hAnsi="Arial"/>
                <w:sz w:val="18"/>
                <w:szCs w:val="18"/>
                <w:color w:val="auto"/>
                <w:w w:val="75"/>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5"/>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5"/>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0"/>
        </w:trPr>
        <w:tc>
          <w:tcPr>
            <w:tcW w:w="57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5"/>
              </w:rPr>
              <w:t>−</w:t>
            </w:r>
          </w:p>
        </w:tc>
        <w:tc>
          <w:tcPr>
            <w:tcW w:w="22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820"/>
              <w:spacing w:after="0"/>
              <w:rPr>
                <w:sz w:val="20"/>
                <w:szCs w:val="20"/>
                <w:color w:val="auto"/>
              </w:rPr>
            </w:pPr>
            <w:r>
              <w:rPr>
                <w:rFonts w:ascii="Arial" w:cs="Arial" w:eastAsia="Arial" w:hAnsi="Arial"/>
                <w:sz w:val="18"/>
                <w:szCs w:val="18"/>
                <w:color w:val="auto"/>
                <w:w w:val="75"/>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0"/>
        </w:trPr>
        <w:tc>
          <w:tcPr>
            <w:tcW w:w="5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Restructuring Costs</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During the quarter ended March 31, 2016, the Company instituted plans to consolidate its dealership network. The Company incurred pre-tax expense of approximately $8.1 million related to costs associated with the restructuring activities, including asset impairment charges, in the quarter ended March 31, 2016 and $0.9 million in the quarter ended June 30, 2016.</w:t>
      </w:r>
    </w:p>
    <w:p>
      <w:pPr>
        <w:spacing w:after="0" w:line="181" w:lineRule="exact"/>
        <w:rPr>
          <w:sz w:val="20"/>
          <w:szCs w:val="20"/>
          <w:color w:val="auto"/>
        </w:rPr>
      </w:pPr>
    </w:p>
    <w:p>
      <w:pPr>
        <w:jc w:val="both"/>
        <w:ind w:right="120" w:firstLine="648"/>
        <w:spacing w:after="0" w:line="255" w:lineRule="auto"/>
        <w:rPr>
          <w:sz w:val="20"/>
          <w:szCs w:val="20"/>
          <w:color w:val="auto"/>
        </w:rPr>
      </w:pPr>
      <w:r>
        <w:rPr>
          <w:rFonts w:ascii="Arial" w:cs="Arial" w:eastAsia="Arial" w:hAnsi="Arial"/>
          <w:sz w:val="18"/>
          <w:szCs w:val="18"/>
          <w:color w:val="auto"/>
        </w:rPr>
        <w:t>The restructuring costs included $3.2 million associated with impairment charges to certain fixed assets and the value of the real estate underlying the affected locations, which was reported in selling, general and administrative expenses in the Consolidated Statements of Income and Comprehensive Income. See Note 6 – Financial Instruments and Fair Value, for further discussion on the impairment charge related to the value of real estate in the affected locations. The restructuring costs also included $0.7 million associated with severance benefits for the reduction of approximately 100 employees, lease cancellation fees and contract termination costs that were reported as selling, general and administrative expenses in the Consolidated Statements of Income and Comprehensive Income.</w:t>
      </w:r>
    </w:p>
    <w:p>
      <w:pPr>
        <w:spacing w:after="0" w:line="19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 addition, the Company classified certain excess real estate as held for sale, which resulted in an impairment charge of $5.0 million that was reported in selling, general and administrative expenses in the Consolidated Statements of Income and Comprehensive Income for the six months ended June 30, 2016.</w:t>
      </w: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As of June 30, 2016, 2016, the real estate associated with the restructuring activities and owned by the Company and the Company’s excess real estate is included in assets held for sale on the Consolidated Balance Sheets.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restructuring costs and the assets held for sale are reported under the Truck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New Accounting Pronouncements</w:t>
      </w:r>
    </w:p>
    <w:p>
      <w:pPr>
        <w:spacing w:after="0" w:line="229" w:lineRule="exact"/>
        <w:rPr>
          <w:sz w:val="20"/>
          <w:szCs w:val="20"/>
          <w:color w:val="auto"/>
        </w:rPr>
      </w:pPr>
    </w:p>
    <w:p>
      <w:pPr>
        <w:jc w:val="both"/>
        <w:ind w:right="60" w:firstLine="648"/>
        <w:spacing w:after="0" w:line="271" w:lineRule="auto"/>
        <w:rPr>
          <w:sz w:val="20"/>
          <w:szCs w:val="20"/>
          <w:color w:val="auto"/>
        </w:rPr>
      </w:pPr>
      <w:r>
        <w:rPr>
          <w:rFonts w:ascii="Arial" w:cs="Arial" w:eastAsia="Arial" w:hAnsi="Arial"/>
          <w:sz w:val="17"/>
          <w:szCs w:val="17"/>
          <w:color w:val="auto"/>
        </w:rPr>
        <w:t>In March 2016, the Financial Accounting Standards Board (“FASB”) issued a new standard that changes the accounting for certain aspects of share-based payments to employees. The new guidance requires excess tax benefits and tax deficiencies to be recorded in the income statement when the awards vest or are settled. In addition, cash flows related to excess tax benefits will no longer be separately classified as a financing activity apart from other income tax cash flows. The standard also allows the Company to repurchase more of an employee’s shares for tax withholding purposes without triggering liability accounting, clarifies that all cash payments made on an employee’s behalf for withheld shares should be presented as a financing activity on its cash flows statement, and provides an accounting policy election to account for forfeitures as they occur. The new standard is effective for the Company beginning January 1, 2017, with early adoption permitted. The Company is currently evaluating the effect that adopting this standard will have on its financial statements and related disclosures.</w:t>
      </w:r>
    </w:p>
    <w:p>
      <w:pPr>
        <w:spacing w:after="0" w:line="179" w:lineRule="exact"/>
        <w:rPr>
          <w:sz w:val="20"/>
          <w:szCs w:val="20"/>
          <w:color w:val="auto"/>
        </w:rPr>
      </w:pPr>
    </w:p>
    <w:p>
      <w:pPr>
        <w:jc w:val="both"/>
        <w:ind w:right="60" w:firstLine="648"/>
        <w:spacing w:after="0" w:line="254" w:lineRule="auto"/>
        <w:rPr>
          <w:sz w:val="20"/>
          <w:szCs w:val="20"/>
          <w:color w:val="auto"/>
        </w:rPr>
      </w:pPr>
      <w:r>
        <w:rPr>
          <w:rFonts w:ascii="Arial" w:cs="Arial" w:eastAsia="Arial" w:hAnsi="Arial"/>
          <w:sz w:val="18"/>
          <w:szCs w:val="18"/>
          <w:color w:val="auto"/>
        </w:rPr>
        <w:t xml:space="preserve">In February 2016, the FASB issued Accounting Standards Update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Accounting by lessors will remain largely unchanged from current U.S. generally accepted accounting principles. The new standard is effective for public companies for fiscal years beginning after December 15, 2018, and interim periods within those years, with early adoption permitted. The Company plans to adopt the standard on January 1, 2019. The Company is still evaluating the effect that adopting this standard will have on its financial statements and related disclosures.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2014, the FASB issued Accounting Standards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which replaces existing revenue recognition rules with a comprehensive revenue measurement and recognition standard and expanded disclosure requirements. The new standard becomes effective for annual reporting periods beginning after December 15, 2017, following the July 2015 approval of a one-year deferral of the effective date by the FASB. The Company continues to evaluate the impact of the new standard and available adoption methods. The Company plans to adopt the standard on January 1, 2018. The Company is still evaluating the impact that this standard will have on its consolidated financial statements.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June 2016, the FASB issued Accounting Standards Update No. 2016-13, </w:t>
      </w:r>
      <w:r>
        <w:rPr>
          <w:rFonts w:ascii="Arial" w:cs="Arial" w:eastAsia="Arial" w:hAnsi="Arial"/>
          <w:sz w:val="18"/>
          <w:szCs w:val="18"/>
          <w:i w:val="1"/>
          <w:iCs w:val="1"/>
          <w:color w:val="auto"/>
        </w:rPr>
        <w:t>“Financial Instruments —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measurement and recognition of expected credit losses for financial assets held. The new standard is effective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beginning January 1, 2020 and the Company is currently evaluating the impact that ASU 2016-13 will have on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 Subsequent Event</w:t>
      </w:r>
    </w:p>
    <w:p>
      <w:pPr>
        <w:spacing w:after="0" w:line="229"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On July 7, 2016, we entered into the Third Amended and Restated Credit Agreement (“Floor Plan Credit Agreement”) with BMO Harris Bank N.A. The amendment increased the aggregate loan commitment to $875.0 million. Borrowings under the Floor Plan Credit Agreement bear interest at an annual rate equal to the (A) the greater of (i) zero and (ii) three month LIBOR rate, determined on the last day of the prior month, plus (B) 1.51% and are payable monthly. In addition, the Company is required to pay a monthly working capital fee equal to 0.16% per annum multiplied by the amount of voluntary prepayments of new and used inventory loans. Loans under the Floor Plan Credit Agreement for the purchase of used inventory are limited to $150.0 million. The Company may terminate the Floor Plan Credit Agreement at any time, although if it does so it must pay a prepayment processing fee equal to (i) 2.0% of the aggregate revolving loan commitments if such termination occurs on or before January 1, 2018; (ii) 1.0% of the aggregate revolving loan commitments if such termination occurs after January 1, 2018 and on or prior to July 1, 2018; and (iii) $500,000 if such termination occurs after July 1, 2018 and prior to June 30, 2019, subject to specified limited exceptions. On June 30, 2016, the Company had approximately $658.0 million outstanding under its Second Amended and Restated Credit Agreement with BMO Harris Bank N.A.</w:t>
      </w: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17"/>
          <w:szCs w:val="17"/>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2015,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3"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06" w:lineRule="exact"/>
        <w:rPr>
          <w:sz w:val="20"/>
          <w:szCs w:val="20"/>
          <w:color w:val="auto"/>
        </w:rPr>
      </w:pPr>
    </w:p>
    <w:p>
      <w:pPr>
        <w:jc w:val="both"/>
        <w:ind w:firstLine="648"/>
        <w:spacing w:after="0" w:line="188"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International</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Blue Bird Investment Corporation. IC Bus</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IC Bus, LLC. Fuso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Mitsubishi Fuso Truck and Bus Corporation. Hino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Hino Motors, Ltd. Isuzu</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Isuzu Motors Limited. Ford Motor Credit Company</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 Ford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 SAP</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SAP Aktiengesellschaft. IBM</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International Business Machines Corporation. This report contains additional trade names or trademarks of other companies. Our use of such trade names or trademarks should not imply any endorsement or relationship with such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our subsidiaries. Our principal offices are located at 555 IH 35 South, Suite 500, New Braunfels, Texas 78130.</w:t>
      </w:r>
    </w:p>
    <w:p>
      <w:pPr>
        <w:spacing w:after="0" w:line="170"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21 states.</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 in addition to new and used commercial vehicle sales and leasing, plus financial services, vehicle upfitting, CNG fuel systems, vehicle telematics products, chrome accessories and tires.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which are also described in Note 2 of the Notes to the Consolidated Financial Statements, affect our more significant judgments and estimates used in the preparation of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 inventory and by the first-in, first-out method for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 Such events may include, but are not limited to, strategic decisions made in response to economic and competitive conditions or the impact of the current economic environment.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2015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2012 until 2015, we utilized derivative financial instruments to manage our interest rate risk relating to the variability of cash flows and changes in the fair value of our financial instruments caused by movements in interest rates. We assessed hedge effectiveness at the inception and during the term of each hedge. Derivatives are reported at fair value on the accompanying Consolidated Balance Sheets.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effective portion of the gain or loss on our cash flow hedges are reported as a component of accumulated other comprehensive loss. Hedge effectiveness was assessed quarterly by comparing the changes in cumulative gain or loss from the interest rate swap with the cumulative changes in the present value of the expected future cash flows of the interest rate swap that are attributable to changes in the LIBOR rate.</w:t>
      </w:r>
    </w:p>
    <w:p>
      <w:pPr>
        <w:spacing w:after="0" w:line="200" w:lineRule="exact"/>
        <w:rPr>
          <w:sz w:val="20"/>
          <w:szCs w:val="20"/>
          <w:color w:val="auto"/>
        </w:rPr>
      </w:pPr>
    </w:p>
    <w:p>
      <w:pPr>
        <w:spacing w:after="0" w:line="2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six months ended June 30, 2016 and 2015.</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60" w:type="dxa"/>
            <w:vAlign w:val="bottom"/>
            <w:gridSpan w:val="5"/>
          </w:tcPr>
          <w:p>
            <w:pPr>
              <w:ind w:left="320"/>
              <w:spacing w:after="0"/>
              <w:rPr>
                <w:sz w:val="20"/>
                <w:szCs w:val="20"/>
                <w:color w:val="auto"/>
              </w:rPr>
            </w:pPr>
            <w:r>
              <w:rPr>
                <w:rFonts w:ascii="Arial" w:cs="Arial" w:eastAsia="Arial" w:hAnsi="Arial"/>
                <w:sz w:val="18"/>
                <w:szCs w:val="18"/>
                <w:color w:val="auto"/>
                <w:w w:val="94"/>
              </w:rPr>
              <w:t>The following table sets forth certain financial data as a percentage of total revenues:</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520" w:type="dxa"/>
            <w:vAlign w:val="bottom"/>
          </w:tcPr>
          <w:p>
            <w:pPr>
              <w:spacing w:after="0"/>
              <w:rPr>
                <w:sz w:val="24"/>
                <w:szCs w:val="24"/>
                <w:color w:val="auto"/>
              </w:rPr>
            </w:pPr>
          </w:p>
        </w:tc>
        <w:tc>
          <w:tcPr>
            <w:tcW w:w="224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5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New and used truck sales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7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69.0%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62.2%</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Cost of products sold</w:t>
            </w:r>
          </w:p>
        </w:tc>
        <w:tc>
          <w:tcPr>
            <w:tcW w:w="440" w:type="dxa"/>
            <w:vAlign w:val="bottom"/>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84.4</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82.7</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84.1</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0"/>
        </w:trPr>
        <w:tc>
          <w:tcPr>
            <w:tcW w:w="45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3680" w:type="dxa"/>
            <w:vAlign w:val="bottom"/>
            <w:gridSpan w:val="6"/>
          </w:tcPr>
          <w:p>
            <w:pPr>
              <w:jc w:val="center"/>
              <w:ind w:right="10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Lease and rental</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18"/>
                <w:szCs w:val="18"/>
                <w:color w:val="auto"/>
              </w:rPr>
            </w:pPr>
          </w:p>
        </w:tc>
      </w:tr>
      <w:tr>
        <w:trPr>
          <w:trHeight w:val="669"/>
        </w:trPr>
        <w:tc>
          <w:tcPr>
            <w:tcW w:w="340" w:type="dxa"/>
            <w:vAlign w:val="bottom"/>
          </w:tcPr>
          <w:p>
            <w:pPr>
              <w:spacing w:after="0"/>
              <w:rPr>
                <w:sz w:val="24"/>
                <w:szCs w:val="24"/>
                <w:color w:val="auto"/>
              </w:rPr>
            </w:pPr>
          </w:p>
        </w:tc>
        <w:tc>
          <w:tcPr>
            <w:tcW w:w="452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17</w:t>
            </w: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45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0"/>
              </w:rPr>
              <w:t>Three Months Ended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90"/>
              </w:rPr>
              <w:t>Six Months Ended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4"/>
        </w:trPr>
        <w:tc>
          <w:tcPr>
            <w:tcW w:w="2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Change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4,702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5,271</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8,776</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457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0"/>
        </w:trPr>
        <w:tc>
          <w:tcPr>
            <w:tcW w:w="2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8,061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15,199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Used vehicles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2,009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3,871</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602.0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697.1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1,114.9</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2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820.8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1,535.3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Used vehicle revenue</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90.5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171.0</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r>
      <w:tr>
        <w:trPr>
          <w:trHeight w:val="216"/>
        </w:trPr>
        <w:tc>
          <w:tcPr>
            <w:tcW w:w="266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Other vehicle revenue:</w:t>
            </w:r>
            <w:r>
              <w:rPr>
                <w:rFonts w:ascii="Arial" w:cs="Arial" w:eastAsia="Arial" w:hAnsi="Arial"/>
                <w:sz w:val="25"/>
                <w:szCs w:val="25"/>
                <w:color w:val="auto"/>
                <w:vertAlign w:val="superscript"/>
              </w:rPr>
              <w:t>(1)</w:t>
            </w:r>
          </w:p>
        </w:tc>
        <w:tc>
          <w:tcPr>
            <w:tcW w:w="6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r>
      <w:tr>
        <w:trPr>
          <w:trHeight w:val="234"/>
        </w:trPr>
        <w:tc>
          <w:tcPr>
            <w:tcW w:w="2660" w:type="dxa"/>
            <w:vAlign w:val="bottom"/>
          </w:tcPr>
          <w:p>
            <w:pPr>
              <w:spacing w:after="0"/>
              <w:rPr>
                <w:sz w:val="20"/>
                <w:szCs w:val="20"/>
                <w:color w:val="auto"/>
              </w:rPr>
            </w:pPr>
            <w:r>
              <w:rPr>
                <w:rFonts w:ascii="Arial" w:cs="Arial" w:eastAsia="Arial" w:hAnsi="Arial"/>
                <w:sz w:val="18"/>
                <w:szCs w:val="18"/>
                <w:b w:val="1"/>
                <w:bCs w:val="1"/>
                <w:color w:val="auto"/>
              </w:rPr>
              <w:t>Absorption ratio:</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117.1%</w:t>
            </w: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bl>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body shop (collectively, “Aftermarket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our commercial vehicle dealerships’ absorption ratio was approximately 80%. Since 1999, we have made a concerted effort to increase our absorption ratio. Our commercial vehicle dealerships achieved a 110.3% absorption ratio for the second quarter of 2016 and a 118.9% absorption ratio for the second quarter of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2016 Compared to Three Months Ended June 30, 2015</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new and used Class 8 truck sales and aftermarket revenues in the second quarter of 2016 were impacted by the continued softness in the energy sector, a changing freight environment, excess Class 8 fleet vehicle capacity, and declining used truck values. Our new Class 8 truck sales in the second quarter of 2016 were severely impacted by reduced demand from several of our large fleet customers and the sluggish U.S. Class 8 truck market. Our Class 4 through 7 commercial vehicle sales remained solid during the second quarter, although down slightly, compared to the second quarter of 2015, due to the timing of deliveries to several large fleets earlier this year.</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decline in aftermarket revenues during the second quarter resulted primarily from the negative impact of continued softness in the energy sector on our operations in the central United States. Additionally, our truck center consolidations in the first six months of 2016, along with the overall decline in our new and used Class 8 truck sales, further impacted aftermarket revenues this quarter.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Due to reduced order intake, excess capacity and depressed used Class 8 truck values, we expect new and used Class 8 truck sales to remain at current levels through the end of 2016. We expect our Class 4 through 7 commercial vehicle sales will remain flat with our second quarter performance through year end.</w:t>
      </w: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decreased $303.8 million, or 22.8%, in the second quarter of 2016 compared to the second quarter of 2015.</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Aftermarket Services revenues decreased $24.6 million, or 7.0%, in the second quarter of 2016 compared to the second quarter of 2015. This decrease was primarily the result of continued softness in the energy sector. We expect our Aftermarket Services revenues to remain relatively flat during 2016 compared to 2015.</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Revenues from sales of new and used commercial vehicles decreased $281.0 million, or 30.6%, in the second quarter of 2016 compared to the second quarter of 2015. Our Class 8 new truck sales in the second quarter were severely impacted by reduced demand from several of our large fleet customers and from a significantly weaker Class 8 truck market.</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sold 2,592 heavy-duty trucks in the second quarter of 2016, a 44.4% decrease compared to 4,702 heavy-duty trucks in the second quarter of 2015, primarily as a result of the factors described above. According to A.C.T. Research Co., LLC (“A.C.T. Research”), a truck industry data and forecasting service provider, the U.S. Class 8 truck market decreased 23% in the second quarter of 2016 compared to the second quarter of 2015. A.C.T. Research currently predicts U.S. retail sales of Class 8 trucks of approximately 201,500 units in 2016, 170,000 units in 2017, and 200,000 units in 2018, compared to approximately 253,000 units in 2015. Our share of the U.S. Class 8 truck sales market was approximately 6.7% in 2015. We expect our U.S. Class 8 truck sales market share to range between 5.0% and 6.0% in 2016. This market share percentage would result in the sale of approximately 10,000 to 12,000 of Class 8 trucks in 2016 based on A.C.T. Research’s current U.S. retail sales estimate of 201,500 units.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sold 2,792 Class 4 through 7 commercial vehicles, including 235 buses, in the second quarter of 2016, a 3.8% decrease compared to 2,902 Class 4 through 7 commercial vehicles, including 183 buses, in the second quarter of 2015. A.C.T. Research estimates that unit sales of Class 4 through 7 commercial vehicles in the U.S. increased approximately 7% in the second quarter of 2016, compared to the second quarter of 2015. A.C.T. Research currently predicts U.S. retail sales of Class 4 through 7 medium-duty commercial vehicles of approximately 230,200 units in 2016, 231,100 units in 2017, and 233,350 in 2018. In 2015, we achieved a 5.2% share of the Class 4 through 7 market in the U.S. We expect our market share to range between 5.0% and 5.5% of the U.S. Class 4 through 7 commercial vehicle sales in 2016. This market share percentage would result in the sale of approximately 11,500 to 12,700 of Class 4 through 7 commercial vehicles in 2016 based on A.C.T. Research’s current U.S. retail sales estimates of 230,200 units.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386 light-duty vehicles in the second quarter of 2016, a 15.5% decrease compared to 457 light-duty vehicles in the second quarter of 2015. We expect to sell approximately 1,500 light-duty vehicles in 2016.</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sold 1,750 used commercial vehicles in the second quarter of 2016, a 12.9% decrease compared to 2,009 used commercial vehicles in the second quarter of 2015. This decrease was primarily the result of an oversupply of used Class 8 trucks for sale across the U.S. We expect to sell approximately 7,000 used commercial vehicles in 2016. The volume of used commercial vehicle sales will be largely dependent upon our ability to acquire quality used commercial vehicles and maintain an adequate used commercial vehicle inventory throughout 2016.</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Truck lease and rental revenues increased $2.9 million, or 5.8%, in the second quarter of 2016 compared to the second quarter of 2015. The increase in lease and rental revenues was primarily due to the number of units in service in the lease and rental fleet in 2016, compared to 2015. We expect lease and rental revenues to increase 6% to 8% during 2016, compared to 2015.</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Finance and insurance revenues decreased $0.8 million, or 14.8%, in the second quarter of 2016 compared to the second quarter of 2015. This decrease was primarily the result of the decrease in new truck sales. We expect finance and insurance revenues to fluctuate proportionately with our new and used commercial vehicle sales in 2016. Finance and insurance revenues have limited direct costs and, therefore, contribute a disproportionate share of our operating profits.</w:t>
      </w: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73" w:lineRule="auto"/>
        <w:rPr>
          <w:sz w:val="20"/>
          <w:szCs w:val="20"/>
          <w:color w:val="auto"/>
        </w:rPr>
      </w:pPr>
      <w:r>
        <w:rPr>
          <w:rFonts w:ascii="Arial" w:cs="Arial" w:eastAsia="Arial" w:hAnsi="Arial"/>
          <w:sz w:val="17"/>
          <w:szCs w:val="17"/>
          <w:color w:val="auto"/>
        </w:rPr>
        <w:t>Gross profit decreased $27.2 million, or 13.1%, in the second quarter of 2016, compared to the second quarter of 2015. This decrease was primarily the result of decreased sales of new Class 8 trucks and used commercial vehicles. Gross profit as a percentage of sales increased to 17.6% in the second quarter of 2016, from 15.6% in the second quarter of 2015. This increase in gross profit as a percentage of sales is a result of a change in our product sales mix. Commercial vehicle sales, a lower margin revenue item, decreased as a percentage of total revenues to 62.0% in the second quarter of 2016, from 69.0% in the second quarter of 2015. Aftermarket Services revenues, a higher margin revenue item, increased as a percentage of total revenues to 32.0% in the second quarter of 2016, from 26.6% in the second quarter of 2015.</w:t>
      </w:r>
    </w:p>
    <w:p>
      <w:pPr>
        <w:spacing w:after="0" w:line="178"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Gross margins from our Aftermarket Services operations decreased to 36.3% in the second quarter of 2016, from 37.1% in the second quarter of 2015. Gross profit from our Aftermarket Services operations decreased to $119.1 million in the second quarter of 2016, from $131.0 million in the second quarter of 2015. Historically, gross margins on parts sales range from 27% to 28% and gross margins on service and body shop operations range from 67% to 68%. Gross profits from parts sales represented 56% of total gross profit for Aftermarket Services operations in the second quarter of 2016 and the second quarter of 2015. Service and body shop operations represented 44% of total gross profit for Aftermarket Services operations in the second quarter of 2016 and the second quarter of 2015. We expect blended gross margins on Aftermarket Services operations to range from 36.0% to 37.0% in 2016.</w:t>
      </w:r>
    </w:p>
    <w:p>
      <w:pPr>
        <w:spacing w:after="0" w:line="18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Class 8 truck sales increased to 7.3% in the second quarter of 2016, from 6.6% in the second quarter of 2015. This increase is attributable to the sales mix in the second quarter of 2016, which consisted of fewer sales to large fleet customers. In 2016, we expect overall gross margins from Class 8 truck sales of approximately 6.5% to 7.0%.</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medium-duty commercial vehicle sales increased to 6.0% in the second quarter of 2016, from 5.7% in the second quarter of 2015. For 2016, we expect overall gross margins from medium-duty commercial vehicle sales of approximately 5.5% to 6.0%, but this will largely depend upon the mix of purchasers and types of vehicles sold.</w:t>
      </w:r>
    </w:p>
    <w:p>
      <w:pPr>
        <w:spacing w:after="0" w:line="18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Gross margins on used commercial vehicle sales decreased to 9.2% in the second quarter of 2016, from 10.6% in the second quarter of 2015. This decrease is primarily related to the oversupply of used Class 8 trucks for sale across the U.S. We expect margins on used commercial vehicles to range between 8.0% and 10.0% during 2016, depending on general economic conditions and our ability to acquire quality used vehicles.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Gross margins from truck lease and rental sales increased to 13.5% in the second quarter of 2016, from 10.4% in the second quarter of 2015. We expect gross margins from lease and rental sales of approximately 12.0% to 14.0% during 2016. Our policy is to depreciate our lease and rental fleet using a straight line method over each customer’s contractual lease term. The lease unit is depreciated to a residual value that attempts to approximate fair value at the expiration of the lease term. This policy results in the Company realizing reasonable gross margins while the unit is in service and a corresponding gain or loss on sale when the unit is sold at the end of the lease term.</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Selling, General and Administrative (“SG&amp;A”) expenses decreased $15.2 million, or 9.4%, in the second quarter of 2016, compared to the second quarter of 2015. SG&amp;A expenses as a percentage of total revenue increased to 14.2% in the second quarter of 2016, from 12.1% in the second quarter of 2015. SG&amp;A expenses as a percentage of total revenues have recently ranged from 12.1% to 14.7%. In general, when new and used commercial vehicle revenues decrease as a percentage of total revenues, SG&amp;A expenses as a percentage of total revenues will be at, or exceed, the higher end of this range. For 2016, we expect SG&amp;A expenses as a percentage of total revenues to range from 13.5% to 14.5% and the selling portion of SG&amp;A expenses to be approximately 25.0% to 30.0% of new and used commercial vehicle gross profit.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increased $2.0 million, or 18.4%, in the second quarter of 2016, compared to the second quarter of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primarily due to the construction of new dealerships and dealership expansions.</w:t>
      </w: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interest expense increased $0.2 million, or 4.5%, in the second quarter of 2016 compared to the second quarter of 2015. Net interest expense in 2016 will depend on inventory levels and the amount of cash available to make prepayments on our floor plan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decreased $14.2 million, or 44.3% in the second quarter of 2016, compared to the second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taxes decreased $5.4 million, or 43.5%, in the second quarter of 2016, compared to the second quarter of 2015. We provided for taxes at a 39.25% effective rate in the second quarter of 2016 and 38.75% in the second quarter of 2015. We expect our effective tax rate to be approximately 39.25% of pretax income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2016, Compared to Six Months Ended June 30, 2015</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Unless otherwise stated below, our variance explanations and future expectations with regard to the items discussed in this section are set forth in the discussion of the “Three Months Ended June 30, 2016, Compared to Three Months Ended June 30, 2015.”</w:t>
      </w:r>
    </w:p>
    <w:p>
      <w:pPr>
        <w:spacing w:after="0" w:line="170"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color w:val="auto"/>
        </w:rPr>
        <w:t>Revenues decreased $426.5 million, or 16.9%, in the first six months of 2016, compared to the first six months of 2015. Sales of new and used commercial vehicles decreased $412.7 million, or 24.0%, in the first six months of 2016, compared to the first six months of 2015.</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Aftermarket Services revenues decreased $19.7 million, or 2.9%, in the first six months of 2016, compared to the first six months of 2015.</w:t>
      </w:r>
    </w:p>
    <w:p>
      <w:pPr>
        <w:spacing w:after="0" w:line="23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sold 5,271 heavy-duty trucks in the first six months of 2016, a 39.9% decrease compared to 8,776 heavy-duty trucks in the first six months of 2015. Our new Class 8 truck sales in the first six months of 2016 were impacted by lost sales and delayed deliveries to several of our large fleet customers. According to A.C.T. Research, retail sales in the U.S. Class 8 truck market decreased 15.3% in the first six months of 2016, compared to the first six months of 2015.</w:t>
      </w:r>
    </w:p>
    <w:p>
      <w:pPr>
        <w:spacing w:after="0" w:line="18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sold 6,063 medium-duty commercial vehicles, including 433 buses, in the first six months of 2016. This represented an 8.5% increase compared to 5,588 medium-duty commercial vehicles, including 452 buses, in the first six months of 2015. A.C.T. Research estimates that unit sales of Class 4 through 7 commercial vehicles in the U.S increased approximately 13.5% in the first six months of 2016, compared to the first six months of 2015.</w:t>
      </w:r>
    </w:p>
    <w:p>
      <w:pPr>
        <w:spacing w:after="0" w:line="18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We sold 3,485 used commercial vehicles in the first six months of 2016, a 10.0% decrease compared to 3,871 used commercial vehicles in the first six months of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Truck lease and rental revenues increased $6.0 million, or 6.1%, in the first six months of 2016, compared to the first six months of 2015.</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Finance and insurance revenues decreased $0.9 million, or 9.4%, in the first six months of 2016, compared to the first six months of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profit decreased $37.5 million, or 9.3%, in the first six months of 2016, compared to the first six months of 2015. Gross profit as a percentage of sales increased to 17.3% in the first six months of 2016, from 15.9% in the first six months of 2015.</w:t>
      </w: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Gross margins from Aftermarket Services operations decreased to 36.2% in the first six months of 2016, from 36.7% in the first six months of 2015. Gross profit for Aftermarket Services was $242.8 million in the first six months of 2016, compared to $253.4 million in the first six months of</w:t>
      </w:r>
    </w:p>
    <w:p>
      <w:pPr>
        <w:jc w:val="both"/>
        <w:ind w:right="20"/>
        <w:spacing w:after="0" w:line="255" w:lineRule="auto"/>
        <w:rPr>
          <w:sz w:val="20"/>
          <w:szCs w:val="20"/>
          <w:color w:val="auto"/>
        </w:rPr>
      </w:pPr>
      <w:r>
        <w:rPr>
          <w:rFonts w:ascii="Arial" w:cs="Arial" w:eastAsia="Arial" w:hAnsi="Arial"/>
          <w:sz w:val="18"/>
          <w:szCs w:val="18"/>
          <w:color w:val="auto"/>
        </w:rPr>
        <w:t>2015. Gross profits from parts sales represented 56% of total gross profit for Aftermarket Services operations in the first six months of 2016 and the first six months of 2015. Service and body shop operations represented 44% of total gross profit for Aftermarket Services operations in the first six months of 2016 and the first six months of 2015.</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increased to 7.0% in the first six months of 2016, from 6.7% in the first six months of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medium-duty commercial vehicle sales increased to 5.8% in the first six months of 2016, from 5.4% in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decreased to 9.6% in the first six months of 2016, from 11.8% in the first six months of 2015.</w:t>
      </w:r>
    </w:p>
    <w:p>
      <w:pPr>
        <w:spacing w:after="0" w:line="200" w:lineRule="exact"/>
        <w:rPr>
          <w:sz w:val="20"/>
          <w:szCs w:val="20"/>
          <w:color w:val="auto"/>
        </w:rPr>
      </w:pPr>
    </w:p>
    <w:p>
      <w:pPr>
        <w:spacing w:after="0" w:line="264"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margins from truck lease and rental sales decreased to 11.9% in the first six months of 2016, from approximately 12.3% in the first six months of 2015.</w:t>
      </w:r>
    </w:p>
    <w:p>
      <w:pPr>
        <w:spacing w:after="0" w:line="170"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SG&amp;A expenses decreased $5.4 million, or 1.7%, in the first six months of 2016, compared to the first six months of 2015. SG&amp;A expenses as a percentage of sales was 14.7% in the first six months of 2016, and 12.4% in the first six months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increased $4.6 million, or 22.3%, in the first six months of 2016 compared to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increased $1.5 million, or 22.4%, in the first six months of 2016, compared to the first six months of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decreased $37.6 million, or 63.4%, in the first six months of 2016, compared to the first six months of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Income taxes decreased $14.5 million, or 62.9%, in the first six months of 2016, compared to the first six months of 2015. We provided for taxes at a 39.25% rate in the first six months of 2016 and 38.75% in the first six months of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June 30, 2016, we had working capital of approximately $97.9 million, including $92.7 million in cash available to fund our operations. We believe that these funds are sufficient to meet our operating requirements for at least the next twelve months. From time to time, we utilize our excess cash on hand to pay down our outstanding borrowings under our Floor Plan Credit Agreement, and the resulting interest earned is recognized as an offset to our gross interest expense under the credit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June 30, 2016, however, $13.2 million was pledged to secure various letters of credit related to self-insurance products, leaving $4.3 million available for future borrowings as of June 30, 2016.</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long-term real estate debt and floor plan financing agreements require us to satisfy various financial ratios such as the debt-to-worth ratio, leverage ratio and the fixed charge coverage ratio and certain requirements for tangible net worth and GAAP net worth. As of June 30, 2016, we were in compliance with all debt covenants related to debt secured by real estate and lease and rental units and our floor plan credit agreements. We do not anticipate any breach of the covenants in the foreseeable future.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to purchase or lease trucks worth approximately $150.0 million to $200.0 million for our leasing operations during 2016, depending on customer demand, all of which will be financed. We also expect to make capital expenditures for recurring items such as computers, shop tools and equipment and vehicles of approximately $20.0 million to $25.0 million during 2016.</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currently under contract to purchase real estate in Colorado at an estimated cost of $6.8 million, which is expected to close in the third quarter of 2016.</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4, 2015, we announced that our Board of Directors authorized the repurchase, from time to time, of up to an aggregate of $40.0 million shares of Class A Common Stock and/or Class B Common Stock. This stock repurchase program replaced a prior $40 million repurchase program.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new stock repurchase program will be determined by management at its discretion and will depend on a number of factors, including market conditions, stock price and other factors, including those related to the ownership requirements of its dealership agreements with Peterbilt. The stock repurchase program expires on November 30, 2016, and may be suspended or discontinued at any time. As of June 30, 2016, the Company has purchased approximately $18.2 million of its Class A common stock and $2.1 million of its Class B common stock under this repurchase program.</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 70% to 80% of the appraised value of such facility.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June 30, 2016. However,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Cash and cash equivalents increased by $27.8 million during the six months ended June 30, 2016, and decreased by $118.5 million during the six months ended June 30, 2015.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six months of 2016, operating activities resulted in net cash provided by operations of $223.0 million. Net cash provided by operating activities primarily consisted of $13.2 million in net income, as well as non-cash adjustments related to depreciation and amortization of $78.5 million, impairment of assets of $8.2 million, and stock-based compensation, including tax benefit, of $7.8 million. Cash provided by operating activities included an aggregate of $115.1 million net change in operating assets and liabilities. Included in the net change in operating assets and liabilities were cash inflows of $27.6 million from the decrease in accounts receivable, $58.0 million from decreases in inventory, $21.8 million from the decrease in other assets, net and $11.0 million from the net increase in floor plan, trade which were offset by cash outflows of $2.2 million from decreases in accounts payable and accrued liabilities, and $1.2 million from a decrease in customer deposits. The majority of commercial vehicle inventory is financed through our floor plan credit agreements.</w:t>
      </w:r>
    </w:p>
    <w:p>
      <w:pPr>
        <w:spacing w:after="0" w:line="200" w:lineRule="exact"/>
        <w:rPr>
          <w:sz w:val="20"/>
          <w:szCs w:val="20"/>
          <w:color w:val="auto"/>
        </w:rPr>
      </w:pPr>
    </w:p>
    <w:p>
      <w:pPr>
        <w:spacing w:after="0" w:line="24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six months of 2015, operating activities resulted in net cash provided by operations of $62.3 million. Net cash provided by operating activities primarily consisted of $36.4 million in net income, as well as non-cash adjustments related to depreciation and amortization of $69.8 million, and stock-based compensation, including tax benefit, of $7.6 million. Cash used in operating activities included an aggregate of $48.3 million net change in operating assets and liabilities. Included in the net change in operating assets and liabilities were cash inflows of $17.3 from the decrease in prepaid expenses and other assets, net which were offset by cash outflows of $14.3 million from the net decrease in floor plan, trade, $20.3 million from increases in inventory, net of acquisitions, $4.7 million from an increase in accounts receivable, $1.1 million from decreases in accounts payable and accrued liabilities, and $25.2 million from a decrease in customer deposits. The majority of commercial vehicle inventory is financed through our floor plan credit agreements.</w:t>
      </w:r>
    </w:p>
    <w:p>
      <w:pPr>
        <w:spacing w:after="0" w:line="192"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June 30, 2016, the interest rate on the wholesale financing agreement was 5.25% before considering the applicable incentives. As of June 30, 2016, we had an outstanding balance of $73.4 million under the Ford Motor Credit Company wholesale financing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six months of 2016, cash used in investing activities was $115.7 million. Cash flows used in investing activities consist primarily of cash used for capital expenditures. Capital expenditures of $115.3 million during the first six months of 2016 consisted primarily of purchases of property and equipment and improvements to our existing dealership facilities. Property and equipment purchases during the first six months of 2016 included $71.9 million for additional units for the rental and leasing operations, which were directly offset by borrowings of long-term debt. We expect to purchase or lease trucks worth approximately $150.0 million to $200.0 million for our leasing operations in 2016, depending on customer demand, all of which will be financed. During 2016, we expect to make capital expenditures for recurring items such as computers, shop equipment and vehicles of $20.0 million to $25.0 million.</w:t>
      </w:r>
    </w:p>
    <w:p>
      <w:pPr>
        <w:spacing w:after="0" w:line="18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During the first six months of 2015, cash used in investing activities was $221.9 million. Cash flows used in investing activities consist primarily of cash used for capital expenditures and business acquisitions. Capital expenditures of $164.2 million during the first six months of 2015 consisted primarily of purchases of property and equipment and improvements to our existing dealership facilities. Property and equipment purchases during the first six months of 2015 included $99.5 million for additional units for the rental and leasing operations, which were directly offset by borrowings of long-term debt. Cash used for business acquisitions was $57.9 million during the six months ended June 30, 2015, which was partially offset by borrowings of long-term debt and floor plan notes payable.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Cash flows from financing activities include borrowings and repayments of long-term debt and net proceeds of floor plan notes payable, non-trade. During the first six months of 2016, we used $79.4 million in net cash from financing activities, primarily related to $35.7 million from net payments on floor plan notes payable, non-trade, $93.4 million used for principal repayments of long-term debt and capital lease obligations and $20.3 million used to purchase 934,171 shares of Rush Class A Common Stock and 111,967 shares of Rush Class B common stock during the first six months of 2016. These cash outflows were partially offset by borrowings of $68.5 million of long-term debt, and $2.4 million from the issuance of shares related to equity compensation plans. The borrowings of long-term debt were primarily related to purchasing units for the rental and leasing operations.</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first six months of 2015, we generated $41.0 million in net cash flow from financing activities, primarily related to borrowings of $85.0 million of long-term debt, $39.8 million from net draws on floor plan notes payable, non-trade and $2.0 million from the issuance of shares related to equity compensation plans. These cash inflows were partially offset by cash outflows of $83.8 million used for principal repayments of long-term debt and capital lease obligations and $1.5 million used to purchase 56,077 shares of Rush Class B common stock during the first six months of 2015. The borrowings of long-term debt were primarily related to purchasing units for the rental and leasing operations.</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Most of our commercial vehicle purchases are made on terms requiring payment to the manufacturer within 15 days or less from the date the commercial vehicles are invoiced from the factory. On July 7, 2016, we entered into the Third Amended and Restated Credit Agreement with BMO Harris Bank N.A. (“the Floor Plan Credit Agreement”). The amendment increased the aggregate loan commitment to $875.0 million. Borrowings under the Floor Plan Credit Agreement bear interest at an annual rate equal to the (A) the greater of (i) zero and (ii) 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(i) 2.0% of the aggregate revolving loan commitments if such termination occurs on or before January 1, 2018;</w:t>
      </w:r>
    </w:p>
    <w:p>
      <w:pPr>
        <w:spacing w:after="0" w:line="1" w:lineRule="exact"/>
        <w:rPr>
          <w:sz w:val="20"/>
          <w:szCs w:val="20"/>
          <w:color w:val="auto"/>
        </w:rPr>
      </w:pPr>
    </w:p>
    <w:p>
      <w:pPr>
        <w:jc w:val="both"/>
        <w:ind w:firstLine="8"/>
        <w:spacing w:after="0" w:line="270" w:lineRule="auto"/>
        <w:tabs>
          <w:tab w:leader="none" w:pos="293" w:val="left"/>
        </w:tabs>
        <w:numPr>
          <w:ilvl w:val="0"/>
          <w:numId w:val="4"/>
        </w:numPr>
        <w:rPr>
          <w:rFonts w:ascii="Arial" w:cs="Arial" w:eastAsia="Arial" w:hAnsi="Arial"/>
          <w:sz w:val="17"/>
          <w:szCs w:val="17"/>
          <w:color w:val="auto"/>
        </w:rPr>
      </w:pPr>
      <w:r>
        <w:rPr>
          <w:rFonts w:ascii="Arial" w:cs="Arial" w:eastAsia="Arial" w:hAnsi="Arial"/>
          <w:sz w:val="17"/>
          <w:szCs w:val="17"/>
          <w:color w:val="auto"/>
        </w:rPr>
        <w:t>1.0% of the aggregate revolving loan commitments if such termination occurs after January 1, 2018 and on or prior to July 1, 2018; and (iii) $500,000 if such termination occurs after July 1, 2018 and prior to June 30, 2019, subject to specified limited exceptions. On June 30, 2016, we had approximately $658.0 million outstanding under the Second Amended and Restated Credit Agreement with BMO Harris Bank N.A. The average daily outstanding borrowings under the Second Amended and Restated Credit Agreement were $646.0 million during the three months ended June 30, 2016. Periodically, we utilize our excess cash on hand to pay down our outstanding borrowings under the Floor Plan Credit Agreement, and the resulting interest earned is recognized as an offset to our gross interest expense under the Floor Plan Credit Agreement.</w:t>
      </w:r>
    </w:p>
    <w:p>
      <w:pPr>
        <w:sectPr>
          <w:pgSz w:w="11900" w:h="16838" w:orient="portrait"/>
          <w:cols w:equalWidth="0" w:num="1">
            <w:col w:w="11060"/>
          </w:cols>
          <w:pgMar w:left="240" w:top="118" w:right="5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type w:val="continuous"/>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If the commercial vehicle is not sold within the interest-free period, we then finance the commercial vehicle under the Floor Plan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June 30, 2016, our backlog of commercial vehicle orders was approximately $878.7 million, as compared to a backlog of commercial vehicle orders of approximately $1,054.9 million on June 30, 2015.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June 30, 2016 and we expect to fill the majority of our backlog orders during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Our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Aftermarket Services and diversification of our customer base, we have attempted to reduce the negative impact of adverse general economic conditions or cyclical trends affecting the heavy-duty truck industry on our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Services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we do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92"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color w:val="auto"/>
        </w:rPr>
        <w:t>The Environmental Protection Agency (“EPA”) and the National Highway Traffic Safety Administration (“NHTSA”), on behalf of the U.S. Department of Transportation, issued final rules on September 15, 2011 associated with reducing greenhouse gas (“GHG”) emissions and improving the fuel efficiency of medium and heavy-duty trucks and buses beginning in model year 2014 and being phased in through model year 2018. On June 19, 2015, the EPA and NHTSA proposed further GHG and fuel efficiency standards that would apply to medium and heavy-duty vehicles and buses and would be phased in between model years 2021 through 2027. We do not believe that the foregoing adopted or proposed standards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are exposed to some market risk through interest rates related to our floor plan financing agreements, variable rate real estate debt and discount rates related to finance sales. The majority of floor plan debt and variable rate real estate debt is based on LIBOR. As of June 30, 2016, we had floor plan borrowings and variable interest rate real estate debt of approximately $947.6 million. Assuming an increase or decrease in LIBOR of 100 basis points, annual interest expense could correspondingly increase or decrease by approximately $9.5 million.</w:t>
      </w:r>
    </w:p>
    <w:p>
      <w:pPr>
        <w:spacing w:after="0" w:line="17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offer all customer financing opportunities to various finance providers. We receive all finance charges in excess of a negotiated discount rate from the finance providers in the month following the date of the financing. The negotiated discount rate is variable, thus subject to interest rate fluctuations. This interest rate risk is mitigated by our ability to pass discount rate increases to customers through higher financing rates.</w:t>
      </w:r>
    </w:p>
    <w:p>
      <w:pPr>
        <w:spacing w:after="0" w:line="14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are also exposed to some market risk through interest rates related to the investment of our current cash and cash equivalents, which totaled $92.7 million on June 30, 2016. These funds are generally invested in variable interest rate instruments in accordance with our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our annual interest income could correspondingly increase or decrease by approximately $0.9 million.</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June 30, 2016, we hold auction rate securities, with underlying tax-exempt municipal bonds that mature in 2030, that have a fair value of $6.4 million. Given the current market conditions in the auction rate securities market, if we determine that the fair value of these securities temporarily decreases by an additional 10%, our equity could correspondingly decrease by approximately $640,000. If it is determined that the fair value of these securities is other-than-temporarily impaired by 10%, we could record a loss on our Consolidated Statements of Income of approximately $640,000. For further discussion of the risks related to our auction rate securities, see Note 6 – Financial Instruments and Fair Value of the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June 30, 2016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June 30, 2016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40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2015 Annual Report on Form 10-K (the “2015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2015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second quarter of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second quarter of 2016 is as follows:</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18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6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 Purchased</w:t>
            </w: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Price Paid</w:t>
            </w:r>
          </w:p>
        </w:tc>
        <w:tc>
          <w:tcPr>
            <w:tcW w:w="6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as Part of Publicly</w:t>
            </w:r>
          </w:p>
        </w:tc>
        <w:tc>
          <w:tcPr>
            <w:tcW w:w="18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Shares Purchased</w:t>
            </w:r>
          </w:p>
        </w:tc>
        <w:tc>
          <w:tcPr>
            <w:tcW w:w="2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Per Share</w:t>
            </w:r>
          </w:p>
        </w:tc>
        <w:tc>
          <w:tcPr>
            <w:tcW w:w="6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Announced Plans</w:t>
            </w:r>
          </w:p>
        </w:tc>
        <w:tc>
          <w:tcPr>
            <w:tcW w:w="18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8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3"/>
              </w:rPr>
              <w:t>(1)(2)(3)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(1)</w:t>
            </w:r>
          </w:p>
        </w:tc>
        <w:tc>
          <w:tcPr>
            <w:tcW w:w="62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or Programs (2)</w:t>
            </w:r>
          </w:p>
        </w:tc>
        <w:tc>
          <w:tcPr>
            <w:tcW w:w="180" w:type="dxa"/>
            <w:vAlign w:val="bottom"/>
          </w:tcPr>
          <w:p>
            <w:pPr>
              <w:spacing w:after="0"/>
              <w:rPr>
                <w:sz w:val="20"/>
                <w:szCs w:val="20"/>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or Programs (3)</w:t>
            </w:r>
          </w:p>
        </w:tc>
      </w:tr>
      <w:tr>
        <w:trPr>
          <w:trHeight w:val="210"/>
        </w:trPr>
        <w:tc>
          <w:tcPr>
            <w:tcW w:w="2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2016</w:t>
            </w:r>
          </w:p>
        </w:tc>
        <w:tc>
          <w:tcPr>
            <w:tcW w:w="12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206,219</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206,219</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36,093,846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May 1 – May 31, 2016</w:t>
            </w:r>
          </w:p>
        </w:tc>
        <w:tc>
          <w:tcPr>
            <w:tcW w:w="2100" w:type="dxa"/>
            <w:vAlign w:val="bottom"/>
            <w:gridSpan w:val="3"/>
          </w:tcPr>
          <w:p>
            <w:pPr>
              <w:jc w:val="right"/>
              <w:ind w:right="240"/>
              <w:spacing w:after="0"/>
              <w:rPr>
                <w:sz w:val="20"/>
                <w:szCs w:val="20"/>
                <w:color w:val="auto"/>
              </w:rPr>
            </w:pPr>
            <w:r>
              <w:rPr>
                <w:rFonts w:ascii="Arial" w:cs="Arial" w:eastAsia="Arial" w:hAnsi="Arial"/>
                <w:sz w:val="18"/>
                <w:szCs w:val="18"/>
                <w:color w:val="auto"/>
              </w:rPr>
              <w:t>733,683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19.57</w:t>
            </w:r>
          </w:p>
        </w:tc>
        <w:tc>
          <w:tcPr>
            <w:tcW w:w="620" w:type="dxa"/>
            <w:vAlign w:val="bottom"/>
          </w:tcPr>
          <w:p>
            <w:pPr>
              <w:jc w:val="right"/>
              <w:ind w:right="170"/>
              <w:spacing w:after="0"/>
              <w:rPr>
                <w:sz w:val="20"/>
                <w:szCs w:val="20"/>
                <w:color w:val="auto"/>
              </w:rPr>
            </w:pPr>
            <w:r>
              <w:rPr>
                <w:rFonts w:ascii="Arial" w:cs="Arial" w:eastAsia="Arial" w:hAnsi="Arial"/>
                <w:sz w:val="18"/>
                <w:szCs w:val="18"/>
                <w:b w:val="1"/>
                <w:bCs w:val="1"/>
                <w:color w:val="auto"/>
              </w:rPr>
              <w:t>(5)</w:t>
            </w: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939,902</w:t>
            </w:r>
          </w:p>
        </w:tc>
        <w:tc>
          <w:tcPr>
            <w:tcW w:w="18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21,712,940</w:t>
            </w:r>
          </w:p>
        </w:tc>
      </w:tr>
      <w:tr>
        <w:trPr>
          <w:trHeight w:val="216"/>
        </w:trPr>
        <w:tc>
          <w:tcPr>
            <w:tcW w:w="20" w:type="dxa"/>
            <w:vAlign w:val="bottom"/>
          </w:tcPr>
          <w:p>
            <w:pPr>
              <w:spacing w:after="0"/>
              <w:rPr>
                <w:sz w:val="18"/>
                <w:szCs w:val="18"/>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1 – June 30, 2016</w:t>
            </w:r>
          </w:p>
        </w:tc>
        <w:tc>
          <w:tcPr>
            <w:tcW w:w="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106,236</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1,046,138</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19,519,786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3"/>
          </w:tcPr>
          <w:p>
            <w:pPr>
              <w:jc w:val="right"/>
              <w:ind w:right="240"/>
              <w:spacing w:after="0"/>
              <w:rPr>
                <w:sz w:val="20"/>
                <w:szCs w:val="20"/>
                <w:color w:val="auto"/>
              </w:rPr>
            </w:pPr>
            <w:r>
              <w:rPr>
                <w:rFonts w:ascii="Arial" w:cs="Arial" w:eastAsia="Arial" w:hAnsi="Arial"/>
                <w:sz w:val="18"/>
                <w:szCs w:val="18"/>
                <w:color w:val="auto"/>
              </w:rPr>
              <w:t>1,046,138</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1,046,138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19,519,786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-8255</wp:posOffset>
            </wp:positionV>
            <wp:extent cx="11061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-8255</wp:posOffset>
            </wp:positionV>
            <wp:extent cx="24701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______________</w:t>
      </w:r>
    </w:p>
    <w:p>
      <w:pPr>
        <w:spacing w:after="0" w:line="8" w:lineRule="exact"/>
        <w:rPr>
          <w:sz w:val="20"/>
          <w:szCs w:val="20"/>
          <w:color w:val="auto"/>
        </w:rPr>
      </w:pPr>
    </w:p>
    <w:p>
      <w:pPr>
        <w:ind w:left="660" w:right="5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represent Class A Common Stock and Class B Common Stock repurchased by the Company.</w:t>
      </w:r>
    </w:p>
    <w:p>
      <w:pPr>
        <w:spacing w:after="0" w:line="9"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repurchased shares under a stock repurchase program announced on December 4, 2015, which authorized the repurchase of up to $40.0 million of its shares of Class A Common Stock and/or Class B Common Stock. The stock repurchase program expires on November 30, 2016, and may be suspended or discontinued at any time.</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197,502 shares of Class A Common Stock at an average price paid per share of $18.93 and 8,717 shares of Class B Common Stock at an average price paid per share of $18.44.</w:t>
      </w:r>
    </w:p>
    <w:p>
      <w:pPr>
        <w:ind w:left="6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701,691 shares of Class A Common Stock at an average price paid per share of $19.57 and 31,992 shares of Class B Common Stock at an average price paid per share of $19.49.</w:t>
      </w:r>
    </w:p>
    <w:p>
      <w:pPr>
        <w:ind w:left="660" w:hanging="652"/>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34,978 shares of Class A Common Stock at an average price paid per share of $20.41 and 71,258 shares of Class B Common Stock at an average price paid per share of $20.71.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3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20" w:type="dxa"/>
            <w:vAlign w:val="bottom"/>
          </w:tcPr>
          <w:p>
            <w:pPr>
              <w:spacing w:after="0"/>
              <w:rPr>
                <w:sz w:val="20"/>
                <w:szCs w:val="20"/>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Exhibit Title</w:t>
            </w:r>
          </w:p>
        </w:tc>
      </w:tr>
      <w:tr>
        <w:trPr>
          <w:trHeight w:val="195"/>
        </w:trPr>
        <w:tc>
          <w:tcPr>
            <w:tcW w:w="20" w:type="dxa"/>
            <w:vAlign w:val="bottom"/>
          </w:tcPr>
          <w:p>
            <w:pPr>
              <w:spacing w:after="0"/>
              <w:rPr>
                <w:sz w:val="16"/>
                <w:szCs w:val="16"/>
                <w:color w:val="auto"/>
              </w:rPr>
            </w:pP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16"/>
                <w:szCs w:val="16"/>
                <w:color w:val="auto"/>
              </w:rPr>
            </w:pPr>
          </w:p>
        </w:tc>
        <w:tc>
          <w:tcPr>
            <w:tcW w:w="10320" w:type="dxa"/>
            <w:vAlign w:val="bottom"/>
          </w:tcPr>
          <w:p>
            <w:pPr>
              <w:spacing w:after="0" w:line="195" w:lineRule="exact"/>
              <w:rPr>
                <w:sz w:val="20"/>
                <w:szCs w:val="20"/>
                <w:color w:val="auto"/>
              </w:rPr>
            </w:pPr>
            <w:r>
              <w:rPr>
                <w:rFonts w:ascii="Arial" w:cs="Arial" w:eastAsia="Arial" w:hAnsi="Arial"/>
                <w:sz w:val="18"/>
                <w:szCs w:val="18"/>
                <w:color w:val="auto"/>
                <w:w w:val="96"/>
              </w:rPr>
              <w:t>Restated Articles of Incorporation of Rush Enterprises, Inc. (incorporated herein by reference to Exhibit 3.1 of the Company’s Quarterly</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Report on Form 10-Q (File No. 000-20797) for the quarter ended June 30, 2008)</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Rush Enterprises, Inc. Amended and Restated Bylaws (incorporated herein by reference to Exhibit 3.1 of the Company’s Current Report on</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Form 8-K (File No. 000-20797) filed May 21, 2013)</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Third Amended and Restated Credit Agreement, dated as of July 7, 2016 by and among the Company, the Lenders signatory thereto and BMO</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3"/>
              </w:rPr>
              <w:t>Harris Bank N.A., as Administrative Agent and Collateral Agent (incorporated herein by reference to Exhibit 10.1 of the Company’s Current</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Report on Form 8-K (File No. 000-20797) filed July 8, 2016)</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7"/>
              </w:rPr>
              <w:t>Certification of CEO pursuant to Rules 13a-14(a) and 15d-14(a) adopted pursuant to Section 302 of the Sarbanes-Oxley Act of 2002.</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7"/>
              </w:rPr>
              <w:t>Certification of CFO pursuant to Rules 13a-14(a) and 15d-14(a) adopted pursuant to Section 302 of the Sarbanes-Oxley Act of 2002.</w:t>
            </w:r>
          </w:p>
        </w:tc>
      </w:tr>
      <w:tr>
        <w:trPr>
          <w:trHeight w:val="216"/>
        </w:trPr>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r>
      <w:tr>
        <w:trPr>
          <w:trHeight w:val="216"/>
        </w:trPr>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101.INS*</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4"/>
              </w:rPr>
              <w:t>101.SCH*</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rPr>
              <w:t>101.CAL*</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7"/>
              </w:rPr>
              <w:t>101.DEF*</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rPr>
              <w:t>101.LAB*</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3"/>
              </w:rPr>
              <w:t>101.PRE*</w:t>
            </w:r>
          </w:p>
        </w:tc>
        <w:tc>
          <w:tcPr>
            <w:tcW w:w="32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380" w:type="dxa"/>
            <w:vAlign w:val="bottom"/>
            <w:gridSpan w:val="2"/>
          </w:tcPr>
          <w:p>
            <w:pPr>
              <w:ind w:left="2040"/>
              <w:spacing w:after="0"/>
              <w:rPr>
                <w:sz w:val="20"/>
                <w:szCs w:val="20"/>
                <w:color w:val="auto"/>
              </w:rPr>
            </w:pPr>
            <w:r>
              <w:rPr>
                <w:rFonts w:ascii="Arial" w:cs="Arial" w:eastAsia="Arial" w:hAnsi="Arial"/>
                <w:sz w:val="18"/>
                <w:szCs w:val="18"/>
                <w:color w:val="auto"/>
              </w:rPr>
              <w:t>RUSH ENTERPRISES, INC.</w:t>
            </w:r>
          </w:p>
        </w:tc>
        <w:tc>
          <w:tcPr>
            <w:tcW w:w="1400" w:type="dxa"/>
            <w:vAlign w:val="bottom"/>
          </w:tcPr>
          <w:p>
            <w:pPr>
              <w:spacing w:after="0"/>
              <w:rPr>
                <w:sz w:val="20"/>
                <w:szCs w:val="20"/>
                <w:color w:val="auto"/>
              </w:rPr>
            </w:pPr>
          </w:p>
        </w:tc>
      </w:tr>
      <w:tr>
        <w:trPr>
          <w:trHeight w:val="86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0"/>
              <w:spacing w:after="0"/>
              <w:rPr>
                <w:sz w:val="20"/>
                <w:szCs w:val="20"/>
                <w:color w:val="auto"/>
              </w:rPr>
            </w:pPr>
            <w:r>
              <w:rPr>
                <w:rFonts w:ascii="Arial" w:cs="Arial" w:eastAsia="Arial" w:hAnsi="Arial"/>
                <w:sz w:val="18"/>
                <w:szCs w:val="18"/>
                <w:color w:val="auto"/>
              </w:rPr>
              <w:t>August 9, 2016</w:t>
            </w:r>
          </w:p>
        </w:tc>
        <w:tc>
          <w:tcPr>
            <w:tcW w:w="6380" w:type="dxa"/>
            <w:vAlign w:val="bottom"/>
            <w:gridSpan w:val="2"/>
          </w:tcPr>
          <w:p>
            <w:pPr>
              <w:ind w:left="2040"/>
              <w:spacing w:after="0"/>
              <w:rPr>
                <w:sz w:val="20"/>
                <w:szCs w:val="20"/>
                <w:color w:val="auto"/>
              </w:rPr>
            </w:pPr>
            <w:r>
              <w:rPr>
                <w:rFonts w:ascii="Arial" w:cs="Arial" w:eastAsia="Arial" w:hAnsi="Arial"/>
                <w:sz w:val="18"/>
                <w:szCs w:val="18"/>
                <w:color w:val="auto"/>
              </w:rPr>
              <w:t>By: /S/ W.M. “RUSTY” RUSH</w:t>
            </w:r>
          </w:p>
        </w:tc>
        <w:tc>
          <w:tcPr>
            <w:tcW w:w="1400" w:type="dxa"/>
            <w:vAlign w:val="bottom"/>
          </w:tcPr>
          <w:p>
            <w:pPr>
              <w:spacing w:after="0"/>
              <w:rPr>
                <w:sz w:val="24"/>
                <w:szCs w:val="24"/>
                <w:color w:val="auto"/>
              </w:rPr>
            </w:pPr>
          </w:p>
        </w:tc>
      </w:tr>
      <w:tr>
        <w:trPr>
          <w:trHeight w:val="195"/>
        </w:trPr>
        <w:tc>
          <w:tcPr>
            <w:tcW w:w="5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c>
          <w:tcPr>
            <w:tcW w:w="14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Chief Executive Officer and</w:t>
            </w:r>
          </w:p>
        </w:tc>
        <w:tc>
          <w:tcPr>
            <w:tcW w:w="14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Chairman of the Board</w:t>
            </w:r>
          </w:p>
        </w:tc>
        <w:tc>
          <w:tcPr>
            <w:tcW w:w="14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400" w:type="dxa"/>
            <w:vAlign w:val="bottom"/>
          </w:tcPr>
          <w:p>
            <w:pPr>
              <w:spacing w:after="0"/>
              <w:rPr>
                <w:sz w:val="20"/>
                <w:szCs w:val="20"/>
                <w:color w:val="auto"/>
              </w:rPr>
            </w:pPr>
          </w:p>
        </w:tc>
      </w:tr>
      <w:tr>
        <w:trPr>
          <w:trHeight w:val="86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0"/>
              <w:spacing w:after="0"/>
              <w:rPr>
                <w:sz w:val="20"/>
                <w:szCs w:val="20"/>
                <w:color w:val="auto"/>
              </w:rPr>
            </w:pPr>
            <w:r>
              <w:rPr>
                <w:rFonts w:ascii="Arial" w:cs="Arial" w:eastAsia="Arial" w:hAnsi="Arial"/>
                <w:sz w:val="18"/>
                <w:szCs w:val="18"/>
                <w:color w:val="auto"/>
              </w:rPr>
              <w:t>August 9, 2016</w:t>
            </w:r>
          </w:p>
        </w:tc>
        <w:tc>
          <w:tcPr>
            <w:tcW w:w="6380" w:type="dxa"/>
            <w:vAlign w:val="bottom"/>
            <w:gridSpan w:val="2"/>
          </w:tcPr>
          <w:p>
            <w:pPr>
              <w:ind w:left="2040"/>
              <w:spacing w:after="0"/>
              <w:rPr>
                <w:sz w:val="20"/>
                <w:szCs w:val="20"/>
                <w:color w:val="auto"/>
              </w:rPr>
            </w:pPr>
            <w:r>
              <w:rPr>
                <w:rFonts w:ascii="Arial" w:cs="Arial" w:eastAsia="Arial" w:hAnsi="Arial"/>
                <w:sz w:val="18"/>
                <w:szCs w:val="18"/>
                <w:color w:val="auto"/>
              </w:rPr>
              <w:t>By: /S/ STEVEN L. KELLER</w:t>
            </w:r>
          </w:p>
        </w:tc>
        <w:tc>
          <w:tcPr>
            <w:tcW w:w="1400" w:type="dxa"/>
            <w:vAlign w:val="bottom"/>
          </w:tcPr>
          <w:p>
            <w:pPr>
              <w:spacing w:after="0"/>
              <w:rPr>
                <w:sz w:val="24"/>
                <w:szCs w:val="24"/>
                <w:color w:val="auto"/>
              </w:rPr>
            </w:pPr>
          </w:p>
        </w:tc>
      </w:tr>
      <w:tr>
        <w:trPr>
          <w:trHeight w:val="195"/>
        </w:trPr>
        <w:tc>
          <w:tcPr>
            <w:tcW w:w="5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14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c>
          <w:tcPr>
            <w:tcW w:w="14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and Treasurer</w:t>
            </w:r>
          </w:p>
        </w:tc>
        <w:tc>
          <w:tcPr>
            <w:tcW w:w="14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400" w:type="dxa"/>
            <w:vAlign w:val="bottom"/>
          </w:tcPr>
          <w:p>
            <w:pPr>
              <w:spacing w:after="0"/>
              <w:rPr>
                <w:sz w:val="20"/>
                <w:szCs w:val="20"/>
                <w:color w:val="auto"/>
              </w:rPr>
            </w:pPr>
          </w:p>
        </w:tc>
      </w:tr>
      <w:tr>
        <w:trPr>
          <w:trHeight w:val="729"/>
        </w:trPr>
        <w:tc>
          <w:tcPr>
            <w:tcW w:w="5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0" w:type="dxa"/>
            <w:vAlign w:val="bottom"/>
          </w:tcPr>
          <w:p>
            <w:pPr>
              <w:jc w:val="right"/>
              <w:ind w:right="190"/>
              <w:spacing w:after="0"/>
              <w:rPr>
                <w:sz w:val="20"/>
                <w:szCs w:val="20"/>
                <w:color w:val="auto"/>
              </w:rPr>
            </w:pPr>
            <w:r>
              <w:rPr>
                <w:rFonts w:ascii="Arial" w:cs="Arial" w:eastAsia="Arial" w:hAnsi="Arial"/>
                <w:sz w:val="18"/>
                <w:szCs w:val="18"/>
                <w:color w:val="auto"/>
              </w:rPr>
              <w:t>30</w:t>
            </w:r>
          </w:p>
        </w:tc>
        <w:tc>
          <w:tcPr>
            <w:tcW w:w="3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5"/>
        </w:trPr>
        <w:tc>
          <w:tcPr>
            <w:tcW w:w="5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61"/>
        </w:trPr>
        <w:tc>
          <w:tcPr>
            <w:tcW w:w="50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240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846"/>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320" w:type="dxa"/>
            <w:vAlign w:val="bottom"/>
          </w:tcPr>
          <w:p>
            <w:pPr>
              <w:spacing w:after="0"/>
              <w:rPr>
                <w:sz w:val="24"/>
                <w:szCs w:val="24"/>
                <w:color w:val="auto"/>
              </w:rPr>
            </w:pPr>
          </w:p>
        </w:tc>
        <w:tc>
          <w:tcPr>
            <w:tcW w:w="103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20" w:type="dxa"/>
            <w:vAlign w:val="bottom"/>
          </w:tcPr>
          <w:p>
            <w:pPr>
              <w:spacing w:after="0"/>
              <w:rPr>
                <w:sz w:val="20"/>
                <w:szCs w:val="20"/>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20" w:type="dxa"/>
            <w:vAlign w:val="bottom"/>
          </w:tcPr>
          <w:p>
            <w:pPr>
              <w:spacing w:after="0"/>
              <w:rPr>
                <w:sz w:val="16"/>
                <w:szCs w:val="16"/>
                <w:color w:val="auto"/>
              </w:rPr>
            </w:pP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16"/>
                <w:szCs w:val="16"/>
                <w:color w:val="auto"/>
              </w:rPr>
            </w:pPr>
          </w:p>
        </w:tc>
        <w:tc>
          <w:tcPr>
            <w:tcW w:w="10320" w:type="dxa"/>
            <w:vAlign w:val="bottom"/>
          </w:tcPr>
          <w:p>
            <w:pPr>
              <w:spacing w:after="0" w:line="195" w:lineRule="exact"/>
              <w:rPr>
                <w:sz w:val="20"/>
                <w:szCs w:val="20"/>
                <w:color w:val="auto"/>
              </w:rPr>
            </w:pPr>
            <w:r>
              <w:rPr>
                <w:rFonts w:ascii="Arial" w:cs="Arial" w:eastAsia="Arial" w:hAnsi="Arial"/>
                <w:sz w:val="18"/>
                <w:szCs w:val="18"/>
                <w:color w:val="auto"/>
                <w:w w:val="96"/>
              </w:rPr>
              <w:t>Restated Articles of Incorporation of Rush Enterprises, Inc. (incorporated herein by reference to Exhibit 3.1 of the Company’s Quarterly</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Report on Form 10-Q (File No. 000-20797) for the quarter ended June 30, 2008)</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Rush Enterprises, Inc. Amended and Restated Bylaws (incorporated herein by reference to Exhibit 3.1 of the Company’s Current Report on</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Form 8-K (File No. 000-20797) filed May 21,2013)</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Third Amended and Restated Credit Agreement, dated as of July 7, 2016 by and among the Company, the Lenders signatory thereto and BMO</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3"/>
              </w:rPr>
              <w:t>Harris Bank N.A., as Administrative Agent and Collateral Agent (incorporated herein by reference to Exhibit 10.1 of the Company’s Current</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Report on Form 8-K (File No. 000-20797) filed July 8, 2016)</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7"/>
              </w:rPr>
              <w:t>Certification of CEO pursuant to Rules 13a-14(a) and 15d-14(a) adopted pursuant to Section 302 of the Sarbanes-Oxley Act of 2002.</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7"/>
              </w:rPr>
              <w:t>Certification of CFO pursuant to Rules 13a-14(a) and 15d-14(a) adopted pursuant to Section 302 of the Sarbanes-Oxley Act of 2002.</w:t>
            </w:r>
          </w:p>
        </w:tc>
      </w:tr>
      <w:tr>
        <w:trPr>
          <w:trHeight w:val="216"/>
        </w:trPr>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r>
      <w:tr>
        <w:trPr>
          <w:trHeight w:val="216"/>
        </w:trPr>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r>
      <w:tr>
        <w:trPr>
          <w:trHeight w:val="216"/>
        </w:trPr>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101.INS*</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4"/>
              </w:rPr>
              <w:t>101.SCH*</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rPr>
              <w:t>101.CAL*</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7"/>
              </w:rPr>
              <w:t>101.DEF*</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780" w:type="dxa"/>
            <w:vAlign w:val="bottom"/>
            <w:gridSpan w:val="2"/>
          </w:tcPr>
          <w:p>
            <w:pPr>
              <w:jc w:val="center"/>
              <w:spacing w:after="0"/>
              <w:rPr>
                <w:sz w:val="20"/>
                <w:szCs w:val="20"/>
                <w:color w:val="auto"/>
              </w:rPr>
            </w:pPr>
            <w:r>
              <w:rPr>
                <w:rFonts w:ascii="Arial" w:cs="Arial" w:eastAsia="Arial" w:hAnsi="Arial"/>
                <w:sz w:val="18"/>
                <w:szCs w:val="18"/>
                <w:color w:val="auto"/>
              </w:rPr>
              <w:t>101.LAB*</w:t>
            </w:r>
          </w:p>
        </w:tc>
        <w:tc>
          <w:tcPr>
            <w:tcW w:w="3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93"/>
              </w:rPr>
              <w:t>101.PRE*</w:t>
            </w:r>
          </w:p>
        </w:tc>
        <w:tc>
          <w:tcPr>
            <w:tcW w:w="32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00" w:lineRule="exact"/>
        <w:rPr>
          <w:sz w:val="20"/>
          <w:szCs w:val="20"/>
          <w:color w:val="auto"/>
        </w:rPr>
      </w:pPr>
    </w:p>
    <w:p>
      <w:pPr>
        <w:spacing w:after="0" w:line="29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400" w:firstLine="8"/>
        <w:spacing w:after="0" w:line="342" w:lineRule="auto"/>
        <w:tabs>
          <w:tab w:leader="none" w:pos="391"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8"/>
        <w:spacing w:after="0" w:line="277" w:lineRule="auto"/>
        <w:tabs>
          <w:tab w:leader="none" w:pos="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400" w:firstLine="8"/>
        <w:spacing w:after="0" w:line="264"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332"/>
        <w:spacing w:after="0" w:line="264" w:lineRule="auto"/>
        <w:tabs>
          <w:tab w:leader="none" w:pos="84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332"/>
        <w:spacing w:after="0" w:line="264" w:lineRule="auto"/>
        <w:tabs>
          <w:tab w:leader="none" w:pos="93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332"/>
        <w:spacing w:after="0" w:line="308" w:lineRule="auto"/>
        <w:tabs>
          <w:tab w:leader="none" w:pos="9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332"/>
        <w:spacing w:after="0" w:line="264" w:lineRule="auto"/>
        <w:tabs>
          <w:tab w:leader="none" w:pos="75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00" w:firstLine="8"/>
        <w:spacing w:after="0" w:line="308" w:lineRule="auto"/>
        <w:tabs>
          <w:tab w:leader="none" w:pos="37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332"/>
        <w:spacing w:after="0" w:line="277" w:lineRule="auto"/>
        <w:tabs>
          <w:tab w:leader="none" w:pos="8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81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August 9, 2016</w:t>
            </w:r>
          </w:p>
        </w:tc>
        <w:tc>
          <w:tcPr>
            <w:tcW w:w="6340" w:type="dxa"/>
            <w:vAlign w:val="bottom"/>
            <w:gridSpan w:val="2"/>
          </w:tcPr>
          <w:p>
            <w:pPr>
              <w:ind w:left="2000"/>
              <w:spacing w:after="0"/>
              <w:rPr>
                <w:sz w:val="20"/>
                <w:szCs w:val="20"/>
                <w:color w:val="auto"/>
              </w:rPr>
            </w:pPr>
            <w:r>
              <w:rPr>
                <w:rFonts w:ascii="Arial" w:cs="Arial" w:eastAsia="Arial" w:hAnsi="Arial"/>
                <w:sz w:val="18"/>
                <w:szCs w:val="18"/>
                <w:color w:val="auto"/>
              </w:rPr>
              <w:t>By: /S/ W.M. “RUSTY” RUSH</w:t>
            </w:r>
          </w:p>
        </w:tc>
      </w:tr>
      <w:tr>
        <w:trPr>
          <w:trHeight w:val="195"/>
        </w:trPr>
        <w:tc>
          <w:tcPr>
            <w:tcW w:w="37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400" w:firstLine="8"/>
        <w:spacing w:after="0" w:line="342" w:lineRule="auto"/>
        <w:tabs>
          <w:tab w:leader="none" w:pos="391"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8"/>
        <w:spacing w:after="0" w:line="277" w:lineRule="auto"/>
        <w:tabs>
          <w:tab w:leader="none" w:pos="3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400" w:firstLine="8"/>
        <w:spacing w:after="0" w:line="264"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332"/>
        <w:spacing w:after="0" w:line="264" w:lineRule="auto"/>
        <w:tabs>
          <w:tab w:leader="none" w:pos="84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332"/>
        <w:spacing w:after="0" w:line="264" w:lineRule="auto"/>
        <w:tabs>
          <w:tab w:leader="none" w:pos="93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332"/>
        <w:spacing w:after="0" w:line="308" w:lineRule="auto"/>
        <w:tabs>
          <w:tab w:leader="none" w:pos="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332"/>
        <w:spacing w:after="0" w:line="264" w:lineRule="auto"/>
        <w:tabs>
          <w:tab w:leader="none" w:pos="75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00" w:firstLine="8"/>
        <w:spacing w:after="0" w:line="308" w:lineRule="auto"/>
        <w:tabs>
          <w:tab w:leader="none" w:pos="37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332"/>
        <w:spacing w:after="0" w:line="277" w:lineRule="auto"/>
        <w:tabs>
          <w:tab w:leader="none" w:pos="8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81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August 9, 2016</w:t>
            </w:r>
          </w:p>
        </w:tc>
        <w:tc>
          <w:tcPr>
            <w:tcW w:w="6340" w:type="dxa"/>
            <w:vAlign w:val="bottom"/>
            <w:gridSpan w:val="2"/>
          </w:tcPr>
          <w:p>
            <w:pPr>
              <w:ind w:left="2000"/>
              <w:spacing w:after="0"/>
              <w:rPr>
                <w:sz w:val="20"/>
                <w:szCs w:val="20"/>
                <w:color w:val="auto"/>
              </w:rPr>
            </w:pPr>
            <w:r>
              <w:rPr>
                <w:rFonts w:ascii="Arial" w:cs="Arial" w:eastAsia="Arial" w:hAnsi="Arial"/>
                <w:sz w:val="18"/>
                <w:szCs w:val="18"/>
                <w:color w:val="auto"/>
              </w:rPr>
              <w:t>By: /S/ STEVEN L. KELLER</w:t>
            </w:r>
          </w:p>
        </w:tc>
      </w:tr>
      <w:tr>
        <w:trPr>
          <w:trHeight w:val="195"/>
        </w:trPr>
        <w:tc>
          <w:tcPr>
            <w:tcW w:w="37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and Treasurer</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EXHIBIT 32.1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June 30, 2016,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W.M.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W.M. “RUSTY” RUSH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President, Chief Executive Officer and Chairman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 the Board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August 9, 2016</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240" w:top="125" w:right="6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June 30, 2016,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Steven L. Keller, Senior Vice President, Chief Financial Officer and Treasurer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80"/>
        <w:spacing w:after="0"/>
        <w:tabs>
          <w:tab w:leader="none" w:pos="6140" w:val="left"/>
        </w:tabs>
        <w:rPr>
          <w:sz w:val="20"/>
          <w:szCs w:val="20"/>
          <w:color w:val="auto"/>
        </w:rPr>
      </w:pPr>
      <w:r>
        <w:rPr>
          <w:rFonts w:ascii="Arial" w:cs="Arial" w:eastAsia="Arial" w:hAnsi="Arial"/>
          <w:sz w:val="18"/>
          <w:szCs w:val="18"/>
          <w:color w:val="auto"/>
        </w:rPr>
        <w:t>By:</w:t>
        <w:tab/>
        <w:t>/S/ STEVEN L. KELLER</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26073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Senior Vice President, Chief Financial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and Treasurer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 August 9, 2016</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endash "/>
      <w:numFmt w:val="bullet"/>
      <w:start w:val="1"/>
    </w:lvl>
  </w:abstractNum>
  <w:abstractNum w:abstractNumId="3">
    <w:nsid w:val="515F007C"/>
    <w:multiLevelType w:val="hybridMultilevel"/>
    <w:lvl w:ilvl="0">
      <w:lvlJc w:val="left"/>
      <w:lvlText w:val="(%1)"/>
      <w:numFmt w:val="lowerRoman"/>
      <w:start w:val="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2019-12-29T10:20:44Z</dcterms:created>
  <dcterms:modified xsi:type="dcterms:W3CDTF">2019-12-29T10:20:44Z</dcterms:modified>
</cp:coreProperties>
</file>