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usha20250930_10q.htm"/>
      <w:bookmarkStart w:id="1" w:name="ksrusha20250930_10q"/>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pPr>
            <w:r>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 to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0-20797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2480"/>
        <w:gridCol w:w="3440"/>
      </w:tblGrid>
      <w:tr>
        <w:trPr/>
        <w:tc>
          <w:tcPr>
            <w:tcW w:w="2480" w:type="dxa"/>
            <w:tcBorders/>
            <w:vAlign w:val="center"/>
          </w:tcPr>
          <w:p>
            <w:pPr>
              <w:pStyle w:val="TableContents"/>
              <w:bidi w:val="0"/>
              <w:spacing w:before="0" w:after="283"/>
              <w:jc w:val="center"/>
              <w:rPr/>
            </w:pPr>
            <w:r>
              <w:rPr/>
              <w:t>Texas</w:t>
            </w:r>
          </w:p>
        </w:tc>
        <w:tc>
          <w:tcPr>
            <w:tcW w:w="3440" w:type="dxa"/>
            <w:tcBorders/>
            <w:vAlign w:val="center"/>
          </w:tcPr>
          <w:p>
            <w:pPr>
              <w:pStyle w:val="TableContents"/>
              <w:bidi w:val="0"/>
              <w:spacing w:before="0" w:after="283"/>
              <w:jc w:val="center"/>
              <w:rPr/>
            </w:pPr>
            <w:r>
              <w:rPr/>
              <w:t>74-1733016</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3440"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555 I.H. 35 South, Suite 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Braunfels, Texas 78130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(830) 302-5200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2060"/>
        <w:gridCol w:w="1580"/>
        <w:gridCol w:w="1940"/>
        <w:gridCol w:w="2540"/>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Indicated below is the number of shares outstanding of each of the issuer’s classes of common stock, as of October 31, 2025.</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860"/>
        <w:gridCol w:w="60"/>
        <w:gridCol w:w="1490"/>
      </w:tblGrid>
      <w:tr>
        <w:trPr/>
        <w:tc>
          <w:tcPr>
            <w:tcW w:w="3860" w:type="dxa"/>
            <w:tcBorders/>
            <w:vAlign w:val="center"/>
          </w:tcPr>
          <w:p>
            <w:pPr>
              <w:pStyle w:val="TableContents"/>
              <w:bidi w:val="0"/>
              <w:spacing w:before="0" w:after="283"/>
              <w:jc w:val="center"/>
              <w:rPr>
                <w:u w:val="single"/>
              </w:rPr>
            </w:pPr>
            <w:r>
              <w:rPr>
                <w:u w:val="single"/>
              </w:rPr>
              <w:t>Title of Class</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 </w:t>
            </w:r>
          </w:p>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Outstanding</w:t>
            </w:r>
          </w:p>
        </w:tc>
      </w:tr>
      <w:tr>
        <w:trPr/>
        <w:tc>
          <w:tcPr>
            <w:tcW w:w="3860" w:type="dxa"/>
            <w:tcBorders/>
            <w:vAlign w:val="center"/>
          </w:tcPr>
          <w:p>
            <w:pPr>
              <w:pStyle w:val="TableContents"/>
              <w:bidi w:val="0"/>
              <w:spacing w:before="0" w:after="283"/>
              <w:jc w:val="center"/>
              <w:rPr/>
            </w:pPr>
            <w:r>
              <w:rPr/>
              <w:t>Class A Common Stock, $.01 Par Value</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60,643,501</w:t>
            </w:r>
          </w:p>
        </w:tc>
      </w:tr>
      <w:tr>
        <w:trPr/>
        <w:tc>
          <w:tcPr>
            <w:tcW w:w="3860" w:type="dxa"/>
            <w:tcBorders/>
            <w:vAlign w:val="center"/>
          </w:tcPr>
          <w:p>
            <w:pPr>
              <w:pStyle w:val="TableContents"/>
              <w:bidi w:val="0"/>
              <w:spacing w:before="0" w:after="283"/>
              <w:jc w:val="center"/>
              <w:rPr/>
            </w:pPr>
            <w:r>
              <w:rPr/>
              <w:t>Class B Common Stock, $.01 Par Value</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16,437,909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7" w:type="dxa"/>
        <w:tblLayout w:type="fixed"/>
        <w:tblCellMar>
          <w:top w:w="28" w:type="dxa"/>
          <w:left w:w="28" w:type="dxa"/>
          <w:bottom w:w="28" w:type="dxa"/>
          <w:right w:w="28" w:type="dxa"/>
        </w:tblCellMar>
      </w:tblPr>
      <w:tblGrid>
        <w:gridCol w:w="3465"/>
        <w:gridCol w:w="1595"/>
        <w:gridCol w:w="3650"/>
      </w:tblGrid>
      <w:tr>
        <w:trPr/>
        <w:tc>
          <w:tcPr>
            <w:tcW w:w="34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6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346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Stock, $0.01 par value</w:t>
            </w:r>
          </w:p>
        </w:tc>
        <w:tc>
          <w:tcPr>
            <w:tcW w:w="1595" w:type="dxa"/>
            <w:tcBorders>
              <w:right w:val="single" w:sz="2" w:space="0" w:color="000000"/>
            </w:tcBorders>
            <w:tcMar>
              <w:top w:w="0" w:type="dxa"/>
              <w:left w:w="0" w:type="dxa"/>
              <w:bottom w:w="0" w:type="dxa"/>
            </w:tcMar>
            <w:vAlign w:val="center"/>
          </w:tcPr>
          <w:p>
            <w:pPr>
              <w:pStyle w:val="TableContents"/>
              <w:bidi w:val="0"/>
              <w:spacing w:before="0" w:after="0"/>
              <w:ind w:left="0" w:right="0" w:firstLine="2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RUSHA</w:t>
            </w:r>
          </w:p>
        </w:tc>
        <w:tc>
          <w:tcPr>
            <w:tcW w:w="3650"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r>
        <w:trPr/>
        <w:tc>
          <w:tcPr>
            <w:tcW w:w="34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0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Stock, $0.01 par value</w:t>
            </w:r>
          </w:p>
        </w:tc>
        <w:tc>
          <w:tcPr>
            <w:tcW w:w="1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RUSHB</w:t>
            </w:r>
          </w:p>
        </w:tc>
        <w:tc>
          <w:tcPr>
            <w:tcW w:w="36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RUSH ENTERPRISES,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787"/>
        <w:gridCol w:w="8917"/>
        <w:gridCol w:w="441"/>
      </w:tblGrid>
      <w:tr>
        <w:trPr/>
        <w:tc>
          <w:tcPr>
            <w:tcW w:w="9764" w:type="dxa"/>
            <w:gridSpan w:val="3"/>
            <w:tcBorders/>
            <w:vAlign w:val="center"/>
          </w:tcPr>
          <w:p>
            <w:pPr>
              <w:pStyle w:val="TableContents"/>
              <w:bidi w:val="0"/>
              <w:spacing w:before="0" w:after="0"/>
              <w:ind w:left="0" w:right="0" w:hanging="0"/>
              <w:jc w:val="left"/>
              <w:rPr/>
            </w:pPr>
            <w:hyperlink w:anchor="Financial_info">
              <w:r>
                <w:rPr>
                  <w:rStyle w:val="InternetLink"/>
                  <w:rFonts w:ascii="Times New Roman" w:hAnsi="Times New Roman"/>
                  <w:b/>
                  <w:caps w:val="false"/>
                  <w:smallCaps w:val="false"/>
                  <w:sz w:val="20"/>
                </w:rPr>
                <w:t>PART I.</w:t>
              </w:r>
            </w:hyperlink>
            <w:hyperlink w:anchor="Financial_info">
              <w:r>
                <w:rPr>
                  <w:rStyle w:val="InternetLink"/>
                  <w:rFonts w:ascii="Times New Roman" w:hAnsi="Times New Roman"/>
                  <w:caps w:val="false"/>
                  <w:smallCaps w:val="false"/>
                  <w:sz w:val="20"/>
                </w:rPr>
                <w:t>  </w:t>
              </w:r>
            </w:hyperlink>
            <w:hyperlink w:anchor="Financial_info">
              <w:r>
                <w:rPr>
                  <w:rStyle w:val="InternetLink"/>
                  <w:rFonts w:ascii="Times New Roman" w:hAnsi="Times New Roman"/>
                  <w:b/>
                  <w:caps w:val="false"/>
                  <w:smallCaps w:val="false"/>
                  <w:sz w:val="20"/>
                </w:rPr>
                <w:t>FINANCIAL INFORMATION</w:t>
              </w:r>
            </w:hyperlink>
          </w:p>
        </w:tc>
        <w:tc>
          <w:tcPr>
            <w:tcW w:w="441"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917" w:type="dxa"/>
            <w:tcBorders/>
            <w:vAlign w:val="center"/>
          </w:tcPr>
          <w:p>
            <w:pPr>
              <w:pStyle w:val="TableContents"/>
              <w:bidi w:val="0"/>
              <w:spacing w:before="0" w:after="283"/>
              <w:jc w:val="left"/>
              <w:rPr/>
            </w:pPr>
            <w:hyperlink w:anchor="item1_financial">
              <w:r>
                <w:rPr>
                  <w:rStyle w:val="InternetLink"/>
                </w:rPr>
                <w:t>Financial Statements</w:t>
              </w:r>
            </w:hyperlink>
          </w:p>
        </w:tc>
        <w:tc>
          <w:tcPr>
            <w:tcW w:w="441" w:type="dxa"/>
            <w:tcBorders/>
            <w:vAlign w:val="center"/>
          </w:tcPr>
          <w:p>
            <w:pPr>
              <w:pStyle w:val="TableContents"/>
              <w:bidi w:val="0"/>
              <w:spacing w:before="0" w:after="283"/>
              <w:jc w:val="center"/>
              <w:rPr/>
            </w:pPr>
            <w:hyperlink w:anchor="item1_financial">
              <w:r>
                <w:rPr>
                  <w:rStyle w:val="InternetLink"/>
                </w:rPr>
                <w:t>3</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917" w:type="dxa"/>
            <w:tcBorders/>
            <w:vAlign w:val="center"/>
          </w:tcPr>
          <w:p>
            <w:pPr>
              <w:pStyle w:val="TableContents"/>
              <w:bidi w:val="0"/>
              <w:spacing w:before="0" w:after="0"/>
              <w:ind w:left="0" w:right="0" w:hanging="0"/>
              <w:jc w:val="left"/>
              <w:rPr/>
            </w:pPr>
            <w:hyperlink w:anchor="balance_sheets">
              <w:r>
                <w:rPr>
                  <w:rStyle w:val="InternetLink"/>
                  <w:rFonts w:ascii="Times New Roman" w:hAnsi="Times New Roman"/>
                  <w:caps w:val="false"/>
                  <w:smallCaps w:val="false"/>
                  <w:sz w:val="20"/>
                </w:rPr>
                <w:t>Consolidated Balance Sheets - September 30, 2025 (unaudited) and December 31, 2024</w:t>
              </w:r>
            </w:hyperlink>
          </w:p>
        </w:tc>
        <w:tc>
          <w:tcPr>
            <w:tcW w:w="441" w:type="dxa"/>
            <w:tcBorders/>
            <w:vAlign w:val="center"/>
          </w:tcPr>
          <w:p>
            <w:pPr>
              <w:pStyle w:val="TableContents"/>
              <w:bidi w:val="0"/>
              <w:spacing w:before="0" w:after="283"/>
              <w:jc w:val="center"/>
              <w:rPr/>
            </w:pPr>
            <w:hyperlink w:anchor="balance_sheets">
              <w:r>
                <w:rPr>
                  <w:rStyle w:val="InternetLink"/>
                </w:rPr>
                <w:t>3</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283"/>
              <w:ind w:left="0" w:right="0" w:hanging="180"/>
              <w:jc w:val="left"/>
              <w:rPr/>
            </w:pPr>
            <w:r>
              <w:rPr/>
              <w:t> </w:t>
            </w:r>
          </w:p>
        </w:tc>
        <w:tc>
          <w:tcPr>
            <w:tcW w:w="8917" w:type="dxa"/>
            <w:tcBorders/>
            <w:vAlign w:val="center"/>
          </w:tcPr>
          <w:p>
            <w:pPr>
              <w:pStyle w:val="TableContents"/>
              <w:bidi w:val="0"/>
              <w:spacing w:before="0" w:after="283"/>
              <w:jc w:val="left"/>
              <w:rPr/>
            </w:pPr>
            <w:hyperlink w:anchor="income_statement">
              <w:r>
                <w:rPr>
                  <w:rStyle w:val="InternetLink"/>
                </w:rPr>
                <w:t>Consolidated Statements of Income - For the Three and Nine Months Ended September 30, 2025 and 2024 (unaudited)</w:t>
              </w:r>
            </w:hyperlink>
          </w:p>
        </w:tc>
        <w:tc>
          <w:tcPr>
            <w:tcW w:w="441" w:type="dxa"/>
            <w:tcBorders/>
            <w:vAlign w:val="center"/>
          </w:tcPr>
          <w:p>
            <w:pPr>
              <w:pStyle w:val="TableContents"/>
              <w:bidi w:val="0"/>
              <w:spacing w:before="0" w:after="283"/>
              <w:jc w:val="center"/>
              <w:rPr/>
            </w:pPr>
            <w:hyperlink w:anchor="income_statement">
              <w:r>
                <w:rPr>
                  <w:rStyle w:val="InternetLink"/>
                </w:rPr>
                <w:t>4</w:t>
              </w:r>
            </w:hyperlink>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ind w:left="0" w:right="0" w:hanging="180"/>
              <w:jc w:val="left"/>
              <w:rPr/>
            </w:pPr>
            <w:r>
              <w:rPr/>
              <w:t> </w:t>
            </w:r>
          </w:p>
        </w:tc>
        <w:tc>
          <w:tcPr>
            <w:tcW w:w="8917" w:type="dxa"/>
            <w:tcBorders/>
            <w:vAlign w:val="center"/>
          </w:tcPr>
          <w:p>
            <w:pPr>
              <w:pStyle w:val="TableContents"/>
              <w:bidi w:val="0"/>
              <w:spacing w:before="0" w:after="283"/>
              <w:jc w:val="left"/>
              <w:rPr/>
            </w:pPr>
            <w:hyperlink w:anchor="comprehensive_income">
              <w:r>
                <w:rPr>
                  <w:rStyle w:val="InternetLink"/>
                </w:rPr>
                <w:t>Consolidated Statements of Comprehensive Income - For the Three and Nine Months Ended September 30, 2025 and 2024 (unaudited)</w:t>
              </w:r>
            </w:hyperlink>
          </w:p>
        </w:tc>
        <w:tc>
          <w:tcPr>
            <w:tcW w:w="441" w:type="dxa"/>
            <w:tcBorders/>
            <w:vAlign w:val="center"/>
          </w:tcPr>
          <w:p>
            <w:pPr>
              <w:pStyle w:val="TableContents"/>
              <w:bidi w:val="0"/>
              <w:spacing w:before="0" w:after="283"/>
              <w:jc w:val="center"/>
              <w:rPr/>
            </w:pPr>
            <w:hyperlink w:anchor="comprehensive_income">
              <w:r>
                <w:rPr>
                  <w:rStyle w:val="InternetLink"/>
                </w:rPr>
                <w:t>5</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0"/>
              <w:ind w:left="0" w:right="0" w:hanging="180"/>
              <w:jc w:val="left"/>
              <w:rPr>
                <w:caps w:val="false"/>
                <w:smallCaps w:val="false"/>
              </w:rPr>
            </w:pPr>
            <w:r>
              <w:rPr>
                <w:caps w:val="false"/>
                <w:smallCaps w:val="false"/>
              </w:rPr>
              <w:t> </w:t>
            </w:r>
          </w:p>
        </w:tc>
        <w:tc>
          <w:tcPr>
            <w:tcW w:w="8917" w:type="dxa"/>
            <w:tcBorders/>
            <w:vAlign w:val="center"/>
          </w:tcPr>
          <w:p>
            <w:pPr>
              <w:pStyle w:val="TableContents"/>
              <w:bidi w:val="0"/>
              <w:spacing w:before="0" w:after="283"/>
              <w:jc w:val="left"/>
              <w:rPr/>
            </w:pPr>
            <w:hyperlink w:anchor="equity">
              <w:r>
                <w:rPr>
                  <w:rStyle w:val="InternetLink"/>
                </w:rPr>
                <w:t>Consolidated Statements of Shareholders’ Equity – For the Three and Nine Months Ended September 30, 2025 and 2024 (unaudited)</w:t>
              </w:r>
            </w:hyperlink>
          </w:p>
        </w:tc>
        <w:tc>
          <w:tcPr>
            <w:tcW w:w="441" w:type="dxa"/>
            <w:tcBorders/>
            <w:vAlign w:val="center"/>
          </w:tcPr>
          <w:p>
            <w:pPr>
              <w:pStyle w:val="TableContents"/>
              <w:bidi w:val="0"/>
              <w:spacing w:before="0" w:after="283"/>
              <w:jc w:val="center"/>
              <w:rPr/>
            </w:pPr>
            <w:hyperlink w:anchor="equity">
              <w:r>
                <w:rPr>
                  <w:rStyle w:val="InternetLink"/>
                </w:rPr>
                <w:t>6</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283"/>
              <w:ind w:left="0" w:right="0" w:hanging="180"/>
              <w:jc w:val="left"/>
              <w:rPr/>
            </w:pPr>
            <w:r>
              <w:rPr/>
              <w:t> </w:t>
            </w:r>
          </w:p>
        </w:tc>
        <w:tc>
          <w:tcPr>
            <w:tcW w:w="8917" w:type="dxa"/>
            <w:tcBorders/>
            <w:vAlign w:val="center"/>
          </w:tcPr>
          <w:p>
            <w:pPr>
              <w:pStyle w:val="TableContents"/>
              <w:bidi w:val="0"/>
              <w:spacing w:before="0" w:after="283"/>
              <w:jc w:val="left"/>
              <w:rPr/>
            </w:pPr>
            <w:hyperlink w:anchor="cash_flows">
              <w:r>
                <w:rPr>
                  <w:rStyle w:val="InternetLink"/>
                </w:rPr>
                <w:t>Consolidated Statements of Cash Flows - For the Nine Months Ended September 30, 2025 and 2024 (unaudited)</w:t>
              </w:r>
            </w:hyperlink>
          </w:p>
        </w:tc>
        <w:tc>
          <w:tcPr>
            <w:tcW w:w="441" w:type="dxa"/>
            <w:tcBorders/>
            <w:vAlign w:val="center"/>
          </w:tcPr>
          <w:p>
            <w:pPr>
              <w:pStyle w:val="TableContents"/>
              <w:bidi w:val="0"/>
              <w:spacing w:before="0" w:after="283"/>
              <w:jc w:val="center"/>
              <w:rPr/>
            </w:pPr>
            <w:hyperlink w:anchor="cash_flows">
              <w:r>
                <w:rPr>
                  <w:rStyle w:val="InternetLink"/>
                </w:rPr>
                <w:t>8</w:t>
              </w:r>
            </w:hyperlink>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917" w:type="dxa"/>
            <w:tcBorders/>
            <w:vAlign w:val="center"/>
          </w:tcPr>
          <w:p>
            <w:pPr>
              <w:pStyle w:val="TableContents"/>
              <w:bidi w:val="0"/>
              <w:spacing w:before="0" w:after="283"/>
              <w:jc w:val="left"/>
              <w:rPr/>
            </w:pPr>
            <w:hyperlink w:anchor="notes">
              <w:r>
                <w:rPr>
                  <w:rStyle w:val="InternetLink"/>
                </w:rPr>
                <w:t>Notes to Consolidated Financial Statements (unaudited)</w:t>
              </w:r>
            </w:hyperlink>
          </w:p>
        </w:tc>
        <w:tc>
          <w:tcPr>
            <w:tcW w:w="441" w:type="dxa"/>
            <w:tcBorders/>
            <w:vAlign w:val="center"/>
          </w:tcPr>
          <w:p>
            <w:pPr>
              <w:pStyle w:val="TableContents"/>
              <w:bidi w:val="0"/>
              <w:spacing w:before="0" w:after="283"/>
              <w:jc w:val="center"/>
              <w:rPr/>
            </w:pPr>
            <w:hyperlink w:anchor="notes">
              <w:r>
                <w:rPr>
                  <w:rStyle w:val="InternetLink"/>
                </w:rPr>
                <w:t>9</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917" w:type="dxa"/>
            <w:tcBorders/>
            <w:vAlign w:val="center"/>
          </w:tcPr>
          <w:p>
            <w:pPr>
              <w:pStyle w:val="TableContents"/>
              <w:bidi w:val="0"/>
              <w:spacing w:before="0" w:after="283"/>
              <w:jc w:val="left"/>
              <w:rPr/>
            </w:pPr>
            <w:hyperlink w:anchor="mda">
              <w:r>
                <w:rPr>
                  <w:rStyle w:val="InternetLink"/>
                </w:rPr>
                <w:t>Management’s Discussion and Analysis of Financial Condition and Results of Operations</w:t>
              </w:r>
            </w:hyperlink>
          </w:p>
        </w:tc>
        <w:tc>
          <w:tcPr>
            <w:tcW w:w="441" w:type="dxa"/>
            <w:tcBorders/>
            <w:vAlign w:val="center"/>
          </w:tcPr>
          <w:p>
            <w:pPr>
              <w:pStyle w:val="TableContents"/>
              <w:bidi w:val="0"/>
              <w:spacing w:before="0" w:after="283"/>
              <w:jc w:val="center"/>
              <w:rPr/>
            </w:pPr>
            <w:hyperlink w:anchor="mda">
              <w:r>
                <w:rPr>
                  <w:rStyle w:val="InternetLink"/>
                </w:rPr>
                <w:t>15</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91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hyperlink w:anchor="quan_qual">
              <w:r>
                <w:rPr>
                  <w:rStyle w:val="InternetLink"/>
                </w:rPr>
                <w:t>Quantitative and Qualitative Disclosures About Market Risk</w:t>
              </w:r>
            </w:hyperlink>
          </w:p>
        </w:tc>
        <w:tc>
          <w:tcPr>
            <w:tcW w:w="441" w:type="dxa"/>
            <w:tcBorders/>
            <w:vAlign w:val="center"/>
          </w:tcPr>
          <w:p>
            <w:pPr>
              <w:pStyle w:val="TableContents"/>
              <w:bidi w:val="0"/>
              <w:spacing w:before="0" w:after="283"/>
              <w:jc w:val="center"/>
              <w:rPr/>
            </w:pPr>
            <w:hyperlink w:anchor="quan_qual">
              <w:r>
                <w:rPr>
                  <w:rStyle w:val="InternetLink"/>
                </w:rPr>
                <w:t>28</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hyperlink w:anchor="controls_procedures">
              <w:r>
                <w:rPr>
                  <w:rStyle w:val="InternetLink"/>
                </w:rPr>
                <w:t>Controls and Procedures</w:t>
              </w:r>
            </w:hyperlink>
          </w:p>
        </w:tc>
        <w:tc>
          <w:tcPr>
            <w:tcW w:w="441" w:type="dxa"/>
            <w:tcBorders/>
            <w:vAlign w:val="center"/>
          </w:tcPr>
          <w:p>
            <w:pPr>
              <w:pStyle w:val="TableContents"/>
              <w:bidi w:val="0"/>
              <w:spacing w:before="0" w:after="283"/>
              <w:jc w:val="center"/>
              <w:rPr/>
            </w:pPr>
            <w:hyperlink w:anchor="controls_procedures">
              <w:r>
                <w:rPr>
                  <w:rStyle w:val="InternetLink"/>
                </w:rPr>
                <w:t>29</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64" w:type="dxa"/>
            <w:gridSpan w:val="3"/>
            <w:tcBorders/>
            <w:vAlign w:val="center"/>
          </w:tcPr>
          <w:p>
            <w:pPr>
              <w:pStyle w:val="TableContents"/>
              <w:bidi w:val="0"/>
              <w:spacing w:before="0" w:after="0"/>
              <w:ind w:left="0" w:right="0" w:hanging="0"/>
              <w:jc w:val="left"/>
              <w:rPr/>
            </w:pPr>
            <w:hyperlink w:anchor="part2_other">
              <w:r>
                <w:rPr>
                  <w:rStyle w:val="InternetLink"/>
                  <w:rFonts w:ascii="Times New Roman" w:hAnsi="Times New Roman"/>
                  <w:b/>
                  <w:caps w:val="false"/>
                  <w:smallCaps w:val="false"/>
                  <w:sz w:val="20"/>
                </w:rPr>
                <w:t>PART II.</w:t>
              </w:r>
            </w:hyperlink>
            <w:hyperlink w:anchor="part2_other">
              <w:r>
                <w:rPr>
                  <w:rStyle w:val="InternetLink"/>
                  <w:rFonts w:ascii="Times New Roman" w:hAnsi="Times New Roman"/>
                  <w:caps w:val="false"/>
                  <w:smallCaps w:val="false"/>
                  <w:sz w:val="20"/>
                </w:rPr>
                <w:t>  </w:t>
              </w:r>
            </w:hyperlink>
            <w:hyperlink w:anchor="part2_other">
              <w:r>
                <w:rPr>
                  <w:rStyle w:val="InternetLink"/>
                  <w:rFonts w:ascii="Times New Roman" w:hAnsi="Times New Roman"/>
                  <w:b/>
                  <w:caps w:val="false"/>
                  <w:smallCaps w:val="false"/>
                  <w:sz w:val="20"/>
                </w:rPr>
                <w:t>OTHER INFORMATION</w:t>
              </w:r>
            </w:hyperlink>
          </w:p>
        </w:tc>
        <w:tc>
          <w:tcPr>
            <w:tcW w:w="441" w:type="dxa"/>
            <w:tcBorders/>
            <w:vAlign w:val="center"/>
          </w:tcPr>
          <w:p>
            <w:pPr>
              <w:pStyle w:val="TableContents"/>
              <w:bidi w:val="0"/>
              <w:spacing w:before="0" w:after="283"/>
              <w:jc w:val="center"/>
              <w:rPr/>
            </w:pPr>
            <w:hyperlink w:anchor="part2_other">
              <w:r>
                <w:rPr>
                  <w:rStyle w:val="InternetLink"/>
                </w:rPr>
                <w:t>29</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917" w:type="dxa"/>
            <w:tcBorders/>
            <w:vAlign w:val="center"/>
          </w:tcPr>
          <w:p>
            <w:pPr>
              <w:pStyle w:val="TableContents"/>
              <w:bidi w:val="0"/>
              <w:spacing w:before="0" w:after="283"/>
              <w:jc w:val="left"/>
              <w:rPr/>
            </w:pPr>
            <w:hyperlink w:anchor="legal_proceedings">
              <w:r>
                <w:rPr>
                  <w:rStyle w:val="InternetLink"/>
                </w:rPr>
                <w:t>Legal Proceedings</w:t>
              </w:r>
            </w:hyperlink>
          </w:p>
        </w:tc>
        <w:tc>
          <w:tcPr>
            <w:tcW w:w="441" w:type="dxa"/>
            <w:tcBorders/>
            <w:vAlign w:val="center"/>
          </w:tcPr>
          <w:p>
            <w:pPr>
              <w:pStyle w:val="TableContents"/>
              <w:bidi w:val="0"/>
              <w:spacing w:before="0" w:after="283"/>
              <w:jc w:val="center"/>
              <w:rPr/>
            </w:pPr>
            <w:hyperlink w:anchor="legal_proceedings">
              <w:r>
                <w:rPr>
                  <w:rStyle w:val="InternetLink"/>
                </w:rPr>
                <w:t>29</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left"/>
              <w:rPr/>
            </w:pPr>
            <w:r>
              <w:rPr/>
              <w:t>Item 1A.</w:t>
            </w:r>
          </w:p>
        </w:tc>
        <w:tc>
          <w:tcPr>
            <w:tcW w:w="8917" w:type="dxa"/>
            <w:tcBorders/>
            <w:vAlign w:val="center"/>
          </w:tcPr>
          <w:p>
            <w:pPr>
              <w:pStyle w:val="TableContents"/>
              <w:bidi w:val="0"/>
              <w:spacing w:before="0" w:after="283"/>
              <w:jc w:val="left"/>
              <w:rPr/>
            </w:pPr>
            <w:hyperlink w:anchor="risk_factors">
              <w:r>
                <w:rPr>
                  <w:rStyle w:val="InternetLink"/>
                </w:rPr>
                <w:t>Risk Factors</w:t>
              </w:r>
            </w:hyperlink>
          </w:p>
        </w:tc>
        <w:tc>
          <w:tcPr>
            <w:tcW w:w="441" w:type="dxa"/>
            <w:tcBorders/>
            <w:vAlign w:val="center"/>
          </w:tcPr>
          <w:p>
            <w:pPr>
              <w:pStyle w:val="TableContents"/>
              <w:bidi w:val="0"/>
              <w:spacing w:before="0" w:after="283"/>
              <w:jc w:val="center"/>
              <w:rPr/>
            </w:pPr>
            <w:hyperlink w:anchor="risk_factors">
              <w:r>
                <w:rPr>
                  <w:rStyle w:val="InternetLink"/>
                </w:rPr>
                <w:t>29</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917" w:type="dxa"/>
            <w:tcBorders/>
            <w:vAlign w:val="center"/>
          </w:tcPr>
          <w:p>
            <w:pPr>
              <w:pStyle w:val="TableContents"/>
              <w:bidi w:val="0"/>
              <w:spacing w:before="0" w:after="283"/>
              <w:jc w:val="left"/>
              <w:rPr/>
            </w:pPr>
            <w:hyperlink w:anchor="unregistered_sales">
              <w:r>
                <w:rPr>
                  <w:rStyle w:val="InternetLink"/>
                </w:rPr>
                <w:t>Unregistered Sales of Equity Securities and Use of Proceeds</w:t>
              </w:r>
            </w:hyperlink>
          </w:p>
        </w:tc>
        <w:tc>
          <w:tcPr>
            <w:tcW w:w="441" w:type="dxa"/>
            <w:tcBorders/>
            <w:vAlign w:val="center"/>
          </w:tcPr>
          <w:p>
            <w:pPr>
              <w:pStyle w:val="TableContents"/>
              <w:bidi w:val="0"/>
              <w:spacing w:before="0" w:after="283"/>
              <w:jc w:val="center"/>
              <w:rPr/>
            </w:pPr>
            <w:hyperlink w:anchor="unregistered_sales">
              <w:r>
                <w:rPr>
                  <w:rStyle w:val="InternetLink"/>
                </w:rPr>
                <w:t>29</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917" w:type="dxa"/>
            <w:tcBorders/>
            <w:vAlign w:val="center"/>
          </w:tcPr>
          <w:p>
            <w:pPr>
              <w:pStyle w:val="TableContents"/>
              <w:bidi w:val="0"/>
              <w:spacing w:before="0" w:after="283"/>
              <w:jc w:val="left"/>
              <w:rPr/>
            </w:pPr>
            <w:hyperlink w:anchor="defaults">
              <w:r>
                <w:rPr>
                  <w:rStyle w:val="InternetLink"/>
                </w:rPr>
                <w:t>Defaults Upon Senior Securities</w:t>
              </w:r>
            </w:hyperlink>
          </w:p>
        </w:tc>
        <w:tc>
          <w:tcPr>
            <w:tcW w:w="441" w:type="dxa"/>
            <w:tcBorders/>
            <w:vAlign w:val="center"/>
          </w:tcPr>
          <w:p>
            <w:pPr>
              <w:pStyle w:val="TableContents"/>
              <w:bidi w:val="0"/>
              <w:spacing w:before="0" w:after="0"/>
              <w:ind w:left="0" w:right="0" w:hanging="0"/>
              <w:jc w:val="center"/>
              <w:rPr/>
            </w:pPr>
            <w:hyperlink w:anchor="defaults">
              <w:r>
                <w:rPr>
                  <w:rStyle w:val="InternetLink"/>
                  <w:rFonts w:ascii="Times New Roman" w:hAnsi="Times New Roman"/>
                  <w:caps w:val="false"/>
                  <w:smallCaps w:val="false"/>
                  <w:sz w:val="20"/>
                </w:rPr>
                <w:t>30</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917" w:type="dxa"/>
            <w:tcBorders/>
            <w:vAlign w:val="center"/>
          </w:tcPr>
          <w:p>
            <w:pPr>
              <w:pStyle w:val="TableContents"/>
              <w:bidi w:val="0"/>
              <w:spacing w:before="0" w:after="283"/>
              <w:jc w:val="left"/>
              <w:rPr/>
            </w:pPr>
            <w:hyperlink w:anchor="mine_safety">
              <w:r>
                <w:rPr>
                  <w:rStyle w:val="InternetLink"/>
                </w:rPr>
                <w:t>Mine Safety Disclosures</w:t>
              </w:r>
            </w:hyperlink>
          </w:p>
        </w:tc>
        <w:tc>
          <w:tcPr>
            <w:tcW w:w="441" w:type="dxa"/>
            <w:tcBorders/>
            <w:vAlign w:val="center"/>
          </w:tcPr>
          <w:p>
            <w:pPr>
              <w:pStyle w:val="TableContents"/>
              <w:bidi w:val="0"/>
              <w:spacing w:before="0" w:after="283"/>
              <w:jc w:val="center"/>
              <w:rPr/>
            </w:pPr>
            <w:hyperlink w:anchor="mine_safety">
              <w:r>
                <w:rPr>
                  <w:rStyle w:val="InternetLink"/>
                </w:rPr>
                <w:t>30</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917" w:type="dxa"/>
            <w:tcBorders/>
            <w:vAlign w:val="center"/>
          </w:tcPr>
          <w:p>
            <w:pPr>
              <w:pStyle w:val="TableContents"/>
              <w:bidi w:val="0"/>
              <w:spacing w:before="0" w:after="283"/>
              <w:jc w:val="left"/>
              <w:rPr/>
            </w:pPr>
            <w:hyperlink w:anchor="other_info">
              <w:r>
                <w:rPr>
                  <w:rStyle w:val="InternetLink"/>
                </w:rPr>
                <w:t>Other Information</w:t>
              </w:r>
            </w:hyperlink>
          </w:p>
        </w:tc>
        <w:tc>
          <w:tcPr>
            <w:tcW w:w="441" w:type="dxa"/>
            <w:tcBorders/>
            <w:vAlign w:val="center"/>
          </w:tcPr>
          <w:p>
            <w:pPr>
              <w:pStyle w:val="TableContents"/>
              <w:bidi w:val="0"/>
              <w:spacing w:before="0" w:after="283"/>
              <w:jc w:val="center"/>
              <w:rPr/>
            </w:pPr>
            <w:hyperlink w:anchor="other_info">
              <w:r>
                <w:rPr>
                  <w:rStyle w:val="InternetLink"/>
                </w:rPr>
                <w:t>30</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917"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1" w:type="dxa"/>
            <w:tcBorders/>
            <w:vAlign w:val="center"/>
          </w:tcPr>
          <w:p>
            <w:pPr>
              <w:pStyle w:val="TableContents"/>
              <w:bidi w:val="0"/>
              <w:spacing w:before="0" w:after="283"/>
              <w:jc w:val="center"/>
              <w:rPr/>
            </w:pPr>
            <w:hyperlink w:anchor="exhibits">
              <w:r>
                <w:rPr>
                  <w:rStyle w:val="InternetLink"/>
                </w:rPr>
                <w:t>30</w:t>
              </w:r>
            </w:hyperlink>
          </w:p>
        </w:tc>
      </w:tr>
      <w:tr>
        <w:trPr/>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64" w:type="dxa"/>
            <w:gridSpan w:val="3"/>
            <w:tcBorders/>
            <w:vAlign w:val="center"/>
          </w:tcPr>
          <w:p>
            <w:pPr>
              <w:pStyle w:val="TableContents"/>
              <w:bidi w:val="0"/>
              <w:spacing w:before="0" w:after="0"/>
              <w:ind w:left="0" w:right="0" w:hanging="0"/>
              <w:jc w:val="left"/>
              <w:rPr/>
            </w:pPr>
            <w:hyperlink w:anchor="signatures">
              <w:r>
                <w:rPr>
                  <w:rStyle w:val="InternetLink"/>
                  <w:rFonts w:ascii="Times New Roman" w:hAnsi="Times New Roman"/>
                  <w:b/>
                  <w:caps w:val="false"/>
                  <w:smallCaps w:val="false"/>
                  <w:sz w:val="20"/>
                </w:rPr>
                <w:t>SIGNATURES</w:t>
              </w:r>
            </w:hyperlink>
          </w:p>
        </w:tc>
        <w:tc>
          <w:tcPr>
            <w:tcW w:w="441" w:type="dxa"/>
            <w:tcBorders/>
            <w:vAlign w:val="center"/>
          </w:tcPr>
          <w:p>
            <w:pPr>
              <w:pStyle w:val="TableContents"/>
              <w:bidi w:val="0"/>
              <w:spacing w:before="0" w:after="283"/>
              <w:jc w:val="center"/>
              <w:rPr/>
            </w:pPr>
            <w:hyperlink w:anchor="signatures">
              <w:r>
                <w:rPr>
                  <w:rStyle w:val="InternetLink"/>
                </w:rPr>
                <w:t>31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 w:name="Financial_info"/>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bookmarkStart w:id="4" w:name="item1_financial"/>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5" w:name="balance_sheets"/>
      <w:bookmarkEnd w:id="5"/>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43"/>
        <w:gridCol w:w="60"/>
        <w:gridCol w:w="135"/>
        <w:gridCol w:w="912"/>
        <w:gridCol w:w="80"/>
        <w:gridCol w:w="60"/>
        <w:gridCol w:w="133"/>
        <w:gridCol w:w="900"/>
        <w:gridCol w:w="82"/>
      </w:tblGrid>
      <w:tr>
        <w:trPr/>
        <w:tc>
          <w:tcPr>
            <w:tcW w:w="7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vAlign w:val="center"/>
          </w:tcPr>
          <w:p>
            <w:pPr>
              <w:pStyle w:val="TableContents"/>
              <w:bidi w:val="0"/>
              <w:spacing w:before="0" w:after="283"/>
              <w:jc w:val="left"/>
              <w:rPr/>
            </w:pPr>
            <w:r>
              <w:rPr/>
              <w:t> </w:t>
            </w:r>
          </w:p>
        </w:tc>
      </w:tr>
      <w:tr>
        <w:trPr/>
        <w:tc>
          <w:tcPr>
            <w:tcW w:w="7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345,346</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receivable from affiliate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9,536</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1,787,744</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18,958</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2,217,322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2,389,715</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1,615,635</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111,408</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net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427,493</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73,296</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4,617,547</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1,081,199</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 obligations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38,476</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operating lease obligations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15,866</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244,018</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109,751</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160,809</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1,650,119</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408,440</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92,235</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net of current maturities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97,874</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28,060</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178,916</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$.01 per share; 1,000,000 shares authorized; 0 shares outstanding in 2025 and 2024</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 105,000,000 Class A shares and 35,000,000 Class B shares authorized; 61,274,139 Class A shares and 16,566,260 Class B shares outstanding in 2025; and 62,604,986 Class A shares and 16,662,633 Class B shares outstanding in 2024</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587,639</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3,358,784 Class A shares and 2,204,811 Class  B shares in 2025; and 1,387,013 Class A shares and 1,783,806 Class B shares in 2024</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1,698,614</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Rush Enterprises, Inc. shareholders’ 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2,214,499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2,141,549</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20,354</w:t>
            </w:r>
          </w:p>
        </w:tc>
        <w:tc>
          <w:tcPr>
            <w:tcW w:w="82"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2,161,903</w:t>
            </w:r>
          </w:p>
        </w:tc>
        <w:tc>
          <w:tcPr>
            <w:tcW w:w="82"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4,617,547</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6" w:name="income_statement"/>
      <w:bookmarkEnd w:id="6"/>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5"/>
        <w:gridCol w:w="60"/>
        <w:gridCol w:w="125"/>
        <w:gridCol w:w="845"/>
        <w:gridCol w:w="80"/>
        <w:gridCol w:w="60"/>
        <w:gridCol w:w="125"/>
        <w:gridCol w:w="845"/>
        <w:gridCol w:w="60"/>
        <w:gridCol w:w="60"/>
        <w:gridCol w:w="125"/>
        <w:gridCol w:w="845"/>
        <w:gridCol w:w="80"/>
        <w:gridCol w:w="60"/>
        <w:gridCol w:w="125"/>
        <w:gridCol w:w="845"/>
        <w:gridCol w:w="60"/>
      </w:tblGrid>
      <w:tr>
        <w:trPr/>
        <w:tc>
          <w:tcPr>
            <w:tcW w:w="5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20" w:right="0" w:hanging="0"/>
              <w:jc w:val="center"/>
              <w:rPr/>
            </w:pPr>
            <w:r>
              <w:rPr/>
              <w:t> </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5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r>
      <w:tr>
        <w:trPr/>
        <w:tc>
          <w:tcPr>
            <w:tcW w:w="5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3,457,130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3,586,882</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1,909,672</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264,696</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17,111</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16,799</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5,662,302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5,795,160</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3,239,431</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1,204,360</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190,064</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1,506,013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4,550,119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4,633,855</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1,161,305</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754,774</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51,376</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disposition of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355,845</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55,101</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301,114</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71,422</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income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229,692</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229,401</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per share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78,878</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81,607</w:t>
            </w:r>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Dividends declared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7" w:name="comprehensive_income"/>
      <w:bookmarkEnd w:id="7"/>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677" w:type="dxa"/>
        <w:jc w:val="left"/>
        <w:tblInd w:w="0" w:type="dxa"/>
        <w:tblLayout w:type="fixed"/>
        <w:tblCellMar>
          <w:top w:w="0" w:type="dxa"/>
          <w:left w:w="0" w:type="dxa"/>
          <w:bottom w:w="0" w:type="dxa"/>
          <w:right w:w="0" w:type="dxa"/>
        </w:tblCellMar>
      </w:tblPr>
      <w:tblGrid>
        <w:gridCol w:w="5870"/>
        <w:gridCol w:w="60"/>
        <w:gridCol w:w="142"/>
        <w:gridCol w:w="672"/>
        <w:gridCol w:w="91"/>
        <w:gridCol w:w="68"/>
        <w:gridCol w:w="142"/>
        <w:gridCol w:w="672"/>
        <w:gridCol w:w="60"/>
        <w:gridCol w:w="60"/>
        <w:gridCol w:w="125"/>
        <w:gridCol w:w="695"/>
        <w:gridCol w:w="60"/>
        <w:gridCol w:w="60"/>
        <w:gridCol w:w="125"/>
        <w:gridCol w:w="695"/>
        <w:gridCol w:w="8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787" w:type="dxa"/>
            <w:gridSpan w:val="6"/>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ind w:left="20" w:right="0" w:hanging="0"/>
              <w:jc w:val="left"/>
              <w:rPr/>
            </w:pPr>
            <w:r>
              <w:rPr/>
              <w:t> </w:t>
            </w:r>
          </w:p>
        </w:tc>
        <w:tc>
          <w:tcPr>
            <w:tcW w:w="1760" w:type="dxa"/>
            <w:gridSpan w:val="6"/>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2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67,738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229,692</w:t>
            </w:r>
          </w:p>
        </w:tc>
        <w:tc>
          <w:tcPr>
            <w:tcW w:w="8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65,559</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227,886</w:t>
            </w:r>
          </w:p>
        </w:tc>
        <w:tc>
          <w:tcPr>
            <w:tcW w:w="8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Rush Enterprises, Inc.</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227,595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8" w:name="equity"/>
      <w:bookmarkEnd w:id="8"/>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8"/>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9"/>
        <w:gridCol w:w="80"/>
        <w:gridCol w:w="60"/>
        <w:gridCol w:w="110"/>
        <w:gridCol w:w="746"/>
        <w:gridCol w:w="80"/>
        <w:gridCol w:w="60"/>
        <w:gridCol w:w="201"/>
        <w:gridCol w:w="944"/>
        <w:gridCol w:w="60"/>
        <w:gridCol w:w="60"/>
        <w:gridCol w:w="119"/>
        <w:gridCol w:w="801"/>
        <w:gridCol w:w="99"/>
      </w:tblGrid>
      <w:tr>
        <w:trPr/>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$0.01</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 Enterprises, 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99"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A       Class B</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99" w:type="dxa"/>
            <w:tcBorders/>
            <w:vAlign w:val="center"/>
          </w:tcPr>
          <w:p>
            <w:pPr>
              <w:pStyle w:val="TableContents"/>
              <w:bidi w:val="0"/>
              <w:spacing w:before="0" w:after="283"/>
              <w:jc w:val="left"/>
              <w:rPr/>
            </w:pPr>
            <w:r>
              <w:rPr/>
              <w:t> </w:t>
            </w:r>
          </w:p>
        </w:tc>
      </w:tr>
      <w:tr>
        <w:trPr/>
        <w:tc>
          <w:tcPr>
            <w:tcW w:w="8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587,639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(136,235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1,698,614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(9,293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2,141,549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2,161,903</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2,738</w:t>
            </w:r>
          </w:p>
        </w:tc>
        <w:tc>
          <w:tcPr>
            <w:tcW w:w="99" w:type="dxa"/>
            <w:tcBorders/>
            <w:shd w:fill="FFFFFF" w:val="clear"/>
            <w:vAlign w:val="center"/>
          </w:tcPr>
          <w:p>
            <w:pPr>
              <w:pStyle w:val="TableContents"/>
              <w:bidi w:val="0"/>
              <w:spacing w:before="0" w:after="283"/>
              <w:jc w:val="left"/>
              <w:rPr/>
            </w:pPr>
            <w:r>
              <w:rPr/>
              <w:t> </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(9,439</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3,412</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60,617</w:t>
            </w:r>
          </w:p>
        </w:tc>
        <w:tc>
          <w:tcPr>
            <w:tcW w:w="99" w:type="dxa"/>
            <w:tcBorders/>
            <w:shd w:fill="FFFFFF" w:val="clear"/>
            <w:vAlign w:val="center"/>
          </w:tcPr>
          <w:p>
            <w:pPr>
              <w:pStyle w:val="TableContents"/>
              <w:bidi w:val="0"/>
              <w:spacing w:before="0" w:after="283"/>
              <w:jc w:val="left"/>
              <w:rPr/>
            </w:pPr>
            <w:r>
              <w:rPr/>
              <w:t> </w:t>
            </w:r>
          </w:p>
        </w:tc>
      </w:tr>
      <w:tr>
        <w:trPr/>
        <w:tc>
          <w:tcPr>
            <w:tcW w:w="8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598,058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(167,174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1,744,527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(9,305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2,166,936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2,187,584</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w:t>
            </w:r>
          </w:p>
        </w:tc>
        <w:tc>
          <w:tcPr>
            <w:tcW w:w="99" w:type="dxa"/>
            <w:tcBorders/>
            <w:shd w:fill="FFFFFF" w:val="clear"/>
            <w:vAlign w:val="center"/>
          </w:tcPr>
          <w:p>
            <w:pPr>
              <w:pStyle w:val="TableContents"/>
              <w:bidi w:val="0"/>
              <w:spacing w:before="0" w:after="283"/>
              <w:jc w:val="left"/>
              <w:rPr/>
            </w:pPr>
            <w:r>
              <w:rPr/>
              <w:t> </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72,989</w:t>
            </w:r>
          </w:p>
        </w:tc>
        <w:tc>
          <w:tcPr>
            <w:tcW w:w="99" w:type="dxa"/>
            <w:tcBorders/>
            <w:shd w:fill="FFFFFF" w:val="clear"/>
            <w:vAlign w:val="center"/>
          </w:tcPr>
          <w:p>
            <w:pPr>
              <w:pStyle w:val="TableContents"/>
              <w:bidi w:val="0"/>
              <w:spacing w:before="0" w:after="283"/>
              <w:jc w:val="left"/>
              <w:rPr/>
            </w:pPr>
            <w:r>
              <w:rPr/>
              <w:t> </w:t>
            </w:r>
          </w:p>
        </w:tc>
      </w:tr>
      <w:tr>
        <w:trPr/>
        <w:tc>
          <w:tcPr>
            <w:tcW w:w="8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607,783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(253,317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1,802,812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(4,278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2,153,831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2,175,031</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11,667</w:t>
            </w:r>
          </w:p>
        </w:tc>
        <w:tc>
          <w:tcPr>
            <w:tcW w:w="99" w:type="dxa"/>
            <w:tcBorders/>
            <w:shd w:fill="FFFFFF" w:val="clear"/>
            <w:vAlign w:val="center"/>
          </w:tcPr>
          <w:p>
            <w:pPr>
              <w:pStyle w:val="TableContents"/>
              <w:bidi w:val="0"/>
              <w:spacing w:before="0" w:after="283"/>
              <w:jc w:val="left"/>
              <w:rPr/>
            </w:pPr>
            <w:r>
              <w:rPr/>
              <w:t> </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4,814</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3,819</w:t>
            </w:r>
          </w:p>
        </w:tc>
        <w:tc>
          <w:tcPr>
            <w:tcW w:w="99" w:type="dxa"/>
            <w:tcBorders/>
            <w:shd w:fill="FFFFFF" w:val="clear"/>
            <w:vAlign w:val="center"/>
          </w:tcPr>
          <w:p>
            <w:pPr>
              <w:pStyle w:val="TableContents"/>
              <w:bidi w:val="0"/>
              <w:spacing w:before="0" w:after="283"/>
              <w:jc w:val="left"/>
              <w:rPr/>
            </w:pPr>
            <w:r>
              <w:rPr/>
              <w:t> </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6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6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6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6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(9,178</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(11,639</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(3,326</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67,738</w:t>
            </w:r>
          </w:p>
        </w:tc>
        <w:tc>
          <w:tcPr>
            <w:tcW w:w="99" w:type="dxa"/>
            <w:tcBorders/>
            <w:shd w:fill="CCEEFF" w:val="clear"/>
            <w:vAlign w:val="center"/>
          </w:tcPr>
          <w:p>
            <w:pPr>
              <w:pStyle w:val="TableContents"/>
              <w:bidi w:val="0"/>
              <w:spacing w:before="0" w:after="283"/>
              <w:jc w:val="left"/>
              <w:rPr/>
            </w:pPr>
            <w:r>
              <w:rPr/>
              <w:t> </w:t>
            </w:r>
          </w:p>
        </w:tc>
      </w:tr>
      <w:tr>
        <w:trPr/>
        <w:tc>
          <w:tcPr>
            <w:tcW w:w="8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61,274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16,566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628,080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(262,495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1,854,537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(6,457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2,214,499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22,248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2,236,747</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 (continued)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3"/>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7"/>
        <w:gridCol w:w="80"/>
        <w:gridCol w:w="60"/>
        <w:gridCol w:w="111"/>
        <w:gridCol w:w="748"/>
        <w:gridCol w:w="80"/>
        <w:gridCol w:w="60"/>
        <w:gridCol w:w="201"/>
        <w:gridCol w:w="944"/>
        <w:gridCol w:w="80"/>
        <w:gridCol w:w="60"/>
        <w:gridCol w:w="119"/>
        <w:gridCol w:w="801"/>
        <w:gridCol w:w="83"/>
      </w:tblGrid>
      <w:tr>
        <w:trPr/>
        <w:tc>
          <w:tcPr>
            <w:tcW w:w="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$0.01</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 Enterprises, 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83"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A          Class B</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Income (Loss)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83" w:type="dxa"/>
            <w:tcBorders/>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542,046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(119,835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1,450,025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1,870,879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1,890,416</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6,001</w:t>
            </w:r>
          </w:p>
        </w:tc>
        <w:tc>
          <w:tcPr>
            <w:tcW w:w="83" w:type="dxa"/>
            <w:tcBorders/>
            <w:shd w:fill="FFFFFF" w:val="clear"/>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14,090</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(9,482</w:t>
            </w:r>
          </w:p>
        </w:tc>
        <w:tc>
          <w:tcPr>
            <w:tcW w:w="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3.355</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(5,627</w:t>
            </w:r>
          </w:p>
        </w:tc>
        <w:tc>
          <w:tcPr>
            <w:tcW w:w="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(10,467</w:t>
            </w:r>
          </w:p>
        </w:tc>
        <w:tc>
          <w:tcPr>
            <w:tcW w:w="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(2,964</w:t>
            </w:r>
          </w:p>
        </w:tc>
        <w:tc>
          <w:tcPr>
            <w:tcW w:w="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(1,891</w:t>
            </w:r>
          </w:p>
        </w:tc>
        <w:tc>
          <w:tcPr>
            <w:tcW w:w="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71,608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71,608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71,489</w:t>
            </w:r>
          </w:p>
        </w:tc>
        <w:tc>
          <w:tcPr>
            <w:tcW w:w="83" w:type="dxa"/>
            <w:tcBorders/>
            <w:shd w:fill="FFFFFF" w:val="clear"/>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556,001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(125,462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1,508,202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(4,054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1,935,502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1,954,920</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2,099</w:t>
            </w:r>
          </w:p>
        </w:tc>
        <w:tc>
          <w:tcPr>
            <w:tcW w:w="83" w:type="dxa"/>
            <w:tcBorders/>
            <w:shd w:fill="FFFFFF" w:val="clear"/>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5,515</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(3,953</w:t>
            </w:r>
          </w:p>
        </w:tc>
        <w:tc>
          <w:tcPr>
            <w:tcW w:w="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(10,523</w:t>
            </w:r>
          </w:p>
        </w:tc>
        <w:tc>
          <w:tcPr>
            <w:tcW w:w="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(3,024</w:t>
            </w:r>
          </w:p>
        </w:tc>
        <w:tc>
          <w:tcPr>
            <w:tcW w:w="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w:t>
            </w:r>
          </w:p>
        </w:tc>
        <w:tc>
          <w:tcPr>
            <w:tcW w:w="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78,661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78,661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78,783</w:t>
            </w:r>
          </w:p>
        </w:tc>
        <w:tc>
          <w:tcPr>
            <w:tcW w:w="83" w:type="dxa"/>
            <w:tcBorders/>
            <w:shd w:fill="FFFFFF" w:val="clear"/>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563,604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(129,415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1,573,316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(4,927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2,003,394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2,022,934</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5,260</w:t>
            </w:r>
          </w:p>
        </w:tc>
        <w:tc>
          <w:tcPr>
            <w:tcW w:w="83" w:type="dxa"/>
            <w:tcBorders/>
            <w:shd w:fill="FFFFFF" w:val="clear"/>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5,293</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3,512</w:t>
            </w:r>
          </w:p>
        </w:tc>
        <w:tc>
          <w:tcPr>
            <w:tcW w:w="83" w:type="dxa"/>
            <w:tcBorders/>
            <w:shd w:fill="FFFFFF" w:val="clear"/>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6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6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6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6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(11,185</w:t>
            </w:r>
          </w:p>
        </w:tc>
        <w:tc>
          <w:tcPr>
            <w:tcW w:w="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(3,006</w:t>
            </w:r>
          </w:p>
        </w:tc>
        <w:tc>
          <w:tcPr>
            <w:tcW w:w="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w:t>
            </w:r>
          </w:p>
        </w:tc>
        <w:tc>
          <w:tcPr>
            <w:tcW w:w="83" w:type="dxa"/>
            <w:tcBorders/>
            <w:shd w:fill="FFFFFF" w:val="clear"/>
            <w:vAlign w:val="center"/>
          </w:tcPr>
          <w:p>
            <w:pPr>
              <w:pStyle w:val="TableContents"/>
              <w:bidi w:val="0"/>
              <w:spacing w:before="0" w:after="283"/>
              <w:jc w:val="left"/>
              <w:rPr/>
            </w:pPr>
            <w:r>
              <w:rPr/>
              <w:t> </w:t>
            </w:r>
          </w:p>
        </w:tc>
      </w:tr>
      <w:tr>
        <w:trPr/>
        <w:tc>
          <w:tcPr>
            <w:tcW w:w="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79,420</w:t>
            </w:r>
          </w:p>
        </w:tc>
        <w:tc>
          <w:tcPr>
            <w:tcW w:w="83" w:type="dxa"/>
            <w:tcBorders/>
            <w:shd w:fill="CCEEFF" w:val="clear"/>
            <w:vAlign w:val="center"/>
          </w:tcPr>
          <w:p>
            <w:pPr>
              <w:pStyle w:val="TableContents"/>
              <w:bidi w:val="0"/>
              <w:spacing w:before="0" w:after="283"/>
              <w:jc w:val="left"/>
              <w:rPr/>
            </w:pPr>
            <w:r>
              <w:rPr/>
              <w:t> </w:t>
            </w:r>
          </w:p>
        </w:tc>
      </w:tr>
      <w:tr>
        <w:trPr/>
        <w:tc>
          <w:tcPr>
            <w:tcW w:w="84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62,308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16,695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577,665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(129,644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1,638,257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(3,969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2,083,129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19,828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2,102,957</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9" w:name="cash_flows"/>
      <w:bookmarkEnd w:id="9"/>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085" w:type="dxa"/>
        <w:jc w:val="left"/>
        <w:tblInd w:w="0" w:type="dxa"/>
        <w:tblLayout w:type="fixed"/>
        <w:tblCellMar>
          <w:top w:w="0" w:type="dxa"/>
          <w:left w:w="0" w:type="dxa"/>
          <w:bottom w:w="0" w:type="dxa"/>
          <w:right w:w="0" w:type="dxa"/>
        </w:tblCellMar>
      </w:tblPr>
      <w:tblGrid>
        <w:gridCol w:w="7895"/>
        <w:gridCol w:w="60"/>
        <w:gridCol w:w="125"/>
        <w:gridCol w:w="755"/>
        <w:gridCol w:w="80"/>
        <w:gridCol w:w="60"/>
        <w:gridCol w:w="125"/>
        <w:gridCol w:w="905"/>
        <w:gridCol w:w="80"/>
      </w:tblGrid>
      <w:tr>
        <w:trPr/>
        <w:tc>
          <w:tcPr>
            <w:tcW w:w="7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5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7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7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229,692</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175,461</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 related to stock options and employee stock purchases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24,897</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11,129</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prepaid expenses and 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customer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firstLine="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227,268</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notes receivable from affiliate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acquisition, net of cash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5,668</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(repayments) on floor plan notes payable – non-trade,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146,042</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1,621,288</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(1,634,543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employee stock options and stock purchases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20,232</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cash dividends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firstLine="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in)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79,928</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on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183,725</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end of period</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185,073</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60,105</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net of refunds</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64,065</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under finance leases</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RUSH ENTERPRISES,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xml:space="preserve">– </w:t>
      </w:r>
      <w:r>
        <w:rPr>
          <w:rFonts w:ascii="Times New Roman" w:hAnsi="Times New Roman"/>
          <w:b/>
          <w:caps w:val="false"/>
          <w:smallCaps w:val="false"/>
          <w:sz w:val="20"/>
        </w:rPr>
        <w:t>Principles of Consolidation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2024. Results of operations for interim periods are not necessarily indicative of results that may be expected for any other interim periods 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Restricted cash consists of deposits for the statutory restriction on cash related to the Company’s captive insurance company of $5.7 million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Rush Truck Centres of Canada Limited (“RTC Canada”), is the local currency, the Canadian dollar. Results of operations for RTC Canada are translated to USD using the average monthly exchange rate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 xml:space="preserve">– </w:t>
      </w:r>
      <w:r>
        <w:rPr>
          <w:rFonts w:ascii="Times New Roman" w:hAnsi="Times New Roman"/>
          <w:b/>
          <w:caps w:val="false"/>
          <w:smallCaps w:val="false"/>
          <w:sz w:val="20"/>
        </w:rPr>
        <w:t>Commitments and Contingencies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is involved in litigation arising out of its operations in the ordinary course of business. The Company maintains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September 30, 2025, the Company believes that there are no pending claims or litigation, individually or in the aggregate, that are reasonably possible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3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Earnings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0"/>
        <w:gridCol w:w="60"/>
        <w:gridCol w:w="134"/>
        <w:gridCol w:w="634"/>
        <w:gridCol w:w="63"/>
        <w:gridCol w:w="63"/>
        <w:gridCol w:w="134"/>
        <w:gridCol w:w="634"/>
        <w:gridCol w:w="60"/>
        <w:gridCol w:w="60"/>
        <w:gridCol w:w="125"/>
        <w:gridCol w:w="695"/>
        <w:gridCol w:w="60"/>
        <w:gridCol w:w="60"/>
        <w:gridCol w:w="125"/>
        <w:gridCol w:w="695"/>
        <w:gridCol w:w="63"/>
      </w:tblGrid>
      <w:tr>
        <w:trPr/>
        <w:tc>
          <w:tcPr>
            <w:tcW w:w="6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3" w:type="dxa"/>
            <w:tcBorders/>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3"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basic and diluted earnings per share – Net income available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229,401</w:t>
            </w:r>
          </w:p>
        </w:tc>
        <w:tc>
          <w:tcPr>
            <w:tcW w:w="63" w:type="dxa"/>
            <w:tcBorders/>
            <w:shd w:fill="FFFFFF" w:val="clear"/>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earnings per share –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78,235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78,878</w:t>
            </w:r>
          </w:p>
        </w:tc>
        <w:tc>
          <w:tcPr>
            <w:tcW w:w="63" w:type="dxa"/>
            <w:tcBorders/>
            <w:shd w:fill="FFFFFF" w:val="clear"/>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 Employee and director stock options and restricted share awards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diluted earnings per share – adjusted weighted average shares outstanding and assumed conversions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80,593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81,607</w:t>
            </w:r>
          </w:p>
        </w:tc>
        <w:tc>
          <w:tcPr>
            <w:tcW w:w="63" w:type="dxa"/>
            <w:tcBorders/>
            <w:shd w:fill="FFFFFF" w:val="clear"/>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 and common share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Options to purchase shares of common stock that were outstanding for the three months and nine months ended September 30, 2025 and 2024 that were not included in the computation of diluted earnings per share because the effect would have been anti-dilutive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837" w:type="dxa"/>
        <w:jc w:val="left"/>
        <w:tblInd w:w="0" w:type="dxa"/>
        <w:tblLayout w:type="fixed"/>
        <w:tblCellMar>
          <w:top w:w="0" w:type="dxa"/>
          <w:left w:w="0" w:type="dxa"/>
          <w:bottom w:w="0" w:type="dxa"/>
          <w:right w:w="0" w:type="dxa"/>
        </w:tblCellMar>
      </w:tblPr>
      <w:tblGrid>
        <w:gridCol w:w="3215"/>
        <w:gridCol w:w="60"/>
        <w:gridCol w:w="114"/>
        <w:gridCol w:w="636"/>
        <w:gridCol w:w="114"/>
        <w:gridCol w:w="114"/>
        <w:gridCol w:w="114"/>
        <w:gridCol w:w="636"/>
        <w:gridCol w:w="60"/>
        <w:gridCol w:w="60"/>
        <w:gridCol w:w="109"/>
        <w:gridCol w:w="609"/>
        <w:gridCol w:w="109"/>
        <w:gridCol w:w="109"/>
        <w:gridCol w:w="109"/>
        <w:gridCol w:w="609"/>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anti-dilutive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2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2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2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2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4 </w:t>
      </w:r>
      <w:r>
        <w:rPr>
          <w:rFonts w:ascii="Times New Roman" w:hAnsi="Times New Roman"/>
          <w:caps w:val="false"/>
          <w:smallCaps w:val="false"/>
          <w:sz w:val="20"/>
        </w:rPr>
        <w:t xml:space="preserve">– </w:t>
      </w:r>
      <w:r>
        <w:rPr>
          <w:rFonts w:ascii="Times New Roman" w:hAnsi="Times New Roman"/>
          <w:b/>
          <w:caps w:val="false"/>
          <w:smallCaps w:val="false"/>
          <w:sz w:val="20"/>
        </w:rPr>
        <w:t>Stock Options and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Valuation and Expense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stock-based compensation in accordance with Accounting Standards Codification (“ASC”) 718-10,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which requires the measurement and recognition of compensation expense for all share-based payment awards made to the Company’s employees and directors, including employee stock options, restricted stock awards and employee stock purchases related to the Employee Stock Purchase Plan, based on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expense, calculated using the Black-Scholes option-pricing model for employee stock options and grant price for restricted stock awards included in selling, general and administrative expense, was $4.8 million for the three months ended September 30, 2025, and $5.3 million for the three months ended September 30, 2024. Stock-based compensation expense included in selling, general and administrative expense, was $26.8 million for the nine months ended September 30, 2025, and $24.9 million for the nine months ended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2025, the Company had $15.2 million of unrecognized compensation expense related to non-vested employee stock options to be recognized over a weighted-average period of 2.3 years and $16.7 million of unrecognized compensation cost related to non-vested restricted stock awards to be recognized over a weighted-average period of 1.4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5 </w:t>
      </w:r>
      <w:r>
        <w:rPr>
          <w:rFonts w:ascii="Times New Roman" w:hAnsi="Times New Roman"/>
          <w:caps w:val="false"/>
          <w:smallCaps w:val="false"/>
          <w:sz w:val="20"/>
        </w:rPr>
        <w:t xml:space="preserve">– </w:t>
      </w:r>
      <w:r>
        <w:rPr>
          <w:rFonts w:ascii="Times New Roman" w:hAnsi="Times New Roman"/>
          <w:b/>
          <w:caps w:val="false"/>
          <w:smallCaps w:val="false"/>
          <w:sz w:val="20"/>
        </w:rPr>
        <w:t>Financial Instruments and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to their short-term nature or the existence of variable interest rates, which approximate market rates. Certain methods and assumptions were used by the Company in estimating the fair value of financial instruments as of September 30, 2025, and December 31, 2024. The carrying value of current assets and current liabilities approximates the fair value due to the short maturity of these items.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fair value hierarchy established by ASC 820-10-35, the inputs used to determine the market value of the Company’s debt are classified as Level 2. Because the Company’s debt is not quoted, estimates are based on each obligation’s characteristics, including remaining maturities, variable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6 </w:t>
      </w:r>
      <w:r>
        <w:rPr>
          <w:rFonts w:ascii="Times New Roman" w:hAnsi="Times New Roman"/>
          <w:caps w:val="false"/>
          <w:smallCaps w:val="false"/>
          <w:sz w:val="20"/>
        </w:rPr>
        <w:t xml:space="preserve">– </w:t>
      </w:r>
      <w:r>
        <w:rPr>
          <w:rFonts w:ascii="Times New Roman" w:hAnsi="Times New Roman"/>
          <w:b/>
          <w:caps w:val="false"/>
          <w:smallCaps w:val="false"/>
          <w:sz w:val="20"/>
        </w:rPr>
        <w:t>Segment Information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reporting period, the Company currently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Truck Segment, the Company generates revenue from two additional operating segments: Retail Tire Sales and Insurance Services. These operating segments do not meet the quantitative thresholds for separate reporting as specified under the guidance of ASC 280-10. Therefore, they are consolidated under the “All Other” category in the segment disclosures below. These segments share accounting policies consistent with the summary of significant accounting policies.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The Company evaluates performance based on segment operating income, not including extraordinary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contains summarized information about reportable segment revenues, segment income or loss from continuing operations and segment assets for the periods ended September 30, 2025 and 2024 (in thousands):</w:t>
      </w:r>
    </w:p>
    <w:p>
      <w:pPr>
        <w:pStyle w:val="TextBody"/>
        <w:bidi w:val="0"/>
        <w:spacing w:before="0" w:after="0"/>
        <w:ind w:left="0" w:right="0" w:firstLine="720"/>
        <w:jc w:val="both"/>
        <w:rPr>
          <w:caps w:val="false"/>
          <w:smallCaps w:val="false"/>
        </w:rPr>
      </w:pPr>
      <w:r>
        <w:rPr>
          <w:caps w:val="false"/>
          <w:smallCaps w:val="false"/>
        </w:rPr>
        <w:t> </w:t>
      </w:r>
    </w:p>
    <w:tbl>
      <w:tblPr>
        <w:tblW w:w="8078" w:type="dxa"/>
        <w:jc w:val="left"/>
        <w:tblInd w:w="0" w:type="dxa"/>
        <w:tblLayout w:type="fixed"/>
        <w:tblCellMar>
          <w:top w:w="0" w:type="dxa"/>
          <w:left w:w="0" w:type="dxa"/>
          <w:bottom w:w="0" w:type="dxa"/>
          <w:right w:w="0" w:type="dxa"/>
        </w:tblCellMar>
      </w:tblPr>
      <w:tblGrid>
        <w:gridCol w:w="4670"/>
        <w:gridCol w:w="60"/>
        <w:gridCol w:w="161"/>
        <w:gridCol w:w="1088"/>
        <w:gridCol w:w="80"/>
        <w:gridCol w:w="60"/>
        <w:gridCol w:w="134"/>
        <w:gridCol w:w="635"/>
        <w:gridCol w:w="80"/>
        <w:gridCol w:w="60"/>
        <w:gridCol w:w="125"/>
        <w:gridCol w:w="845"/>
        <w:gridCol w:w="80"/>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Truck Segment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8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September 30, 2025</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1,880,765</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1,506,013</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224,799</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49,923</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100,030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67,738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108,811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18,155</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nine months ended September 30, 2025</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5,650,359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5,662,302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4,548,630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4,550,119</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675,449</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134,629</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301,899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302,105</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201,344</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349,242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53,022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September 30, 2024</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1,896,133</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1,516,568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1,517,092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218,009</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120,754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23,820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79,420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4,494,444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135,660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nine months ended September 30, 2024</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5,795,159</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4,633,855</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668,658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136,802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355,892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355,845</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55,881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71,422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230,014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229,692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4,494,444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4,553,061</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328,839</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7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had unrecognized income tax benefits totaling $8.0 million as a component of accrued liabilities as of September 30, 2025 and December 31, 2024,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$0.5 million accrued for the payment of interest as of September 30, 2025 and December 31, 2024. No amounts were accrued for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anticipate a significant change in the amount of unrecognized tax benefits in the next 12 months. As of September 30, 2025, the tax years ended December 31, 2021 through 2024 remained subject to audit by federal tax authorities and the tax years ended December 31, 2020 through 2024, remained subject to audit by state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8 </w:t>
      </w:r>
      <w:r>
        <w:rPr>
          <w:rFonts w:ascii="Times New Roman" w:hAnsi="Times New Roman"/>
          <w:caps w:val="false"/>
          <w:smallCaps w:val="false"/>
          <w:sz w:val="20"/>
        </w:rPr>
        <w:t xml:space="preserve">– </w:t>
      </w:r>
      <w:r>
        <w:rPr>
          <w:rFonts w:ascii="Times New Roman" w:hAnsi="Times New Roman"/>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non-lease and rental revenues are generated from the sale of finished products to customers. Revenue from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the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disaggregated revenue by revenue source, excluding lease and rental revenue, for the three months and nine months ended September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9816" w:type="dxa"/>
        <w:jc w:val="left"/>
        <w:tblInd w:w="0" w:type="dxa"/>
        <w:tblLayout w:type="fixed"/>
        <w:tblCellMar>
          <w:top w:w="0" w:type="dxa"/>
          <w:left w:w="0" w:type="dxa"/>
          <w:bottom w:w="0" w:type="dxa"/>
          <w:right w:w="0" w:type="dxa"/>
        </w:tblCellMar>
      </w:tblPr>
      <w:tblGrid>
        <w:gridCol w:w="2780"/>
        <w:gridCol w:w="60"/>
        <w:gridCol w:w="211"/>
        <w:gridCol w:w="1428"/>
        <w:gridCol w:w="60"/>
        <w:gridCol w:w="60"/>
        <w:gridCol w:w="211"/>
        <w:gridCol w:w="1428"/>
        <w:gridCol w:w="60"/>
        <w:gridCol w:w="60"/>
        <w:gridCol w:w="211"/>
        <w:gridCol w:w="1428"/>
        <w:gridCol w:w="60"/>
        <w:gridCol w:w="60"/>
        <w:gridCol w:w="211"/>
        <w:gridCol w:w="1428"/>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2024</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3,457,130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3,586,882</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revenue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1,089,354</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repair service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820,318</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6,715</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10,396</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16,799</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1,787,461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5,385,621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5,530,464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performance obligations and associated revenues are generally transferred to customers at a point in time. The Company did not have any material contract assets or contract liabilities on the balance sheet as of September 30, 2025. Revenues related to commercial vehicle sales, parts sales, commercial vehicle repair service, finance and the majority of Other revenues are related to the Truck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9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Lease of Vehicles as Lessor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leases commercial vehicles that the Company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Lease and rental income during the three and nine months ended September 30, 2025 and September 30, 2024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891" w:type="dxa"/>
        <w:jc w:val="left"/>
        <w:tblInd w:w="0" w:type="dxa"/>
        <w:tblLayout w:type="fixed"/>
        <w:tblCellMar>
          <w:top w:w="0" w:type="dxa"/>
          <w:left w:w="0" w:type="dxa"/>
          <w:bottom w:w="0" w:type="dxa"/>
          <w:right w:w="0" w:type="dxa"/>
        </w:tblCellMar>
      </w:tblPr>
      <w:tblGrid>
        <w:gridCol w:w="2165"/>
        <w:gridCol w:w="60"/>
        <w:gridCol w:w="139"/>
        <w:gridCol w:w="658"/>
        <w:gridCol w:w="66"/>
        <w:gridCol w:w="66"/>
        <w:gridCol w:w="139"/>
        <w:gridCol w:w="658"/>
        <w:gridCol w:w="60"/>
        <w:gridCol w:w="60"/>
        <w:gridCol w:w="125"/>
        <w:gridCol w:w="695"/>
        <w:gridCol w:w="60"/>
        <w:gridCol w:w="60"/>
        <w:gridCol w:w="125"/>
        <w:gridCol w:w="695"/>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rental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81,809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230,958</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Nonlease payments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33,738</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10 </w:t>
      </w:r>
      <w:r>
        <w:rPr>
          <w:rFonts w:ascii="Times New Roman" w:hAnsi="Times New Roman"/>
          <w:caps w:val="false"/>
          <w:smallCaps w:val="false"/>
          <w:sz w:val="20"/>
        </w:rPr>
        <w:t xml:space="preserve">– </w:t>
      </w: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components of accumulated other comprehensive income (loss) (in thousands):</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3275"/>
        <w:gridCol w:w="60"/>
        <w:gridCol w:w="125"/>
        <w:gridCol w:w="545"/>
        <w:gridCol w:w="95"/>
      </w:tblGrid>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2025</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5,027</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2025</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September 30, 2025</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RTC Canada, is its local currency. Results of operations of RTC Canada are translated into USD using the monthly average exchange rates during the year. The assets and liabilities of RTC Canada are translated into USD using the exchange rates in effect on the balance sheet date. The related translation adjustments are recorded in a separate component of shareholders' equity in accumulated other comprehensive income (loss) and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11 </w:t>
      </w:r>
      <w:r>
        <w:rPr>
          <w:rFonts w:ascii="Times New Roman" w:hAnsi="Times New Roman"/>
          <w:caps w:val="false"/>
          <w:smallCaps w:val="false"/>
          <w:sz w:val="20"/>
        </w:rPr>
        <w:t xml:space="preserve">– </w:t>
      </w:r>
      <w:r>
        <w:rPr>
          <w:rFonts w:ascii="Times New Roman" w:hAnsi="Times New Roman"/>
          <w:b/>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establishes an allowance for credit losses to present the net amount of accounts receivable expected to be collected. Under Accounting Standards Update No. 2016-13,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 (Topic 326): Measurement of Credit Losses on Financial Instruments</w:t>
      </w:r>
      <w:r>
        <w:rPr>
          <w:rFonts w:ascii="Times New Roman" w:hAnsi="Times New Roman"/>
          <w:caps w:val="false"/>
          <w:smallCaps w:val="false"/>
          <w:sz w:val="20"/>
        </w:rPr>
        <w:t>, the Company is required to remeasure expected credit losses for financial instruments held on the reporting date based on historical experience, current conditions and reasonable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changes in the allowance for credit losses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86"/>
        <w:gridCol w:w="60"/>
        <w:gridCol w:w="257"/>
        <w:gridCol w:w="1002"/>
        <w:gridCol w:w="60"/>
        <w:gridCol w:w="60"/>
        <w:gridCol w:w="621"/>
        <w:gridCol w:w="2415"/>
        <w:gridCol w:w="80"/>
        <w:gridCol w:w="60"/>
        <w:gridCol w:w="363"/>
        <w:gridCol w:w="1417"/>
        <w:gridCol w:w="80"/>
        <w:gridCol w:w="60"/>
        <w:gridCol w:w="266"/>
        <w:gridCol w:w="1038"/>
        <w:gridCol w:w="80"/>
      </w:tblGrid>
      <w:tr>
        <w:trPr/>
        <w:tc>
          <w:tcPr>
            <w:tcW w:w="2286"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03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the Nine Months Ended September 30, 2025</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78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Write offs Against Allowance,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of Recoveries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80" w:type="dxa"/>
            <w:tcBorders/>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receivables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2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Manufacturers’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ind w:left="0" w:right="0" w:hanging="0"/>
              <w:jc w:val="left"/>
              <w:rPr/>
            </w:pPr>
            <w:r>
              <w:rPr/>
              <w:t> </w:t>
            </w:r>
          </w:p>
        </w:tc>
        <w:tc>
          <w:tcPr>
            <w:tcW w:w="10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1" w:type="dxa"/>
            <w:tcBorders/>
            <w:shd w:fill="FFFFFF" w:val="clear"/>
            <w:tcMar>
              <w:bottom w:w="0" w:type="dxa"/>
            </w:tcMar>
            <w:vAlign w:val="center"/>
          </w:tcPr>
          <w:p>
            <w:pPr>
              <w:pStyle w:val="TableContents"/>
              <w:bidi w:val="0"/>
              <w:spacing w:before="0" w:after="283"/>
              <w:ind w:left="0" w:right="0" w:hanging="0"/>
              <w:jc w:val="left"/>
              <w:rPr/>
            </w:pPr>
            <w:r>
              <w:rPr/>
              <w:t> </w:t>
            </w:r>
          </w:p>
        </w:tc>
        <w:tc>
          <w:tcPr>
            <w:tcW w:w="24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ind w:left="0" w:right="0" w:hanging="0"/>
              <w:jc w:val="left"/>
              <w:rPr/>
            </w:pPr>
            <w:r>
              <w:rPr/>
              <w:t> </w:t>
            </w:r>
          </w:p>
        </w:tc>
        <w:tc>
          <w:tcPr>
            <w:tcW w:w="14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3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Leasing, parts and service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ind w:left="0" w:right="0" w:hanging="0"/>
              <w:jc w:val="left"/>
              <w:rPr/>
            </w:pPr>
            <w:r>
              <w:rPr/>
              <w:t> </w:t>
            </w:r>
          </w:p>
        </w:tc>
        <w:tc>
          <w:tcPr>
            <w:tcW w:w="10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1" w:type="dxa"/>
            <w:tcBorders/>
            <w:shd w:fill="CCEEFF" w:val="clear"/>
            <w:tcMar>
              <w:bottom w:w="0" w:type="dxa"/>
            </w:tcMar>
            <w:vAlign w:val="center"/>
          </w:tcPr>
          <w:p>
            <w:pPr>
              <w:pStyle w:val="TableContents"/>
              <w:bidi w:val="0"/>
              <w:spacing w:before="0" w:after="283"/>
              <w:ind w:left="0" w:right="0" w:hanging="0"/>
              <w:jc w:val="left"/>
              <w:rPr/>
            </w:pPr>
            <w:r>
              <w:rPr/>
              <w:t> </w:t>
            </w:r>
          </w:p>
        </w:tc>
        <w:tc>
          <w:tcPr>
            <w:tcW w:w="24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ind w:left="0" w:right="0" w:hanging="0"/>
              <w:jc w:val="left"/>
              <w:rPr/>
            </w:pPr>
            <w:r>
              <w:rPr/>
              <w:t> </w:t>
            </w:r>
          </w:p>
        </w:tc>
        <w:tc>
          <w:tcPr>
            <w:tcW w:w="14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pPr>
            <w:r>
              <w:rPr/>
              <w:t> </w:t>
            </w:r>
          </w:p>
        </w:tc>
        <w:tc>
          <w:tcPr>
            <w:tcW w:w="103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2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4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12 </w:t>
      </w:r>
      <w:r>
        <w:rPr>
          <w:rFonts w:ascii="Times New Roman" w:hAnsi="Times New Roman"/>
          <w:caps w:val="false"/>
          <w:smallCaps w:val="false"/>
          <w:sz w:val="20"/>
        </w:rPr>
        <w:t xml:space="preserve">– </w:t>
      </w:r>
      <w:r>
        <w:rPr>
          <w:rFonts w:ascii="Times New Roman" w:hAnsi="Times New Roman"/>
          <w:b/>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acquisitions, unless otherwise noted, were considered business combinations accounted for under ASC 805 “Business Combinations.” Pro forma information was not included in accordance with ASC 805 because the acquisitions were not considered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2024, we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2025, the Company acquired 100% of the outstanding shares of Leeds Transit, Inc. The acquisition included IC Bus and Collins Bus franchised commercial vehicle dealership locations in Elgin and Woodstock, Ontario and a sales office in St-Roch-de-l’Achigan, Quebec, along with commercial vehicle and parts inventory. The transaction was valued at approximately $25.6 million, with the purchase price paid in cash and with borrowings made pursuant to the RTC Canada’s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Certain statements contained in this Form 10-Q (or otherwise made by the Company or on the Company</w:t>
      </w:r>
      <w:r>
        <w:rPr>
          <w:rFonts w:ascii="Times New Roman" w:hAnsi="Times New Roman"/>
          <w:caps w:val="false"/>
          <w:smallCaps w:val="false"/>
          <w:sz w:val="20"/>
        </w:rPr>
        <w:t>’</w:t>
      </w:r>
      <w:r>
        <w:rPr>
          <w:rFonts w:ascii="Times New Roman" w:hAnsi="Times New Roman"/>
          <w:i/>
          <w:caps w:val="false"/>
          <w:smallCaps w:val="false"/>
          <w:sz w:val="20"/>
        </w:rPr>
        <w:t>s behalf from time to time in other reports,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news releases, conferences, website postings or otherwise) that are not statements of historical fact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Section 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xml:space="preserve">), and Section 21E of the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notwithstanding that such statements are not specifically identified. Forward-looking statements include statements about the Company</w:t>
      </w:r>
      <w:r>
        <w:rPr>
          <w:rFonts w:ascii="Times New Roman" w:hAnsi="Times New Roman"/>
          <w:caps w:val="false"/>
          <w:smallCaps w:val="false"/>
          <w:sz w:val="20"/>
        </w:rPr>
        <w:t>’</w:t>
      </w:r>
      <w:r>
        <w:rPr>
          <w:rFonts w:ascii="Times New Roman" w:hAnsi="Times New Roman"/>
          <w:i/>
          <w:caps w:val="false"/>
          <w:smallCaps w:val="false"/>
          <w:sz w:val="20"/>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hAnsi="Times New Roman"/>
          <w:caps w:val="false"/>
          <w:smallCaps w:val="false"/>
          <w:sz w:val="20"/>
        </w:rPr>
        <w:t>’</w:t>
      </w:r>
      <w:r>
        <w:rPr>
          <w:rFonts w:ascii="Times New Roman" w:hAnsi="Times New Roman"/>
          <w:i/>
          <w:caps w:val="false"/>
          <w:smallCaps w:val="false"/>
          <w:sz w:val="20"/>
        </w:rPr>
        <w:t>s management as well as assumptions made by and information currently available to the Company</w:t>
      </w:r>
      <w:r>
        <w:rPr>
          <w:rFonts w:ascii="Times New Roman" w:hAnsi="Times New Roman"/>
          <w:caps w:val="false"/>
          <w:smallCaps w:val="false"/>
          <w:sz w:val="20"/>
        </w:rPr>
        <w:t>’</w:t>
      </w:r>
      <w:r>
        <w:rPr>
          <w:rFonts w:ascii="Times New Roman" w:hAnsi="Times New Roman"/>
          <w:i/>
          <w:caps w:val="false"/>
          <w:smallCaps w:val="false"/>
          <w:sz w:val="20"/>
        </w:rPr>
        <w:t xml:space="preserve">s management. Use of the words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intend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the Company</w:t>
      </w:r>
      <w:r>
        <w:rPr>
          <w:rFonts w:ascii="Times New Roman" w:hAnsi="Times New Roman"/>
          <w:caps w:val="false"/>
          <w:smallCaps w:val="false"/>
          <w:sz w:val="20"/>
        </w:rPr>
        <w:t>’</w:t>
      </w:r>
      <w:r>
        <w:rPr>
          <w:rFonts w:ascii="Times New Roman" w:hAnsi="Times New Roman"/>
          <w:i/>
          <w:caps w:val="false"/>
          <w:smallCaps w:val="false"/>
          <w:sz w:val="20"/>
        </w:rPr>
        <w:t>s Annual Report on Form 10-K for the year ended December 31, 2024,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comments should be read in conjunction with the Company’s consolidated financial statements and related notes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Regarding Trademarks Commonly Used in the Company</w:t>
      </w:r>
      <w:r>
        <w:rPr>
          <w:rFonts w:ascii="Times New Roman" w:hAnsi="Times New Roman"/>
          <w:caps w:val="false"/>
          <w:smallCaps w:val="false"/>
          <w:sz w:val="20"/>
        </w:rPr>
        <w:t>’</w:t>
      </w:r>
      <w:r>
        <w:rPr>
          <w:rFonts w:ascii="Times New Roman" w:hAnsi="Times New Roman"/>
          <w:b/>
          <w:caps w:val="false"/>
          <w:smallCaps w:val="false"/>
          <w:sz w:val="20"/>
        </w:rPr>
        <w:t>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Peterbilt</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Peterbilt Motors Company. PACCAR</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Inc. PacLease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Leasing Corporation. International</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International Motors, LLC (f/k/a Navistar, Inc.). Idealease is a registered trademark of Idealease, Inc. aka Idealease of North America, Inc. Blue Bird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Blue Bird Investment Corporation. IC Bus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IC Bus, LLC. Hino</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Hino Motors, Ltd. Isuzu</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Isuzu Motors Limited. Ford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Ford Motor Company. Dennis Eagle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Dennis Eagle Limited. Cummins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Cummins, Inc. Blue Arc</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The Shyft Group Inc. Battle Motors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is a registered trademark of Battle Motors, Inc. This report contains additional trade names or trademarks of other companies. Our use of such trade names or trademarks should not imply any endorsement or relationship with such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Rush Enterprises, Inc. was incorporated in Texas in 1965 and consists of one reportable segment, the Truck Segment, and conducts business through its subsidiaries. Our principal offices are located at 555 IH 35 South, Suite 500, New Braunfels, Texas 78130.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Blue Bird, Dennis Eagle, Blue Arc and Battle Motors.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are principally located in high traffic areas throughout the United States and Ontario, Canada. Since commencing operations as a Peterbilt heavy-duty truck dealer in 1966, we have grown to operate over 126 franchised Rush Truck Centers in 23 states. We own an 80% equity interest in Rush Truck Centres of Canada Limited (“RTC Canada”). RTC Canada currently owns and operates 12 International dealership and 2 IC Bus dealership locations in Ontario. RTC Canada also sells IC Busses in Quebec and the Maritimes. The operating results of RTC Canada are consolidated in the Consolidated Statements of Operations, the Statements of Comprehensive Income, the Consolidated Balance Sheets and commercial vehicle unit sales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 Research Co., LLC (“A.C.T. Research”), a commercial vehicle industry data and forecasting service provider, currently forecasts new U.S. Class 8 retail truck sales to be 216,300 units in 2025, which would represent a 12.5% decrease compared to 2024. The ongoing freight recession and uncertainty with respect to U.S. trade policy and engine emission regulations, continues to weigh on the industry and impact demand for new commercial vehicles. While we expect that new Class 8 truck sales to vocational customers will remain solid through the end of the year, we also expect continued weak demand from our over-the-road customers, our largest customer segment. We expect our U.S. market share of new Class 8 truck sales to range between 5.4% and 5.9% in 2025 based on A.C.T. Research’s current forecast of 216,300.  This market share percentage would result in the sale of approximately 11,700 to 12,800 new Class 8 trucks in 2025.  We expect to sell approximately 350 new Class 8 trucks in Canada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new U.S. Class 4 through 7 retail commercial vehicle sales, A.C.T. Research currently forecasts sales to be 227,225 units in 2025, which would represent a 11.8% decrease compared to 2024.  We believe that demand for medium-duty commercial vehicles will remain stable through the end of the year. We expect our U.S. market share of new Class 4 through 7 commercial vehicle sales to range between 5.5% and 6.0% in 2025 based on A.C.T. Research’s current forecast of 227,225.  This market share percentage would result in the sale of approximately 12,500 to 13,600 new Class 4 through 7 commercial vehicles in 2025.  We expect to sell approximately 1,000 new Class 5 through 7 commercial vehicles in Canada in 2025.</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sell approximately 2,600 to 2800 light-duty vehicles and approximately 6,500 used commercial vehicles in 2025, and we expect lease and rental revenue to increase approximately 4.5% during 2025,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our parts, service, and collision center (collectively referred to herein as “Aftermarket Products and Services”) operations, despite a difficult operating environment, we achieved a slight increase in revenue during the third quarter of 2025, compared to the third quarter of 2024. We believe that our Aftermarket Products and Services revenues will remain flat to slightly down in the fourth quarter, compared to the third quarter of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includes our historical results of operations for the three months and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financial data as a percentage of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151" w:type="dxa"/>
        <w:jc w:val="left"/>
        <w:tblInd w:w="0" w:type="dxa"/>
        <w:tblLayout w:type="fixed"/>
        <w:tblCellMar>
          <w:top w:w="0" w:type="dxa"/>
          <w:left w:w="0" w:type="dxa"/>
          <w:bottom w:w="0" w:type="dxa"/>
          <w:right w:w="0" w:type="dxa"/>
        </w:tblCellMar>
      </w:tblPr>
      <w:tblGrid>
        <w:gridCol w:w="4115"/>
        <w:gridCol w:w="60"/>
        <w:gridCol w:w="82"/>
        <w:gridCol w:w="666"/>
        <w:gridCol w:w="254"/>
        <w:gridCol w:w="82"/>
        <w:gridCol w:w="82"/>
        <w:gridCol w:w="666"/>
        <w:gridCol w:w="185"/>
        <w:gridCol w:w="60"/>
        <w:gridCol w:w="77"/>
        <w:gridCol w:w="623"/>
        <w:gridCol w:w="237"/>
        <w:gridCol w:w="77"/>
        <w:gridCol w:w="77"/>
        <w:gridCol w:w="623"/>
        <w:gridCol w:w="18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5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748"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19.9</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0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19.6</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the percent of gross profit by revenue source:</w:t>
      </w:r>
    </w:p>
    <w:p>
      <w:pPr>
        <w:pStyle w:val="TextBody"/>
        <w:bidi w:val="0"/>
        <w:spacing w:before="0" w:after="0"/>
        <w:ind w:left="0" w:right="0" w:hanging="0"/>
        <w:jc w:val="left"/>
        <w:rPr>
          <w:caps w:val="false"/>
          <w:smallCaps w:val="false"/>
        </w:rPr>
      </w:pPr>
      <w:r>
        <w:rPr>
          <w:caps w:val="false"/>
          <w:smallCaps w:val="false"/>
        </w:rPr>
        <w:t> </w:t>
      </w:r>
    </w:p>
    <w:tbl>
      <w:tblPr>
        <w:tblW w:w="7251" w:type="dxa"/>
        <w:jc w:val="left"/>
        <w:tblInd w:w="0" w:type="dxa"/>
        <w:tblLayout w:type="fixed"/>
        <w:tblCellMar>
          <w:top w:w="0" w:type="dxa"/>
          <w:left w:w="0" w:type="dxa"/>
          <w:bottom w:w="0" w:type="dxa"/>
          <w:right w:w="0" w:type="dxa"/>
        </w:tblCellMar>
      </w:tblPr>
      <w:tblGrid>
        <w:gridCol w:w="3215"/>
        <w:gridCol w:w="60"/>
        <w:gridCol w:w="82"/>
        <w:gridCol w:w="666"/>
        <w:gridCol w:w="254"/>
        <w:gridCol w:w="82"/>
        <w:gridCol w:w="82"/>
        <w:gridCol w:w="666"/>
        <w:gridCol w:w="185"/>
        <w:gridCol w:w="60"/>
        <w:gridCol w:w="77"/>
        <w:gridCol w:w="623"/>
        <w:gridCol w:w="237"/>
        <w:gridCol w:w="77"/>
        <w:gridCol w:w="77"/>
        <w:gridCol w:w="623"/>
        <w:gridCol w:w="18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5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unit sales and revenues for new heavy-duty, new medium-duty, new light-duty and used commercial vehicles and our absorption ratio (revenue in millions):</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2465"/>
        <w:gridCol w:w="60"/>
        <w:gridCol w:w="125"/>
        <w:gridCol w:w="635"/>
        <w:gridCol w:w="185"/>
        <w:gridCol w:w="60"/>
        <w:gridCol w:w="125"/>
        <w:gridCol w:w="635"/>
        <w:gridCol w:w="185"/>
        <w:gridCol w:w="60"/>
        <w:gridCol w:w="79"/>
        <w:gridCol w:w="586"/>
        <w:gridCol w:w="245"/>
        <w:gridCol w:w="60"/>
        <w:gridCol w:w="125"/>
        <w:gridCol w:w="635"/>
        <w:gridCol w:w="185"/>
        <w:gridCol w:w="60"/>
        <w:gridCol w:w="125"/>
        <w:gridCol w:w="635"/>
        <w:gridCol w:w="185"/>
        <w:gridCol w:w="60"/>
        <w:gridCol w:w="79"/>
        <w:gridCol w:w="586"/>
        <w:gridCol w:w="24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24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vehicle revenue(1)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Dealership absorption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Includes sales of truck bodies, trailers and other new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Performance Indicator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Absorption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a dealership’s departments, except for the selling expenses of the new and used commercial vehicle departments and carrying costs of new and used commercial vehicle inventory. When 100% absorption is achieved, the gross profit from the sale of a commercial vehicle, after sales commissions and inventory carrying costs, directly impacts operating profit. Our commercial vehicle dealerships achieved a 129.3% absorption ratio for the third quarter of 2025, compared to a 132.6% absorption ratio for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September 30, 2025 Compared to Three Months Ended September 30, 2024</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$15.4 million, or 0.8%, in the third quarter of 2025, compared to the third quarter of 2024. This decrease was primarily the result of decreased new Class 8 truck sales due to continued weak demand from over-the-road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Aftermarket Products and Services revenues totaled $642.7 million in the third quarter of 2025, up 1.5% from the third quarter of 2024. This growth was primarily driven by the successful execution of certain strategic initiatives and an increase in parts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sales of new and used commercial vehicles decreased $28.4 million, or 2.4%, in the third quarter of 2025, compared to the third quarter of 2024.  This decrease was primarily the result of reduced demand due to challenging market conditions and regulatory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3,215 new Class 8 vehicles in the United States during the third quarter of 2025, a 10.8% decrease compared to 3,604 new Class 8 trucks sold in the third quarter of 2024.  We sold 95 new Class 8 heavy-duty trucks in the third quarter of 2025 in Canada, a 5.0% decrease compared to 100 new Class 8 heavy-duty trucks in the third quarter of 2024. This decrease was primarily the result of reduced demand due to challenging market conditions and regulatory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3,427 new Class 4 through 7 medium-duty commercial vehicles in the United States, including 660 buses, during the third quarter of 2025, a 1.4% increase compared to 3,379 new medium-duty commercial vehicles, including 258 buses, in the third quarter of 2024.  We sold 448 Class 5 through 7 medium-duty commercial vehicles, including 291 buses, in the third quarter of 2025 in Canada, a 239.4% increase compared to 132 new Class 5 through 7 commercial vehicles in the third quarter of 2024. The slight increase in new Class 4 through 7 commercial vehicle sales in the United States was primarily a result of consistent demand and our ability to meet customer needs with our bodied-up inventory. The increase in new Class 5 through 7 commercial vehicle sales in Canada was primarily the result of RTC Canda’s acquisition of IC Bus and Collins Bus franchises in June 2025.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858 light-duty vehicles in the third quarter of 2025, a 49.5% increase compared to 574 light-duty vehicles sold in the third quarter of 2024. We sold 1,814 used commercial vehicles in the third quarter of 2025, a 0.8% decrease compared to 1,829 used commercial vehicles in the third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vehicle lease and rental revenues increased $4.2 million, or 4.7%, in the third quarter of 2025, compared to the third quarter of 2024.  This increase in commercial vehicle lease and rental revenues was primarily due to the in-service of new vehicles into the lease fleet, which was partially offset by lower rental fleet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decreased $0.2 million, or 3.5%, in the third quarter of 2025, compared to the third quarter of 2024. This decrease is primarily due to the decline in sales of new Class 8 trucks and tighter lending requirements from finance companies. Finance and insurance revenues have limited direct costs and, therefore, contribute a disproportionate share of our operating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Gross profit decreased $4.3 million, or 1.1%, in the third quarter of 2025, compared to the third quarter of 2024.  Gross profit as a percentage of sales decreased to 19.9% in the third quarter of 2025, from 20.0% in the third quarter of 2024.  This decrease in gross profit as a percentage of sales was primarily a result of a decrease in commercial vehicle margins, which was partially offset by an increase in aftermarket gross profit margins. Commercial vehicle sales, a lower margin revenue item, decreased as a percentage of total revenues to 60.3% in the third quarter of 2025, from 61.3% in the third quarter of 2024.  Aftermarket Products and Services revenues, a higher margin revenue item, increased as a percentage of total revenues to 34.2% in the third quarter of 2025, from 33.4% in the third quarter of 2024. Although commercial vehicle sales typically carry lower gross margins, the volume of transactions has a material impact on overall 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increased to 37.2% in the third quarter of 2025, from 36.8% in the third quarter of 2024. Gross profit for the Aftermarket Products and Services departments increased to $238.9 million in the third quarter of 2025, from $233.1 million in the third quarter of 2024. Historically, gross margins on parts sales range from 28% to 30% and gross margins on service and collision center operations range from 66% to 68%.  Gross profits from parts sales represented 56.7% of total gross profit for Aftermarket Products and Services operations in the third quarter of 2025 and 57.5% in the third quarter of 2024. Service and collision center operations represented 43.3% of total gross profit for Aftermarket Products and Services operations in the third quarter of 2025 and 42.5% in the third quarter of 2024.  We expect blended gross margins on Aftermarket Products and Services operations to range from 36.5% to 37.0%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remained flat at 9.2% in the third quarter of 2025, compared to the third quarter of 2024. For 2025, we expect overall gross margins from new Class 8 truck sales of approximately 8.7% to 9.2%.</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commercial vehicle sales decreased to 8.1% in the third quarter of 2025, from 10.3% in the third quarter of 2024.  The decrease in new Class 4 through 7 truck margins was primarily due to change in our product sales mix and challenging market conditions. For 2025, we expect overall gross margins from new medium-duty commercial vehicle sales of approximately 7.8% to 9.0%, but this will largely depend upon the mix of purchasers and types of vehicles sold.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decreased to 10.9% in the third quarter of 2025, from 18.0% in the third quarter of 2024. This decrease was primarily due to a change in the mix of wholesale versus retail sales. We expect margins on used commercial vehicles to range between 10.0% and 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decreased to 28.2% in the third quarter of 2025, from 28.6% in the third quarter of 2024. We expect gross margins from lease and rental sales of approximately 27.0% to 29.0% during 2025. This decrease was primarily due to a decrease in rental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and other income, as described above, have limited direct costs and, therefore, contribute a disproportionate share of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increased $16.7 million, or 12.6%, in the third quarter of 2025, compared to the third quarter of 2024. SG&amp;A expenses as a percentage of total revenues increased to 13.6% in the third quarter of 2025, from 12.6% in the third quarter of 2024.  Annual SG&amp;A expenses as a percentage of total revenues have ranged from approximately 12.4% to 14.4% over the last five years. In the third quarter of 2025, the Company’s SG&amp;A expenses were higher than normal, due in part to increased accruals with respect to pending litigation matters and recent increases in insurance retentions.  For 2025, we expect SG&amp;A expenses as a percentage of total revenues to range from 13.0% to 14.0%.  For 2025, we expect the selling portion of SG&amp;A expenses to be approximately 25.0% to 30.0% of new and used commercial vehicle gross profit.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$5.9 million, or 33.7%, in the third quarter of 2025, compared to the third quarter of 2024. This decrease in interest expense is a result of a decrease in our vehicle inventory levels, lower debt levels and lower interest rates on our variable rate debt compared to the third quarter of 2024. We expect net interest expense in 2025 to decrease compared to 2024, but the amount of the decrease will depend on inventory levels, interest rate fluctuations and the amount of cash available to make prepayments on our floor plan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factors described above, income before income taxes decreased $15.4 million, or 14.9%, in the third quarter of 2025, compared to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$3.7 million, or 15.5%, in the third quarter of 2025, compared to the third quarter of 2024. We provided for taxes at a 22.9% effective rate in the third quarter of 2025 compared to 23.0% in the third quarter of 2024. We expect our effective tax rate to be approximately 22.5% to 24.0% of pretax income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Nine Months Ended September 30, 2025 Compared to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stated below, our variance explanations and future expectations with regard to the items discussed in this section are set forth in the discussion of the Three Months Ended September 30, 2025 Compared to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$132.9 million, or 2.3%, in the first nine months of 2025, compared to the first nine months of 2024.</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Aftermarket Products and Services revenues decreased $11.7 million, or 0.6%, in the first nine months of 2025, compared to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the sales of new and used commercial vehicles decreased $130.0 million, or 3.6%, in the first nine months of 2025, compared to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9,452 new Class 8 heavy-duty vehicles in the United States during the first nine months of 2025, a 13.2% decrease compared to 10,895 new Class 8 heavy-duty trucks in the first nine months of 2024.  According to A.C.T. Research, new U.S. Class 8 truck sales decreased 10.0% in the first nine months of 2025, compared to the first nine months of 2024. We sold 244 new Class 8 heavy-duty trucks in the first nine months of 2025 in Canada, a 26.3% decrease compared to 331 new Class 8 heavy-duty trucks in the first nine months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9,809 new Class 4 through 7 medium-duty commercial vehicles in the United States, including 1,038 buses, during the first nine months of 2025, a 6.3% increase compared to 10,076 new Class 4 through 7 medium-duty commercial vehicles, including 922 buses, in the first nine months of 2024. A.C.T. Research estimates that unit sales of new Class 4 through 7 commercial vehicles, including buses, in the U.S decreased 7.2% in the first nine months of 2025, compared to the first nine months of 2024. We sold 750 new Class 5 through 7 medium-duty commercial vehicles, including 291 buses, during the first nine months of 2025 in Canada, a 130.8% increase compared to 325 new Class 5 through 7 medium-duty commercial vehicles in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2,031 new light-duty commercial vehicles during the first nine months of 2025, a 29.6% increase compared to 1,567 light-duty commercial vehicles in the first nine months of 2024. We sold 5,298 used commercial vehicles during the first nine months of 2025, a 1.3% decrease compared to 5,370 used commercial vehicles in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Truck lease and rental revenues increased $12.0 million, or 4.5%, in the first nine months of 2025, compared to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decreased $0.8 million, or 4.5%, in the first nine months of 2025, compared to the first nine months of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$49.1 million, or 4.2%, in the first nine months of 2025, compared to the first nine months of 2024. Gross profit as a percentage of sales decreased to 19.6% in the first nine months of 2025, from 20.0% in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remained flat at 36.9% in the first nine months of 2025, compared to the first nine months of 2024. Gross profit for the Aftermarket Products and Services departments was $699.4 million in the first nine months of 2025, compared to $705.3 million in the first nine months of 2024. Gross profits from parts sales represented 59.1% of total gross profit for Aftermarket Products and Services operations in the first nine months of 2025 and 57.9% in the first nine months of 2024. Service and collision center operations represented 40.9% of total gross profit for Aftermarket Products and Services operations in the first nine months of 2025 and 42.1% in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decreased to 8.9% in the first nine months of 2025, from 9.1% in the first nine months of 2024.</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medium-duty commercial vehicle sales decreased to 7.8% in the first nine months of 2025, from 9.3% in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decreased to 14.1% in the first nine months of 2025, from 19.7% in the first nine months of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remained flat at 28.2% in the first nine months of 2025, compared to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increased $2.4 million, or 0.3%, in the first nine months of 2025, compared to the first nine months of 2024. SG&amp;A expenses equaled 13.4% of total revenue in the first nine months of 2025, compared to 13.0% in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$17.8 million, or 32.3%, in the first nine months of 2025, compared to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before income taxes decreased $37.6 million, or 12.5%, in the first nine months of 2025, compared to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$9.2 million in the first nine months of 2025, compared to the first nine months of 2024. We provided for taxes at a 23.6% rate in the first nine months of 2025 and a 23.0% rate in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2025, we had working capital of approximately $600.8 million, including $242.0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liquidity and capital resources based upon: (i) our cash, cash equivalents and restricted cash on hand; (ii) the funds that we expect to generate through future operations; (iii) current and expected borrowing availability under our secured line of credit, working capital lines of credit available under certain of our credit agreements and our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secured line of credit that provides for a maximum borrowing of $25.0 million. There were no advances outstanding under this secured line of credit on September 30, 2025, however, $18.7 million was pledged to secure various letters of credit related to self-insurance products, leaving $6.3 million available for future borrowings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long-term debt, floor plan financing agreements and our credit agreement with Wells Fargo Bank, National Association (“WF”) require us to satisfy various financial ratios such as the leverage ratio, the asset coverage ratio and the fixed charge coverage ratio.  As of September 30, 2025, we were in compliance with all debt covenants related to debt secured by lease and rental units, our floor plan credit agreements and the credit agreement with WF.  We do not anticipate any breach of these covenants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purchase or lease commercial vehicles worth approximately $275.0 million to $325.0 million for our leasing operations during 2025, depending on customer demand. We also expect to make capital expenditures for the purchase of recurring items such as computers, shop tools and equipment and company vehicles of approximately $35.0 million to $40.0 million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third quarter of 2025, we paid a cash dividend of $14.8 million. Additionally, on October 29, 2025, our Board of Directors declared a cash dividend of $0.19 per share of Class A and Class B common stock, to be paid on December 12, 2025, to all shareholders of record as of November 12, 2025.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2, 2024,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2024. On May 29, 2025, we announced an increase of $50 million to the existing stock repurchase program authorizing us to repurchase, from time to time, up to an aggregate of $200 million of our shares of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September 30, 2025, we had repurchased $130.6 million of our shares of common stock under the current stock repurchase program, excluding federal excise tax. The current stock repurchase program expires on December 31, 2025, and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under contract to construct a new facility on the land adjacent to our current location in Huntley, IL with a current budget of $23.8 million. We will continue to purchase vehicles for our lease and rental operations and authorize capital expenditures for the improvement or expansion of our existing dealership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2555"/>
        <w:gridCol w:w="60"/>
        <w:gridCol w:w="125"/>
        <w:gridCol w:w="755"/>
        <w:gridCol w:w="80"/>
        <w:gridCol w:w="60"/>
        <w:gridCol w:w="125"/>
        <w:gridCol w:w="755"/>
        <w:gridCol w:w="8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227,268</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79,928</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 include net income adjusted for non-cash items and the effects of changes in working capital.  During the first nine months of 2025, operating activities resulted in net cash provided by operations of $748.9 million.  Net cash provided by operating activities primarily consisted of $201.3 million in net income, as well as non-cash adjustments related to depreciation and amortization of $188.4 million, stock-based compensation of $26.8 million and cash inflows for deferred income tax expense of $19.3 million.  Cash provided by operating activities included an aggregate of $314.5 million net changes in operating assets and liabilities.  Included in the net change in operating assets and liabilities were cash inflows of $36.3 million from the increase in accounts payable, $82.6 million from the decrease in accounts receivable and $206.5 million from the decrease in inventories, which were offset by cash outflows of $18.3 million from the increase in other assets, $8.0 million from the decrease in customer deposits and $15.4 million from the increase in accrued expenses.  Most of our commercial vehicle inventory is financed through our floor plan credit agreements, though we may pay cash for certain of our commercial vehicle inventory from time-to-time depending on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2024, operating activities resulted in net cash provided by operations of $227.3 million. Net cash provided by operating activities primarily consisted of $229.7 million in net income, as well as non-cash adjustments related to depreciation and amortization of $175.5 million, gain on sale of property and equipment of $0.7 million, stock-based compensation of $24.9 million and the benefit for deferred income tax expense of $11.1 million. Cash used by operating activities included an aggregate of $212.7 million net changes in operating assets and liabilities. Included in the net change in operating assets and liabilities were cash inflows of $11.6 million from the increase in accounts payable, which was offset primarily by cash outflows of $108.1 million from the increase in inventories, $30.5 million from the increase in accounts receivable, $58.2 million from the decrease in customer deposits and $22.3 million from the decrease in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2025, cash used in investing activities was $330.2 million. Cash flows used in investing activities consist primarily of cash used for the acquisition of property and equipment and the acquisition of new businesses. See Note 12 of the Notes to Consolidated Financial Statements for a detailed discussion of the business acquisitions. Acquisition of property and equipment totaled $318.8 million during the first nine months of 2025 and consisted primarily of purchases of machine and shop equipment, furniture and fixtures, real estate and facilities, improvements to our existing dealership facilities and $261.3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2024, cash used in investing activities was $305.8 million. Cash flows used in investing activities consist primarily of cash used for the acquisition of property and equipment and the acquisition of new businesses. See Note 12 of the Notes to Consolidated Financial Statements for a detailed discussion of the business acquisitions. Acquisition of property and equipment totaled $304.2 million during the first nine months of 2025 and consisted primarily of purchases of machine and shop equipment, furniture and fixtures, real estate and facilities, improvements to our existing dealership facilities and $223.1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financing activities include borrowings and repayments of long-term debt and net proceeds of floor plan notes payable, non-trade. During the first nine months of 2025, financing activities resulted in net cash used in financing activities of $404.9 million, primarily related to $838.7 million from borrowings of long-term debt and $15.0 million from the issuance of shares related to equity compensation plans. These cash inflows were offset by cash outflows of $91.6 million from net draws on floor plan notes payable, non-trade, $997.5 million used for principal repayments of long-term debt and finance lease obligations, $124.4 million used for repurchases of common stock, $1.4 million for taxes paid related to net share settlement of equity awards and $43.7 million used for payment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2024, financing activities resulted in net cash provided by financing activities of $79.9 million, primarily related to $146.0 million from net draws on floor plan notes payable, non-trade, $1,621.3 million from borrowings of long-term debt and $20.2 million from the issuance of shares related to equity compensation plans. These cash inflows were offset by cash outflows of $1,634.5 million used for principal repayments of long-term debt and capital lease obligations, $9.8 million used for repurchases of common stock, $9.5 million for taxes paid related to net share settlement of equity awards and $41.2 million used for payment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a credit agreement with WF, with the lenders signatory thereto (the “WF Lenders”) and WF as administrative agent (the “WF Credit Agreement”).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Secured Overnight Financing Rate (“SOFR”) plus (i) 1.25% or (ii) 1.5%, depending on our consolidated leverage ratio or (B) on or after the SOFR transition date, SOFR plus (i) 1.25% or (ii) 1.5%, depending on our consolidated leverage ratio. Effective September 30, 2025, the WF Credit Agreement was amended to, amongst other things, extend the expiration date to September 30, 2028, although, upon the occurrence and during the continuance of an event of default, the agent has the right to, or upon the request of the required lenders must, terminate the commitments and declare all outstanding principal and interest due and payable. We may terminate the commitments at any time. On September 30, 2025, we had approximately $1.3 million outstanding under the WF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entered into that certain Second Amended and Restated Inventory Financing and Purchase Money Security Agreement with PACCAR Leasing Company (“PLC”), a division of Paccar Financing Corp.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September 30, 2025, we had approximately $220.0 million outstanding under the PLC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that certain BMO Revolving Lease and Rental Credit Agreement (the “RTC Canada Revolving Credit Agreement”) with Bank of Montreal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Canada Revolving Credit Agreement bear interest per annum payable monthly at Canadian Overnight Repo Rate Average (“CORRA”), plus 1.72%. The RTC Canada Revolving Credit Agreement expires on September 14, 2026. On September 30, 2025, we had approximately $53.9 million CAD outstanding under the RTC Canada Revolving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may finance the commercial vehicle under the credit agreements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16, 2024, we entered into the Inventory Financing and Purchase Money Security Agreement (the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September 30, 2025, we had approximately $480.0 million outstanding under the PFC Floor Plan Credit Agreement. Pursuant to a written agreement with Peterbilt, we pay Peterbilt directly for inventory financed pursuant to the PFC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Fifth Amended and Restate Credit Agreement (the “BMO Floor Plan Credit Agreement”) (as amended) with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September 30, 2025, we had approximately $317.9 million outstanding under the BMO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2022, RTC Canada entered into that certain Amended and Restated BMO Wholesale Financing and Security Agreement (the “RTC Canada Floor Plan Credit Agreement”) with BMO. Pursuant to the terms of the RTC Canada Floor Plan Credit Agreement (as amended), BMO originally agreed to make up to $116.7 million CAD of revolving credit loans to finance RTC Canada’s purchase of new and used vehicle inventory. On June 13, 2025, the RTC Canada Floor Plan Credit Agreement was amended to increase the loan commitment to $171.7 million CAD.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The RTC Canada Floor Plan Credit Agreement expires on September 14, 2026. On September 30, 2025, we had approximately $97.3 million CAD outstanding under the RTC Canada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30, 2025, our backlog of commercial vehicle orders was approximately $647.6 million, compared to a backlog of commercial vehicle orders of approximately $1,332.9 million on September 30, 2024. The decrease in our backlog primarily reflects the difficult industry conditions caused by the ongoing freight recession and general economic uncertainty, in addition to uncertainty with respect to U.S. trade policy and engine emissions regulations, which continue to negatively impact demand for new commercial vehicles.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several of our major fleet customers are included in our backlog as of September 30, 2025, and we expect to fill most of our backlog orders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Cyclicality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197,000 in 2016,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Environmental Standards and Other Governmental Regulations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involving the use, handling, storage, and disposal of hazardous and nonhazardous materials are subject to the requirements of the federal Resource Conservation and Recovery Act, or RCRA, and comparable state and provincial statutes. Pursuant to these laws, federal state and provincial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have liability in connection with materials that were sent to third 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federal and state laws and regulations governing commercial vehicle engine emissions. The Environmental Protection Agency (“EPA”) and the National Highway Traffic Safety Administration on behalf of the U.S. Department of Transportation, previously issued rules associated with reducing greenhouse gas (“GHG”) and Nitrogen Oxide (“NOx”) emissions and improving the fuel efficiency of medium and heavy-duty trucks and buses. One of these rules, referred to herein as the “EPA 2027 Low NOx” rule, requires commercial vehicle engines to emit significantly less NOx than most such engines do today, beginning in model year 2027. In March 2024, the EPA issued an additional rule associated with reducing GHG emissions from heavy-duty trucks and buses for model years 2027 through 2032 (the “GHG-3” rule). While the GHG-3 rule claims to be technology neutral, in order to comply with the rule, commercial vehicle engine manufacturers would be required to manufacture an increasing percentage of “zero-emission” vehicles over time, which would likely reduce the number of diesel internal combustion engines (“ICE”) vehicles that could be manufactured over that time period. Similarly, the California Air Resources Board (“CARB”) has adopted rules and regulations that are intended to reduce NOx emissions (the “HD Omnibus” rule), phase out the sale of ICE commercial vehicles over time by requiring a certain percentage of each manufacturer’s commercial vehicles sold within the state to be “zero-emission vehicles” (the “Advanced Clean Trucks” rule) and require fleets to purchase a certain number of “zero-emission vehicles” (the “Advanced Clean Fleet”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EPA previously granted waivers to CARB with respect to the HD Omnibus and Advanced Clean Truck rules, each of which became effective in January 2024. CARB withdrew its request for a waiver from the EPA with respect to the Advanced Clean Fleet rule in January 2025. Further, in February 2025, the EPA asked Congress to review the previously granted waivers that CARB received with respect to the HD Omnibus and Advanced Clean Truck rules. Congress voted to rescind the waivers, and in June 2025, President Trump signed Congress’ resolutions rescinding the waivers. The State of California and ten other states are currently challenging Congress’ authority to revoke the waivers. In addition, in July 2025, the EPA issued a proposal to rescind President Obama’s 2009 findings that GHG emissions endanger public human health and that vehicle emissions contribute to the GHG emissions (the “2009 Endangerment Finding”). The EPA’s proposal is currently out for public comment, but it is widely expected that that the GHG-3 rule will be repealed. In addition, it is also widely expected that the EPA 2027 Low NOx rule will be modified or repealed during 2025. It is also worth noting that there are currently multiple lawsuits pending where plaintiffs are challenging CARB’s rules on the basis that, amongst other things, such rules are preempted by other federal laws and that the EPA exceeded its authority in granting the waivers with respect to the HD Omnibus and Advanced Clean Truck rules. There are also multiple lawsuits pending where plaintiffs are challenging the GHG-3 rule on multiple grounds, including that the EPA exceeded its statutory authority in creating the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It is not clear at this time if the Clean Truck Partnership will survive in light of all of the legal challenges questioning CARB’s authority to regulate engine emissions regulations, in addition to legal challenges to the Clean Truck Partnership itself. A group of seventeen U.S. states and the District of Columbia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although multiple of these states have recently announced plans to delay various aspects of CARB’s regulations. If CARB were to prevail in its legal challenges against Congress’ recission of the EPA waivers, attaining CARB’s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quan_qual"/>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market risk through interest rates related to our floor plan financing agreements, the WF Credit Agreement, the PLC Agreement, the RTC Canada Revolving Agreement and discount rates related to finance sales. Our floor plan debt is based on SOFR and CORRA, the WF Credit Agreement is based on SOFR, the RTC Canada Revolving Agreement is based on CORRA and the PLC Agreement is based on the prime rate. As of September 30, 2025, we had floor plan borrowings and borrowings from PFC, BMO Bank, WF, PLC and BMO in the amount of $1,120.9 million. Assuming an increase or decrease in SOFR, CORRA or the prime rate of 100 basis points, annual interest expense could correspondingly increase or decrease by approximately $11.2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3" w:name="controls_procedure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2025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change in our internal control over financial reporting that occurred during the three months ended September 30, 2025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part2_other"/>
      <w:bookmarkEnd w:id="14"/>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legal_proceedings"/>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are involved in litigation arising out of our operations in the ordinary course of business. We maintain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September 30, 2025,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_factors"/>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attempt to identify, manage and mitigate risks and uncertainties associated with our business to the extent practical under the circumstances, some level of risk and uncertainty will always be present. Item 1A, Part I of our 2024 Annual Report on Form 10-K (the “2024 Annual Report”) describes some of the risks and uncertainties associated with our business that have the potential to materially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material change in our risk factors disclosed in our 2024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unregistered_sales"/>
      <w:bookmarkEnd w:id="17"/>
      <w:r>
        <w:rPr>
          <w:rFonts w:ascii="Times New Roman" w:hAnsi="Times New Roman"/>
          <w:b/>
          <w:caps w:val="false"/>
          <w:smallCaps w:val="false"/>
          <w:sz w:val="20"/>
        </w:rPr>
        <w:t xml:space="preserve">ITEM 2. Unregistered Sales of Equity Securities and Use of Proceeds.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did not make any unregistered sales of equity securities during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the Company’s stock repurchase activity for the third quarter of 2025 is as follows:</w:t>
      </w:r>
    </w:p>
    <w:p>
      <w:pPr>
        <w:pStyle w:val="TextBody"/>
        <w:bidi w:val="0"/>
        <w:spacing w:before="0" w:after="0"/>
        <w:ind w:left="0" w:right="0" w:hanging="0"/>
        <w:jc w:val="left"/>
        <w:rPr>
          <w:caps w:val="false"/>
          <w:smallCaps w:val="false"/>
        </w:rPr>
      </w:pPr>
      <w:r>
        <w:rPr>
          <w:caps w:val="false"/>
          <w:smallCaps w:val="false"/>
        </w:rPr>
        <w:t> </w:t>
      </w:r>
    </w:p>
    <w:tbl>
      <w:tblPr>
        <w:tblW w:w="8456" w:type="dxa"/>
        <w:jc w:val="left"/>
        <w:tblInd w:w="0" w:type="dxa"/>
        <w:tblLayout w:type="fixed"/>
        <w:tblCellMar>
          <w:top w:w="0" w:type="dxa"/>
          <w:left w:w="0" w:type="dxa"/>
          <w:bottom w:w="28" w:type="dxa"/>
          <w:right w:w="0" w:type="dxa"/>
        </w:tblCellMar>
      </w:tblPr>
      <w:tblGrid>
        <w:gridCol w:w="2840"/>
        <w:gridCol w:w="60"/>
        <w:gridCol w:w="99"/>
        <w:gridCol w:w="1165"/>
        <w:gridCol w:w="60"/>
        <w:gridCol w:w="60"/>
        <w:gridCol w:w="103"/>
        <w:gridCol w:w="846"/>
        <w:gridCol w:w="245"/>
        <w:gridCol w:w="60"/>
        <w:gridCol w:w="99"/>
        <w:gridCol w:w="1165"/>
        <w:gridCol w:w="60"/>
        <w:gridCol w:w="60"/>
        <w:gridCol w:w="87"/>
        <w:gridCol w:w="1387"/>
        <w:gridCol w:w="60"/>
      </w:tblGrid>
      <w:tr>
        <w:trPr/>
        <w:tc>
          <w:tcPr>
            <w:tcW w:w="28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Paid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Share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as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Part of a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Announced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 Value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that May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Yet be Purchased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the Plans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(3)</w:t>
            </w:r>
          </w:p>
        </w:tc>
        <w:tc>
          <w:tcPr>
            <w:tcW w:w="60"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 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11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ind w:left="0" w:right="0" w:hanging="0"/>
              <w:jc w:val="left"/>
              <w:rPr/>
            </w:pPr>
            <w:r>
              <w:rP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11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ind w:left="0" w:right="0" w:hanging="0"/>
              <w:jc w:val="left"/>
              <w:rPr/>
            </w:pPr>
            <w:r>
              <w:rPr/>
              <w:t> </w:t>
            </w:r>
          </w:p>
        </w:tc>
        <w:tc>
          <w:tcPr>
            <w:tcW w:w="138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 August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11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ind w:left="0" w:right="0" w:hanging="0"/>
              <w:jc w:val="left"/>
              <w:rPr/>
            </w:pPr>
            <w:r>
              <w:rP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p>
        </w:tc>
        <w:tc>
          <w:tcPr>
            <w:tcW w:w="2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11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138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75,972,983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ind w:left="0" w:right="0" w:hanging="0"/>
              <w:jc w:val="left"/>
              <w:rPr/>
            </w:pPr>
            <w:r>
              <w:rP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56.21</w:t>
            </w:r>
          </w:p>
        </w:tc>
        <w:tc>
          <w:tcPr>
            <w:tcW w:w="2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ind w:left="0" w:right="0" w:hanging="0"/>
              <w:jc w:val="left"/>
              <w:rPr/>
            </w:pPr>
            <w:r>
              <w:rPr/>
              <w:t> </w:t>
            </w:r>
          </w:p>
        </w:tc>
        <w:tc>
          <w:tcPr>
            <w:tcW w:w="138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69,425,753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846"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average price paid per share does not give effect to any fees, commissions or other costs associated with the repurchase of such shares.</w:t>
            </w:r>
          </w:p>
        </w:tc>
      </w:tr>
    </w:tbl>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86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shares represent Class A Common Stock and/or Class B Common Stock repurchased by the Company.</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2, 2024, we announced the approval of a new stock repurchase program, effective December 3, 2024, authorizing management to repurchase, from time to time, up to an aggregate of $150.0 million of our shares of Class A common stock and/or Class B common stock.</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29, 2025, we announced the approval of a $50.0 million increase to the stock repurchase program, effective May 29, 2025, authorizing management to repurchase, from time to time, up to an aggregate of $200.0 million of our shares of Class A common stock and/or Class B common stock.</w:t>
            </w:r>
          </w:p>
        </w:tc>
      </w:tr>
    </w:tbl>
    <w:tbl>
      <w:tblPr>
        <w:tblW w:w="8080" w:type="dxa"/>
        <w:jc w:val="left"/>
        <w:tblInd w:w="0" w:type="dxa"/>
        <w:tblLayout w:type="fixed"/>
        <w:tblCellMar>
          <w:top w:w="0" w:type="dxa"/>
          <w:left w:w="0" w:type="dxa"/>
          <w:bottom w:w="0" w:type="dxa"/>
          <w:right w:w="0" w:type="dxa"/>
        </w:tblCellMar>
      </w:tblPr>
      <w:tblGrid>
        <w:gridCol w:w="245"/>
        <w:gridCol w:w="783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78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46,931 shares of Class A Common Stock at an average price paid per share of $57.00.</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(6)</w:t>
            </w:r>
          </w:p>
        </w:tc>
        <w:tc>
          <w:tcPr>
            <w:tcW w:w="99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68,019 shares of Class A Common Stock at an average price paid per share of $55.36 and 48,392 shares of Class B Common Stock at an average price paid per share of $57.41.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9" w:name="mine_safety"/>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0" w:name="other_info"/>
      <w:bookmarkEnd w:id="20"/>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2025,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60"/>
        <w:gridCol w:w="9225"/>
      </w:tblGrid>
      <w:tr>
        <w:trPr/>
        <w:tc>
          <w:tcPr>
            <w:tcW w:w="9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2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Exhibit Title</w:t>
            </w:r>
            <w:r>
              <w:rPr>
                <w:rFonts w:ascii="Times New Roman;Times;serif" w:hAnsi="Times New Roman;Times;serif"/>
                <w:caps w:val="false"/>
                <w:smallCaps w:val="false"/>
                <w:sz w:val="20"/>
              </w:rPr>
              <w:t>         </w:t>
            </w:r>
          </w:p>
        </w:tc>
      </w:tr>
      <w:tr>
        <w:trPr/>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caps w:val="false"/>
                  <w:smallCaps w:val="false"/>
                  <w:sz w:val="20"/>
                </w:rPr>
                <w:t>Restated Articles of Incorporation of Rush Enterprises, Inc. (incorporated herein by reference to Exhibit 3.1 of the Company’s Quarterly Report on Form 10-Q (File No. 000-20797) for the quarter ended June 30, 2008)</w:t>
              </w:r>
            </w:hyperlink>
          </w:p>
        </w:tc>
      </w:tr>
      <w:tr>
        <w:trPr/>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caps w:val="false"/>
                  <w:smallCaps w:val="false"/>
                  <w:sz w:val="20"/>
                </w:rPr>
                <w:t>Certificate of Amendment to the Restated Articles of Incorporation of Rush Enterprises, Inc. (incorporated herein by reference to Exhibit 3.2 of the Company’s Quarterly Report on Form 10-Q (File No. 000-20797) for the quarter ended June 30, 2023)</w:t>
              </w:r>
            </w:hyperlink>
          </w:p>
        </w:tc>
      </w:tr>
      <w:tr>
        <w:trPr/>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caps w:val="false"/>
                  <w:smallCaps w:val="false"/>
                  <w:sz w:val="20"/>
                </w:rPr>
                <w:t>Rush Enterprises, Inc. Amended and Restated Bylaws (incorporated herein by reference to Exhibit 3.1 of the Company’s Current Report on Form 8-K (File No. 000-20797) filed May 21, 2013)</w:t>
              </w:r>
            </w:hyperlink>
          </w:p>
        </w:tc>
      </w:tr>
      <w:tr>
        <w:trPr/>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caps w:val="false"/>
                  <w:smallCaps w:val="false"/>
                  <w:sz w:val="20"/>
                </w:rPr>
                <w:t>First Amendment to Amended and Restated Bylaws of Rush Enterprises, Inc. (incorporated herein by reference to Exhibit 3.1 of the Company’s Current Report on Form 8-K (File No. 000-20797) filed May 24, 2021)</w:t>
              </w:r>
            </w:hyperlink>
          </w:p>
        </w:tc>
      </w:tr>
      <w:tr>
        <w:trPr/>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rPr>
                <w:t>Fourth Amendment to Credit Agreement, dated as of September 30, 2025, by and among the Company and certain of its subsidiaries, the Lenders party thereto and Wells Fargo Bank N.A., as Administrative Agent. (incorporated herein by reference to Exhibit 10.1 of the Company’s Current Report on Form 8-K (File No. 000-20797) filed October 3, 2025)</w:t>
              </w:r>
            </w:hyperlink>
          </w:p>
        </w:tc>
      </w:tr>
      <w:tr>
        <w:trPr/>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w:anchor="ex_880975.htm">
              <w:r>
                <w:rPr>
                  <w:rStyle w:val="InternetLink"/>
                  <w:rFonts w:ascii="Times New Roman;Times;serif" w:hAnsi="Times New Roman;Times;serif"/>
                  <w:caps w:val="false"/>
                  <w:smallCaps w:val="false"/>
                  <w:sz w:val="20"/>
                </w:rPr>
                <w:t>Certification of CEO pursuant to Rules 13a-14(a) and 15d-14(a) adopted pursuant to Section 302 of the Sarbanes-Oxley Act of 2002.</w:t>
              </w:r>
            </w:hyperlink>
          </w:p>
        </w:tc>
      </w:tr>
      <w:tr>
        <w:trPr/>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w:anchor="ex_880976.htm">
              <w:r>
                <w:rPr>
                  <w:rStyle w:val="InternetLink"/>
                  <w:rFonts w:ascii="Times New Roman;Times;serif" w:hAnsi="Times New Roman;Times;serif"/>
                  <w:caps w:val="false"/>
                  <w:smallCaps w:val="false"/>
                  <w:sz w:val="20"/>
                </w:rPr>
                <w:t>Certification of CFO pursuant to Rules 13a-14(a) and 15d-14(a) adopted pursuant to Section 302 of the Sarbanes-Oxley Act of 2002.</w:t>
              </w:r>
            </w:hyperlink>
          </w:p>
        </w:tc>
      </w:tr>
      <w:tr>
        <w:trPr/>
        <w:tc>
          <w:tcPr>
            <w:tcW w:w="92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w:anchor="ex_880977.htm">
              <w:r>
                <w:rPr>
                  <w:rStyle w:val="InternetLink"/>
                  <w:rFonts w:ascii="Times New Roman;Times;serif" w:hAnsi="Times New Roman;Times;serif"/>
                  <w:caps w:val="false"/>
                  <w:smallCaps w:val="false"/>
                  <w:sz w:val="20"/>
                </w:rPr>
                <w:t>Certification of CEO pursuant to 18 U.S.C. Section 1350 as adopted pursuant to Section 906 of the Sarbanes-Oxley Act of 2002.</w:t>
              </w:r>
            </w:hyperlink>
          </w:p>
        </w:tc>
      </w:tr>
      <w:tr>
        <w:trPr/>
        <w:tc>
          <w:tcPr>
            <w:tcW w:w="92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pPr>
            <w:hyperlink w:anchor="ex_880978.htm">
              <w:r>
                <w:rPr>
                  <w:rStyle w:val="InternetLink"/>
                  <w:rFonts w:ascii="Times New Roman;Times;serif" w:hAnsi="Times New Roman;Times;serif"/>
                  <w:caps w:val="false"/>
                  <w:smallCaps w:val="false"/>
                  <w:sz w:val="20"/>
                </w:rPr>
                <w:t>Certification of CFO pursuant to 18 U.S.C. Section 1350 as adopted pursuant to Section 906 of the Sarbanes-Oxley Act of 2002.</w:t>
              </w:r>
            </w:hyperlink>
          </w:p>
        </w:tc>
      </w:tr>
      <w:tr>
        <w:trPr/>
        <w:tc>
          <w:tcPr>
            <w:tcW w:w="9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XBRL Instance Document – The instance document does not appear in the Interactive Data File because its XBRL tags are embedded within the inline XBRL document</w:t>
            </w:r>
          </w:p>
        </w:tc>
      </w:tr>
      <w:tr>
        <w:trPr/>
        <w:tc>
          <w:tcPr>
            <w:tcW w:w="9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9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9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9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9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9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2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25"/>
        <w:gridCol w:w="489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270" w:type="dxa"/>
        <w:jc w:val="left"/>
        <w:tblInd w:w="0" w:type="dxa"/>
        <w:tblLayout w:type="fixed"/>
        <w:tblCellMar>
          <w:top w:w="0" w:type="dxa"/>
          <w:left w:w="0" w:type="dxa"/>
          <w:bottom w:w="0" w:type="dxa"/>
          <w:right w:w="0" w:type="dxa"/>
        </w:tblCellMar>
      </w:tblPr>
      <w:tblGrid>
        <w:gridCol w:w="125"/>
        <w:gridCol w:w="11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2" w:name="signatures"/>
      <w:bookmarkEnd w:id="22"/>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180"/>
        <w:gridCol w:w="365"/>
        <w:gridCol w:w="3125"/>
        <w:gridCol w:w="60"/>
      </w:tblGrid>
      <w:tr>
        <w:trPr/>
        <w:tc>
          <w:tcPr>
            <w:tcW w:w="2180" w:type="dxa"/>
            <w:tcBorders/>
          </w:tcPr>
          <w:p>
            <w:pPr>
              <w:pStyle w:val="TableContents"/>
              <w:bidi w:val="0"/>
              <w:spacing w:before="0" w:after="0"/>
              <w:ind w:left="0" w:right="0" w:hanging="0"/>
              <w:jc w:val="left"/>
              <w:rPr/>
            </w:pPr>
            <w:r>
              <w:rPr/>
              <w:t> </w:t>
            </w:r>
          </w:p>
        </w:tc>
        <w:tc>
          <w:tcPr>
            <w:tcW w:w="349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RUSH ENTERPRISES, INC.</w:t>
            </w:r>
          </w:p>
        </w:tc>
        <w:tc>
          <w:tcPr>
            <w:tcW w:w="60" w:type="dxa"/>
            <w:tcBorders/>
          </w:tcPr>
          <w:p>
            <w:pPr>
              <w:pStyle w:val="TableContents"/>
              <w:bidi w:val="0"/>
              <w:spacing w:before="0" w:after="0"/>
              <w:ind w:left="0" w:right="0" w:hanging="0"/>
              <w:jc w:val="left"/>
              <w:rPr/>
            </w:pPr>
            <w:r>
              <w:rPr/>
              <w:t> </w:t>
            </w:r>
          </w:p>
        </w:tc>
      </w:tr>
      <w:tr>
        <w:trPr/>
        <w:tc>
          <w:tcPr>
            <w:tcW w:w="218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2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180"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31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25"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1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12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W.M. “RUSTY” RUSH</w:t>
            </w:r>
          </w:p>
        </w:tc>
        <w:tc>
          <w:tcPr>
            <w:tcW w:w="60" w:type="dxa"/>
            <w:tcBorders/>
          </w:tcPr>
          <w:p>
            <w:pPr>
              <w:pStyle w:val="TableContents"/>
              <w:bidi w:val="0"/>
              <w:spacing w:before="0" w:after="0"/>
              <w:ind w:left="0" w:right="0" w:hanging="0"/>
              <w:jc w:val="left"/>
              <w:rPr/>
            </w:pPr>
            <w:r>
              <w:rPr/>
              <w:t> </w:t>
            </w:r>
          </w:p>
        </w:tc>
      </w:tr>
      <w:tr>
        <w:trPr/>
        <w:tc>
          <w:tcPr>
            <w:tcW w:w="218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 “Rusty” Rush</w:t>
            </w:r>
          </w:p>
        </w:tc>
        <w:tc>
          <w:tcPr>
            <w:tcW w:w="60" w:type="dxa"/>
            <w:tcBorders/>
          </w:tcPr>
          <w:p>
            <w:pPr>
              <w:pStyle w:val="TableContents"/>
              <w:bidi w:val="0"/>
              <w:spacing w:before="0" w:after="0"/>
              <w:ind w:left="0" w:right="0" w:hanging="0"/>
              <w:jc w:val="left"/>
              <w:rPr/>
            </w:pPr>
            <w:r>
              <w:rPr/>
              <w:t> </w:t>
            </w:r>
          </w:p>
        </w:tc>
      </w:tr>
      <w:tr>
        <w:trPr/>
        <w:tc>
          <w:tcPr>
            <w:tcW w:w="218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2180"/>
        <w:gridCol w:w="365"/>
        <w:gridCol w:w="3635"/>
        <w:gridCol w:w="60"/>
      </w:tblGrid>
      <w:tr>
        <w:trPr/>
        <w:tc>
          <w:tcPr>
            <w:tcW w:w="21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63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L. KELLER </w:t>
            </w:r>
          </w:p>
        </w:tc>
        <w:tc>
          <w:tcPr>
            <w:tcW w:w="60" w:type="dxa"/>
            <w:tcBorders/>
          </w:tcPr>
          <w:p>
            <w:pPr>
              <w:pStyle w:val="TableContents"/>
              <w:bidi w:val="0"/>
              <w:spacing w:before="0" w:after="0"/>
              <w:ind w:left="0" w:right="0" w:hanging="0"/>
              <w:jc w:val="left"/>
              <w:rPr/>
            </w:pPr>
            <w:r>
              <w:rPr/>
              <w:t> </w:t>
            </w:r>
          </w:p>
        </w:tc>
      </w:tr>
      <w:tr>
        <w:trPr/>
        <w:tc>
          <w:tcPr>
            <w:tcW w:w="218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6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L. Keller</w:t>
            </w:r>
          </w:p>
        </w:tc>
        <w:tc>
          <w:tcPr>
            <w:tcW w:w="60" w:type="dxa"/>
            <w:tcBorders/>
          </w:tcPr>
          <w:p>
            <w:pPr>
              <w:pStyle w:val="TableContents"/>
              <w:bidi w:val="0"/>
              <w:spacing w:before="0" w:after="0"/>
              <w:ind w:left="0" w:right="0" w:hanging="0"/>
              <w:jc w:val="left"/>
              <w:rPr/>
            </w:pPr>
            <w:r>
              <w:rPr/>
              <w:t> </w:t>
            </w:r>
          </w:p>
        </w:tc>
      </w:tr>
      <w:tr>
        <w:trPr/>
        <w:tc>
          <w:tcPr>
            <w:tcW w:w="218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6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Pr>
          <w:p>
            <w:pPr>
              <w:pStyle w:val="TableContents"/>
              <w:bidi w:val="0"/>
              <w:spacing w:before="0" w:after="0"/>
              <w:ind w:left="0" w:right="0" w:hanging="0"/>
              <w:jc w:val="left"/>
              <w:rPr/>
            </w:pPr>
            <w:r>
              <w:rPr/>
              <w:t> </w:t>
            </w:r>
          </w:p>
        </w:tc>
      </w:tr>
    </w:tbl>
    <w:p>
      <w:pPr>
        <w:pStyle w:val="TextBody"/>
        <w:bidi w:val="0"/>
        <w:spacing w:before="0" w:after="0"/>
        <w:ind w:left="0" w:right="0" w:firstLine="1260"/>
        <w:jc w:val="both"/>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31</w:t>
      </w:r>
    </w:p>
    <w:p>
      <w:pPr>
        <w:pStyle w:val="TextBody"/>
        <w:bidi w:val="0"/>
        <w:spacing w:before="0" w:after="0"/>
        <w:ind w:left="0" w:right="0" w:hanging="0"/>
        <w:jc w:val="right"/>
        <w:rPr>
          <w:rFonts w:ascii="Times New Roman" w:hAnsi="Times New Roman"/>
          <w:caps w:val="false"/>
          <w:smallCaps w:val="false"/>
          <w:sz w:val="20"/>
          <w:u w:val="single"/>
        </w:rPr>
      </w:pPr>
      <w:bookmarkStart w:id="23" w:name="ex_880975.htm"/>
      <w:bookmarkStart w:id="24" w:name="ksex_880975"/>
      <w:bookmarkEnd w:id="23"/>
      <w:bookmarkEnd w:id="24"/>
      <w:r>
        <w:rPr>
          <w:rFonts w:ascii="Times New Roman" w:hAnsi="Times New Roman"/>
          <w:caps w:val="false"/>
          <w:smallCaps w:val="false"/>
          <w:sz w:val="20"/>
          <w:u w:val="single"/>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W.M. “Rusty” Rush,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1"/>
        <w:gridCol w:w="339"/>
        <w:gridCol w:w="3762"/>
        <w:gridCol w:w="1123"/>
      </w:tblGrid>
      <w:tr>
        <w:trPr/>
        <w:tc>
          <w:tcPr>
            <w:tcW w:w="498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3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62"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W.M. “RUSTY” RUSH </w:t>
            </w:r>
          </w:p>
        </w:tc>
        <w:tc>
          <w:tcPr>
            <w:tcW w:w="1123" w:type="dxa"/>
            <w:tcBorders/>
          </w:tcPr>
          <w:p>
            <w:pPr>
              <w:pStyle w:val="TableContents"/>
              <w:bidi w:val="0"/>
              <w:spacing w:before="0" w:after="0"/>
              <w:ind w:left="0" w:right="0" w:hanging="0"/>
              <w:jc w:val="left"/>
              <w:rPr/>
            </w:pPr>
            <w:r>
              <w:rPr/>
              <w:t> </w:t>
            </w:r>
          </w:p>
        </w:tc>
      </w:tr>
      <w:tr>
        <w:trPr/>
        <w:tc>
          <w:tcPr>
            <w:tcW w:w="4981" w:type="dxa"/>
            <w:tcBorders/>
          </w:tcPr>
          <w:p>
            <w:pPr>
              <w:pStyle w:val="TableContents"/>
              <w:bidi w:val="0"/>
              <w:spacing w:before="0" w:after="0"/>
              <w:ind w:left="0" w:right="0" w:hanging="0"/>
              <w:jc w:val="left"/>
              <w:rPr/>
            </w:pPr>
            <w:r>
              <w:rPr/>
              <w:t> </w:t>
            </w:r>
          </w:p>
        </w:tc>
        <w:tc>
          <w:tcPr>
            <w:tcW w:w="339" w:type="dxa"/>
            <w:tcBorders/>
          </w:tcPr>
          <w:p>
            <w:pPr>
              <w:pStyle w:val="TableContents"/>
              <w:bidi w:val="0"/>
              <w:spacing w:before="0" w:after="0"/>
              <w:ind w:left="0" w:right="0" w:hanging="0"/>
              <w:jc w:val="left"/>
              <w:rPr/>
            </w:pPr>
            <w:r>
              <w:rPr/>
              <w:t> </w:t>
            </w:r>
          </w:p>
        </w:tc>
        <w:tc>
          <w:tcPr>
            <w:tcW w:w="376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 “Rusty” Rush</w:t>
            </w:r>
          </w:p>
        </w:tc>
        <w:tc>
          <w:tcPr>
            <w:tcW w:w="1123" w:type="dxa"/>
            <w:tcBorders/>
          </w:tcPr>
          <w:p>
            <w:pPr>
              <w:pStyle w:val="TableContents"/>
              <w:bidi w:val="0"/>
              <w:spacing w:before="0" w:after="0"/>
              <w:ind w:left="0" w:right="0" w:hanging="0"/>
              <w:jc w:val="left"/>
              <w:rPr/>
            </w:pPr>
            <w:r>
              <w:rPr/>
              <w:t> </w:t>
            </w:r>
          </w:p>
        </w:tc>
      </w:tr>
      <w:tr>
        <w:trPr/>
        <w:tc>
          <w:tcPr>
            <w:tcW w:w="4981" w:type="dxa"/>
            <w:tcBorders/>
          </w:tcPr>
          <w:p>
            <w:pPr>
              <w:pStyle w:val="TableContents"/>
              <w:bidi w:val="0"/>
              <w:spacing w:before="0" w:after="0"/>
              <w:ind w:left="0" w:right="0" w:hanging="0"/>
              <w:jc w:val="left"/>
              <w:rPr/>
            </w:pPr>
            <w:r>
              <w:rPr/>
              <w:t> </w:t>
            </w:r>
          </w:p>
        </w:tc>
        <w:tc>
          <w:tcPr>
            <w:tcW w:w="339" w:type="dxa"/>
            <w:tcBorders/>
          </w:tcPr>
          <w:p>
            <w:pPr>
              <w:pStyle w:val="TableContents"/>
              <w:bidi w:val="0"/>
              <w:spacing w:before="0" w:after="0"/>
              <w:ind w:left="0" w:right="0" w:hanging="0"/>
              <w:jc w:val="left"/>
              <w:rPr/>
            </w:pPr>
            <w:r>
              <w:rPr/>
              <w:t> </w:t>
            </w:r>
          </w:p>
        </w:tc>
        <w:tc>
          <w:tcPr>
            <w:tcW w:w="376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12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5" w:name="ex_880976.htm"/>
      <w:bookmarkStart w:id="26" w:name="ksex_880976"/>
      <w:bookmarkEnd w:id="25"/>
      <w:bookmarkEnd w:id="26"/>
      <w:r>
        <w:rPr>
          <w:rFonts w:ascii="Times New Roman" w:hAnsi="Times New Roman"/>
          <w:caps w:val="false"/>
          <w:smallCaps w:val="false"/>
          <w:sz w:val="20"/>
          <w:u w:val="single"/>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Steven L. Keller,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1"/>
        <w:gridCol w:w="340"/>
        <w:gridCol w:w="3738"/>
        <w:gridCol w:w="1126"/>
      </w:tblGrid>
      <w:tr>
        <w:trPr/>
        <w:tc>
          <w:tcPr>
            <w:tcW w:w="500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38"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L. KELLER </w:t>
            </w:r>
          </w:p>
        </w:tc>
        <w:tc>
          <w:tcPr>
            <w:tcW w:w="1126" w:type="dxa"/>
            <w:tcBorders/>
          </w:tcPr>
          <w:p>
            <w:pPr>
              <w:pStyle w:val="TableContents"/>
              <w:bidi w:val="0"/>
              <w:spacing w:before="0" w:after="0"/>
              <w:ind w:left="0" w:right="0" w:hanging="0"/>
              <w:jc w:val="left"/>
              <w:rPr/>
            </w:pPr>
            <w:r>
              <w:rPr/>
              <w:t> </w:t>
            </w:r>
          </w:p>
        </w:tc>
      </w:tr>
      <w:tr>
        <w:trPr/>
        <w:tc>
          <w:tcPr>
            <w:tcW w:w="5001" w:type="dxa"/>
            <w:tcBorders/>
          </w:tcPr>
          <w:p>
            <w:pPr>
              <w:pStyle w:val="TableContents"/>
              <w:bidi w:val="0"/>
              <w:spacing w:before="0" w:after="0"/>
              <w:ind w:left="0" w:right="0" w:hanging="0"/>
              <w:jc w:val="left"/>
              <w:rPr/>
            </w:pPr>
            <w:r>
              <w:rPr/>
              <w:t> </w:t>
            </w:r>
          </w:p>
        </w:tc>
        <w:tc>
          <w:tcPr>
            <w:tcW w:w="340" w:type="dxa"/>
            <w:tcBorders/>
          </w:tcPr>
          <w:p>
            <w:pPr>
              <w:pStyle w:val="TableContents"/>
              <w:bidi w:val="0"/>
              <w:spacing w:before="0" w:after="0"/>
              <w:ind w:left="0" w:right="0" w:hanging="0"/>
              <w:jc w:val="left"/>
              <w:rPr/>
            </w:pPr>
            <w:r>
              <w:rPr/>
              <w:t> </w:t>
            </w:r>
          </w:p>
        </w:tc>
        <w:tc>
          <w:tcPr>
            <w:tcW w:w="373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L. Keller</w:t>
            </w:r>
          </w:p>
        </w:tc>
        <w:tc>
          <w:tcPr>
            <w:tcW w:w="1126" w:type="dxa"/>
            <w:tcBorders/>
          </w:tcPr>
          <w:p>
            <w:pPr>
              <w:pStyle w:val="TableContents"/>
              <w:bidi w:val="0"/>
              <w:spacing w:before="0" w:after="0"/>
              <w:ind w:left="0" w:right="0" w:hanging="0"/>
              <w:jc w:val="left"/>
              <w:rPr/>
            </w:pPr>
            <w:r>
              <w:rPr/>
              <w:t> </w:t>
            </w:r>
          </w:p>
        </w:tc>
      </w:tr>
      <w:tr>
        <w:trPr/>
        <w:tc>
          <w:tcPr>
            <w:tcW w:w="5001" w:type="dxa"/>
            <w:tcBorders/>
          </w:tcPr>
          <w:p>
            <w:pPr>
              <w:pStyle w:val="TableContents"/>
              <w:bidi w:val="0"/>
              <w:spacing w:before="0" w:after="0"/>
              <w:ind w:left="0" w:right="0" w:hanging="0"/>
              <w:jc w:val="left"/>
              <w:rPr/>
            </w:pPr>
            <w:r>
              <w:rPr/>
              <w:t> </w:t>
            </w:r>
          </w:p>
        </w:tc>
        <w:tc>
          <w:tcPr>
            <w:tcW w:w="340" w:type="dxa"/>
            <w:tcBorders/>
          </w:tcPr>
          <w:p>
            <w:pPr>
              <w:pStyle w:val="TableContents"/>
              <w:bidi w:val="0"/>
              <w:spacing w:before="0" w:after="0"/>
              <w:ind w:left="0" w:right="0" w:hanging="0"/>
              <w:jc w:val="left"/>
              <w:rPr/>
            </w:pPr>
            <w:r>
              <w:rPr/>
              <w:t> </w:t>
            </w:r>
          </w:p>
        </w:tc>
        <w:tc>
          <w:tcPr>
            <w:tcW w:w="4864"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7" w:name="ex_880977.htm"/>
      <w:bookmarkStart w:id="28" w:name="ksex_880977"/>
      <w:bookmarkEnd w:id="27"/>
      <w:bookmarkEnd w:id="28"/>
      <w:r>
        <w:rPr>
          <w:rFonts w:ascii="Times New Roman" w:hAnsi="Times New Roman"/>
          <w:caps w:val="false"/>
          <w:smallCaps w:val="false"/>
          <w:sz w:val="20"/>
          <w:u w:val="single"/>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September 30, 2025,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W.M. “Rusty” Rush, President, Chief Executive Officer and Chairman of the Board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560"/>
        <w:gridCol w:w="3140"/>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W.M. “RUSTY” RUSH</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W.M. “Rusty” Rush</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9" w:name="ex_880978.htm"/>
      <w:bookmarkStart w:id="30" w:name="ksex_880978"/>
      <w:bookmarkEnd w:id="29"/>
      <w:bookmarkEnd w:id="30"/>
      <w:r>
        <w:rPr>
          <w:rFonts w:ascii="Times New Roman" w:hAnsi="Times New Roman"/>
          <w:caps w:val="false"/>
          <w:smallCaps w:val="false"/>
          <w:sz w:val="20"/>
          <w:u w:val="single"/>
        </w:rPr>
        <w:t>EXHIBIT 32.2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September 30, 2025,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Steven L. Keller, Chief Financial Officer and Treasurer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50"/>
        <w:gridCol w:w="3575"/>
      </w:tblGrid>
      <w:tr>
        <w:trPr/>
        <w:tc>
          <w:tcPr>
            <w:tcW w:w="650" w:type="dxa"/>
            <w:tcBorders/>
            <w:vAlign w:val="center"/>
          </w:tcPr>
          <w:p>
            <w:pPr>
              <w:pStyle w:val="TableContents"/>
              <w:bidi w:val="0"/>
              <w:spacing w:before="0" w:after="283"/>
              <w:jc w:val="left"/>
              <w:rPr/>
            </w:pPr>
            <w:r>
              <w:rPr/>
              <w:t>By:</w:t>
            </w:r>
          </w:p>
        </w:tc>
        <w:tc>
          <w:tcPr>
            <w:tcW w:w="3575" w:type="dxa"/>
            <w:tcBorders>
              <w:bottom w:val="single" w:sz="2" w:space="0" w:color="000000"/>
            </w:tcBorders>
            <w:tcMar>
              <w:bottom w:w="28" w:type="dxa"/>
            </w:tcMar>
            <w:vAlign w:val="center"/>
          </w:tcPr>
          <w:p>
            <w:pPr>
              <w:pStyle w:val="TableContents"/>
              <w:bidi w:val="0"/>
              <w:spacing w:before="0" w:after="283"/>
              <w:jc w:val="left"/>
              <w:rPr/>
            </w:pPr>
            <w:r>
              <w:rPr/>
              <w:t>/S/ STEVEN L. KELLER</w:t>
            </w:r>
          </w:p>
        </w:tc>
      </w:tr>
      <w:tr>
        <w:trPr/>
        <w:tc>
          <w:tcPr>
            <w:tcW w:w="650" w:type="dxa"/>
            <w:tcBorders/>
            <w:vAlign w:val="center"/>
          </w:tcPr>
          <w:p>
            <w:pPr>
              <w:pStyle w:val="TableContents"/>
              <w:bidi w:val="0"/>
              <w:spacing w:before="0" w:after="283"/>
              <w:jc w:val="left"/>
              <w:rPr/>
            </w:pPr>
            <w:r>
              <w:rPr/>
              <w:t>Name:</w:t>
            </w:r>
          </w:p>
        </w:tc>
        <w:tc>
          <w:tcPr>
            <w:tcW w:w="3575" w:type="dxa"/>
            <w:tcBorders/>
            <w:vAlign w:val="center"/>
          </w:tcPr>
          <w:p>
            <w:pPr>
              <w:pStyle w:val="TableContents"/>
              <w:bidi w:val="0"/>
              <w:spacing w:before="0" w:after="283"/>
              <w:jc w:val="left"/>
              <w:rPr/>
            </w:pPr>
            <w:r>
              <w:rPr/>
              <w:t>Steven L. Keller</w:t>
            </w:r>
          </w:p>
        </w:tc>
      </w:tr>
      <w:tr>
        <w:trPr/>
        <w:tc>
          <w:tcPr>
            <w:tcW w:w="650" w:type="dxa"/>
            <w:tcBorders/>
            <w:vAlign w:val="center"/>
          </w:tcPr>
          <w:p>
            <w:pPr>
              <w:pStyle w:val="TableContents"/>
              <w:bidi w:val="0"/>
              <w:spacing w:before="0" w:after="283"/>
              <w:jc w:val="left"/>
              <w:rPr/>
            </w:pPr>
            <w:r>
              <w:rPr/>
              <w:t>Title:</w:t>
            </w:r>
          </w:p>
        </w:tc>
        <w:tc>
          <w:tcPr>
            <w:tcW w:w="3575" w:type="dxa"/>
            <w:tcBorders/>
            <w:vAlign w:val="center"/>
          </w:tcPr>
          <w:p>
            <w:pPr>
              <w:pStyle w:val="TableContents"/>
              <w:bidi w:val="0"/>
              <w:spacing w:before="0" w:after="283"/>
              <w:jc w:val="left"/>
              <w:rPr/>
            </w:pPr>
            <w:r>
              <w:rPr/>
              <w:t>Chief Financial Officer and Treasurer</w:t>
            </w:r>
          </w:p>
        </w:tc>
      </w:tr>
      <w:tr>
        <w:trPr/>
        <w:tc>
          <w:tcPr>
            <w:tcW w:w="650" w:type="dxa"/>
            <w:tcBorders/>
            <w:vAlign w:val="center"/>
          </w:tcPr>
          <w:p>
            <w:pPr>
              <w:pStyle w:val="TableContents"/>
              <w:bidi w:val="0"/>
              <w:spacing w:before="0" w:after="283"/>
              <w:jc w:val="left"/>
              <w:rPr/>
            </w:pPr>
            <w:r>
              <w:rPr/>
              <w:t>Date:</w:t>
            </w:r>
          </w:p>
        </w:tc>
        <w:tc>
          <w:tcPr>
            <w:tcW w:w="3575" w:type="dxa"/>
            <w:tcBorders/>
            <w:vAlign w:val="center"/>
          </w:tcPr>
          <w:p>
            <w:pPr>
              <w:pStyle w:val="TableContents"/>
              <w:bidi w:val="0"/>
              <w:spacing w:before="0" w:after="283"/>
              <w:jc w:val="left"/>
              <w:rPr/>
            </w:pPr>
            <w:r>
              <w:rPr/>
              <w:t>November 7, 2025</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12019/000110465908051789/a08-18770_1ex3d1.htm" TargetMode="External"/><Relationship Id="rId3" Type="http://schemas.openxmlformats.org/officeDocument/2006/relationships/hyperlink" Target="http://www.sec.gov/Archives/edgar/data/1012019/000143774923022761/ex_553893.htm" TargetMode="External"/><Relationship Id="rId4" Type="http://schemas.openxmlformats.org/officeDocument/2006/relationships/hyperlink" Target="http://www.sec.gov/Archives/edgar/data/1012019/000143774913006455/rusha20130517_8kex3-1.htm" TargetMode="External"/><Relationship Id="rId5" Type="http://schemas.openxmlformats.org/officeDocument/2006/relationships/hyperlink" Target="http://www.sec.gov/Archives/edgar/data/1012019/000143774921013172/ex_252719.htm" TargetMode="External"/><Relationship Id="rId6" Type="http://schemas.openxmlformats.org/officeDocument/2006/relationships/hyperlink" Target="http://www.sec.gov/Archives/edgar/data/1012019/000143774925030484/ex_86621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18455</Words>
  <Characters>100229</Characters>
  <CharactersWithSpaces>121449</CharactersWithSpaces>
  <Paragraphs>7569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