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9"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RUSH ENTERPRISES,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2"/>
              </w:rPr>
              <w:t>Texas</w:t>
            </w:r>
          </w:p>
        </w:tc>
        <w:tc>
          <w:tcPr>
            <w:tcW w:w="3840" w:type="dxa"/>
            <w:vAlign w:val="bottom"/>
          </w:tcPr>
          <w:p>
            <w:pPr>
              <w:jc w:val="right"/>
              <w:ind w:right="81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090"/>
              <w:spacing w:after="0"/>
              <w:rPr>
                <w:sz w:val="20"/>
                <w:szCs w:val="20"/>
                <w:color w:val="auto"/>
              </w:rPr>
            </w:pPr>
            <w:r>
              <w:rPr>
                <w:rFonts w:ascii="Arial" w:cs="Arial" w:eastAsia="Arial" w:hAnsi="Arial"/>
                <w:sz w:val="18"/>
                <w:szCs w:val="18"/>
                <w:color w:val="auto"/>
                <w:w w:val="94"/>
              </w:rPr>
              <w:t>(I.R. 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555 IH 35 South, New Braunfels, TX</w:t>
            </w:r>
          </w:p>
        </w:tc>
        <w:tc>
          <w:tcPr>
            <w:tcW w:w="3840" w:type="dxa"/>
            <w:vAlign w:val="bottom"/>
          </w:tcPr>
          <w:p>
            <w:pPr>
              <w:jc w:val="right"/>
              <w:ind w:right="1010"/>
              <w:spacing w:after="0"/>
              <w:rPr>
                <w:sz w:val="20"/>
                <w:szCs w:val="20"/>
                <w:color w:val="auto"/>
              </w:rPr>
            </w:pPr>
            <w:r>
              <w:rPr>
                <w:rFonts w:ascii="Arial" w:cs="Arial" w:eastAsia="Arial" w:hAnsi="Arial"/>
                <w:sz w:val="18"/>
                <w:szCs w:val="18"/>
                <w:b w:val="1"/>
                <w:bCs w:val="1"/>
                <w:color w:val="auto"/>
              </w:rPr>
              <w:t>78130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626-5200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and Class B Common Stock, $.01 par value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o No x</w:t>
      </w:r>
    </w:p>
    <w:p>
      <w:pPr>
        <w:spacing w:after="0" w:line="23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28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0" w:lineRule="exact"/>
        <w:rPr>
          <w:sz w:val="24"/>
          <w:szCs w:val="24"/>
          <w:color w:val="auto"/>
        </w:rPr>
      </w:pPr>
    </w:p>
    <w:p>
      <w:pPr>
        <w:ind w:left="660"/>
        <w:spacing w:after="0"/>
        <w:tabs>
          <w:tab w:leader="none" w:pos="2780" w:val="left"/>
          <w:tab w:leader="none" w:pos="4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200" w:lineRule="exact"/>
        <w:rPr>
          <w:sz w:val="24"/>
          <w:szCs w:val="24"/>
          <w:color w:val="auto"/>
        </w:rPr>
      </w:pPr>
    </w:p>
    <w:p>
      <w:pPr>
        <w:spacing w:after="0" w:line="24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Yes o</w:t>
        <w:tab/>
        <w:t>No x</w:t>
      </w:r>
    </w:p>
    <w:p>
      <w:pPr>
        <w:spacing w:after="0" w:line="211" w:lineRule="exact"/>
        <w:rPr>
          <w:sz w:val="24"/>
          <w:szCs w:val="24"/>
          <w:color w:val="auto"/>
        </w:rPr>
      </w:pPr>
    </w:p>
    <w:p>
      <w:pPr>
        <w:ind w:firstLine="324"/>
        <w:spacing w:after="0"/>
        <w:rPr>
          <w:sz w:val="20"/>
          <w:szCs w:val="20"/>
          <w:color w:val="auto"/>
        </w:rPr>
      </w:pPr>
      <w:r>
        <w:rPr>
          <w:rFonts w:ascii="Arial" w:cs="Arial" w:eastAsia="Arial" w:hAnsi="Arial"/>
          <w:sz w:val="18"/>
          <w:szCs w:val="18"/>
          <w:color w:val="auto"/>
        </w:rPr>
        <w:t>The aggregate market value of common stock held by non-affiliates of the registrant as of June 30, 2006 was approximately $398,345,279 based upon the last sales price on June 30, 2006 on The NASDAQ National Market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 $18.17 for the registrant’s Class A Common Stock and $16.86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4"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registrant had 17,091,157 shares of Class A Common Stock and 8,075,616 shares of Class B Common Stock outstanding on March 5, 2007.</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Portions of registrant’s definitive proxy statement for the registrant’s 2007 Annual Meeting of Shareholders, to be filed with the Securities and</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Commission not later than April 30, 2007,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569595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ectPr>
          <w:pgSz w:w="11900" w:h="16838" w:orient="portrait"/>
          <w:cols w:equalWidth="0" w:num="1">
            <w:col w:w="11400"/>
          </w:cols>
          <w:pgMar w:left="240" w:top="530" w:right="259" w:bottom="0" w:gutter="0" w:footer="0" w:header="0"/>
        </w:sectPr>
      </w:pPr>
    </w:p>
    <w:bookmarkStart w:id="1" w:name="page2"/>
    <w:bookmarkEnd w:id="1"/>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gridSpan w:val="13"/>
          </w:tcPr>
          <w:p>
            <w:pPr>
              <w:jc w:val="center"/>
              <w:ind w:right="2880"/>
              <w:spacing w:after="0"/>
              <w:rPr>
                <w:sz w:val="20"/>
                <w:szCs w:val="20"/>
                <w:color w:val="auto"/>
              </w:rPr>
            </w:pPr>
            <w:r>
              <w:rPr>
                <w:rFonts w:ascii="Arial" w:cs="Arial" w:eastAsia="Arial" w:hAnsi="Arial"/>
                <w:sz w:val="18"/>
                <w:szCs w:val="18"/>
                <w:b w:val="1"/>
                <w:bCs w:val="1"/>
                <w:color w:val="auto"/>
                <w:w w:val="94"/>
              </w:rPr>
              <w:t>Index to Form 10-K</w:t>
            </w:r>
          </w:p>
        </w:tc>
      </w:tr>
      <w:tr>
        <w:trPr>
          <w:trHeight w:val="43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80" w:type="dxa"/>
            <w:vAlign w:val="bottom"/>
            <w:gridSpan w:val="17"/>
          </w:tcPr>
          <w:p>
            <w:pPr>
              <w:jc w:val="center"/>
              <w:ind w:right="2040"/>
              <w:spacing w:after="0"/>
              <w:rPr>
                <w:sz w:val="20"/>
                <w:szCs w:val="20"/>
                <w:color w:val="auto"/>
              </w:rPr>
            </w:pPr>
            <w:r>
              <w:rPr>
                <w:rFonts w:ascii="Arial" w:cs="Arial" w:eastAsia="Arial" w:hAnsi="Arial"/>
                <w:sz w:val="18"/>
                <w:szCs w:val="18"/>
                <w:b w:val="1"/>
                <w:bCs w:val="1"/>
                <w:color w:val="auto"/>
                <w:w w:val="89"/>
              </w:rPr>
              <w:t>Year ended December 31, 2006</w:t>
            </w:r>
          </w:p>
        </w:tc>
      </w:tr>
      <w:tr>
        <w:trPr>
          <w:trHeight w:val="527"/>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160" w:type="dxa"/>
            <w:vAlign w:val="bottom"/>
            <w:gridSpan w:val="12"/>
          </w:tcPr>
          <w:p>
            <w:pPr>
              <w:spacing w:after="0"/>
              <w:rPr>
                <w:sz w:val="24"/>
                <w:szCs w:val="24"/>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1580" w:type="dxa"/>
            <w:vAlign w:val="bottom"/>
            <w:gridSpan w:val="3"/>
          </w:tcPr>
          <w:p>
            <w:pPr>
              <w:spacing w:after="0"/>
              <w:rPr>
                <w:sz w:val="24"/>
                <w:szCs w:val="24"/>
                <w:color w:val="auto"/>
              </w:rPr>
            </w:pPr>
          </w:p>
        </w:tc>
        <w:tc>
          <w:tcPr>
            <w:tcW w:w="732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Item 1A</w:t>
              </w:r>
            </w:hyperlink>
          </w:p>
        </w:tc>
        <w:tc>
          <w:tcPr>
            <w:tcW w:w="1440" w:type="dxa"/>
            <w:vAlign w:val="bottom"/>
          </w:tcPr>
          <w:p>
            <w:pPr>
              <w:spacing w:after="0"/>
              <w:rPr>
                <w:sz w:val="17"/>
                <w:szCs w:val="17"/>
                <w:color w:val="auto"/>
              </w:rPr>
            </w:pPr>
          </w:p>
        </w:tc>
        <w:tc>
          <w:tcPr>
            <w:tcW w:w="7320" w:type="dxa"/>
            <w:vAlign w:val="bottom"/>
            <w:gridSpan w:val="2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0" w:type="dxa"/>
            <w:vAlign w:val="bottom"/>
            <w:gridSpan w:val="3"/>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Item 1B</w:t>
              </w:r>
            </w:hyperlink>
          </w:p>
        </w:tc>
        <w:tc>
          <w:tcPr>
            <w:tcW w:w="1440" w:type="dxa"/>
            <w:vAlign w:val="bottom"/>
          </w:tcPr>
          <w:p>
            <w:pPr>
              <w:spacing w:after="0"/>
              <w:rPr>
                <w:sz w:val="17"/>
                <w:szCs w:val="17"/>
                <w:color w:val="auto"/>
              </w:rPr>
            </w:pPr>
          </w:p>
        </w:tc>
        <w:tc>
          <w:tcPr>
            <w:tcW w:w="732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140" w:type="dxa"/>
            <w:vAlign w:val="bottom"/>
            <w:tcBorders>
              <w:top w:val="single" w:sz="8" w:color="0000EE"/>
            </w:tcBorders>
            <w:gridSpan w:val="2"/>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5280" w:type="dxa"/>
            <w:vAlign w:val="bottom"/>
            <w:gridSpan w:val="17"/>
          </w:tcPr>
          <w:p>
            <w:pPr>
              <w:spacing w:after="0"/>
              <w:rPr>
                <w:sz w:val="17"/>
                <w:szCs w:val="17"/>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3</w:t>
              </w:r>
            </w:hyperlink>
          </w:p>
        </w:tc>
        <w:tc>
          <w:tcPr>
            <w:tcW w:w="1580" w:type="dxa"/>
            <w:vAlign w:val="bottom"/>
            <w:gridSpan w:val="3"/>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5980" w:type="dxa"/>
            <w:vAlign w:val="bottom"/>
            <w:gridSpan w:val="21"/>
          </w:tcPr>
          <w:p>
            <w:pPr>
              <w:spacing w:after="0"/>
              <w:rPr>
                <w:sz w:val="17"/>
                <w:szCs w:val="17"/>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4</w:t>
              </w:r>
            </w:hyperlink>
          </w:p>
        </w:tc>
        <w:tc>
          <w:tcPr>
            <w:tcW w:w="1580" w:type="dxa"/>
            <w:vAlign w:val="bottom"/>
            <w:gridSpan w:val="3"/>
          </w:tcPr>
          <w:p>
            <w:pPr>
              <w:spacing w:after="0"/>
              <w:rPr>
                <w:sz w:val="17"/>
                <w:szCs w:val="17"/>
                <w:color w:val="auto"/>
              </w:rPr>
            </w:pPr>
          </w:p>
        </w:tc>
        <w:tc>
          <w:tcPr>
            <w:tcW w:w="732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Submission of Matters to a Vote of Security Holders</w:t>
              </w:r>
            </w:hyperlink>
          </w:p>
        </w:tc>
      </w:tr>
      <w:tr>
        <w:trPr>
          <w:trHeight w:val="412"/>
        </w:trPr>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4"/>
          </w:tcPr>
          <w:p>
            <w:pPr>
              <w:jc w:val="cente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560" w:type="dxa"/>
            <w:vAlign w:val="bottom"/>
            <w:tcBorders>
              <w:top w:val="single" w:sz="8" w:color="0000EE"/>
            </w:tcBorders>
            <w:gridSpan w:val="6"/>
          </w:tcPr>
          <w:p>
            <w:pPr>
              <w:spacing w:after="0"/>
              <w:rPr>
                <w:sz w:val="24"/>
                <w:szCs w:val="24"/>
                <w:color w:val="auto"/>
              </w:rPr>
            </w:pPr>
          </w:p>
        </w:tc>
        <w:tc>
          <w:tcPr>
            <w:tcW w:w="3560" w:type="dxa"/>
            <w:vAlign w:val="bottom"/>
            <w:gridSpan w:val="5"/>
          </w:tcPr>
          <w:p>
            <w:pPr>
              <w:spacing w:after="0"/>
              <w:rPr>
                <w:sz w:val="24"/>
                <w:szCs w:val="24"/>
                <w:color w:val="auto"/>
              </w:rPr>
            </w:pPr>
          </w:p>
        </w:tc>
      </w:tr>
      <w:tr>
        <w:trPr>
          <w:trHeight w:val="412"/>
        </w:trPr>
        <w:tc>
          <w:tcPr>
            <w:tcW w:w="206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5</w:t>
              </w:r>
            </w:hyperlink>
          </w:p>
        </w:tc>
        <w:tc>
          <w:tcPr>
            <w:tcW w:w="7320" w:type="dxa"/>
            <w:vAlign w:val="bottom"/>
            <w:gridSpan w:val="27"/>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Market for Registrant’s Common Equity, Related Shareholder Matters and Issuer Purchases of Equity</w:t>
              </w:r>
            </w:hyperlink>
          </w:p>
        </w:tc>
      </w:tr>
      <w:tr>
        <w:trPr>
          <w:trHeight w:val="196"/>
        </w:trPr>
        <w:tc>
          <w:tcPr>
            <w:tcW w:w="4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Securities</w:t>
              </w:r>
            </w:hyperlink>
          </w:p>
        </w:tc>
        <w:tc>
          <w:tcPr>
            <w:tcW w:w="6600" w:type="dxa"/>
            <w:vAlign w:val="bottom"/>
            <w:tcBorders>
              <w:top w:val="single" w:sz="8" w:color="0000EE"/>
            </w:tcBorders>
            <w:gridSpan w:val="25"/>
          </w:tcPr>
          <w:p>
            <w:pPr>
              <w:spacing w:after="0"/>
              <w:rPr>
                <w:sz w:val="17"/>
                <w:szCs w:val="17"/>
                <w:color w:val="auto"/>
              </w:rPr>
            </w:pPr>
          </w:p>
        </w:tc>
      </w:tr>
      <w:tr>
        <w:trPr>
          <w:trHeight w:val="196"/>
        </w:trPr>
        <w:tc>
          <w:tcPr>
            <w:tcW w:w="480" w:type="dxa"/>
            <w:vAlign w:val="bottom"/>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Item 6</w:t>
              </w:r>
            </w:hyperlink>
          </w:p>
        </w:tc>
        <w:tc>
          <w:tcPr>
            <w:tcW w:w="1580" w:type="dxa"/>
            <w:vAlign w:val="bottom"/>
            <w:gridSpan w:val="3"/>
          </w:tcPr>
          <w:p>
            <w:pPr>
              <w:spacing w:after="0"/>
              <w:rPr>
                <w:sz w:val="17"/>
                <w:szCs w:val="17"/>
                <w:color w:val="auto"/>
              </w:rPr>
            </w:pPr>
          </w:p>
        </w:tc>
        <w:tc>
          <w:tcPr>
            <w:tcW w:w="7320" w:type="dxa"/>
            <w:vAlign w:val="bottom"/>
            <w:gridSpan w:val="2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7</w:t>
              </w:r>
            </w:hyperlink>
          </w:p>
        </w:tc>
        <w:tc>
          <w:tcPr>
            <w:tcW w:w="80" w:type="dxa"/>
            <w:vAlign w:val="bottom"/>
            <w:tcBorders>
              <w:bottom w:val="single" w:sz="8" w:color="0000EE"/>
            </w:tcBorders>
          </w:tcPr>
          <w:p>
            <w:pPr>
              <w:spacing w:after="0"/>
              <w:rPr>
                <w:sz w:val="17"/>
                <w:szCs w:val="17"/>
                <w:color w:val="auto"/>
              </w:rPr>
            </w:pPr>
          </w:p>
        </w:tc>
        <w:tc>
          <w:tcPr>
            <w:tcW w:w="1500" w:type="dxa"/>
            <w:vAlign w:val="bottom"/>
            <w:gridSpan w:val="2"/>
          </w:tcPr>
          <w:p>
            <w:pPr>
              <w:spacing w:after="0"/>
              <w:rPr>
                <w:sz w:val="17"/>
                <w:szCs w:val="17"/>
                <w:color w:val="auto"/>
              </w:rPr>
            </w:pPr>
          </w:p>
        </w:tc>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860" w:type="dxa"/>
            <w:vAlign w:val="bottom"/>
            <w:gridSpan w:val="3"/>
          </w:tcPr>
          <w:p>
            <w:pPr>
              <w:spacing w:after="0"/>
              <w:rPr>
                <w:sz w:val="17"/>
                <w:szCs w:val="17"/>
                <w:color w:val="auto"/>
              </w:rPr>
            </w:pPr>
          </w:p>
        </w:tc>
      </w:tr>
      <w:tr>
        <w:trPr>
          <w:trHeight w:val="196"/>
        </w:trPr>
        <w:tc>
          <w:tcPr>
            <w:tcW w:w="206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7A</w:t>
              </w:r>
            </w:hyperlink>
          </w:p>
        </w:tc>
        <w:tc>
          <w:tcPr>
            <w:tcW w:w="7320" w:type="dxa"/>
            <w:vAlign w:val="bottom"/>
            <w:gridSpan w:val="2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8</w:t>
              </w:r>
            </w:hyperlink>
          </w:p>
        </w:tc>
        <w:tc>
          <w:tcPr>
            <w:tcW w:w="1580" w:type="dxa"/>
            <w:vAlign w:val="bottom"/>
            <w:tcBorders>
              <w:top w:val="single" w:sz="8" w:color="0000EE"/>
            </w:tcBorders>
            <w:gridSpan w:val="3"/>
          </w:tcPr>
          <w:p>
            <w:pPr>
              <w:spacing w:after="0"/>
              <w:rPr>
                <w:sz w:val="17"/>
                <w:szCs w:val="17"/>
                <w:color w:val="auto"/>
              </w:rPr>
            </w:pPr>
          </w:p>
        </w:tc>
        <w:tc>
          <w:tcPr>
            <w:tcW w:w="4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3020" w:type="dxa"/>
            <w:vAlign w:val="bottom"/>
            <w:gridSpan w:val="4"/>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9</w:t>
              </w:r>
            </w:hyperlink>
          </w:p>
        </w:tc>
        <w:tc>
          <w:tcPr>
            <w:tcW w:w="1580" w:type="dxa"/>
            <w:vAlign w:val="bottom"/>
            <w:gridSpan w:val="3"/>
          </w:tcPr>
          <w:p>
            <w:pPr>
              <w:spacing w:after="0"/>
              <w:rPr>
                <w:sz w:val="17"/>
                <w:szCs w:val="17"/>
                <w:color w:val="auto"/>
              </w:rPr>
            </w:pPr>
          </w:p>
        </w:tc>
        <w:tc>
          <w:tcPr>
            <w:tcW w:w="6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Changes in and Disagreements with Accountants on Accounting and Financial Disclosure</w:t>
              </w:r>
            </w:hyperlink>
          </w:p>
        </w:tc>
        <w:tc>
          <w:tcPr>
            <w:tcW w:w="840" w:type="dxa"/>
            <w:vAlign w:val="bottom"/>
            <w:gridSpan w:val="2"/>
          </w:tcPr>
          <w:p>
            <w:pPr>
              <w:spacing w:after="0"/>
              <w:rPr>
                <w:sz w:val="17"/>
                <w:szCs w:val="17"/>
                <w:color w:val="auto"/>
              </w:rPr>
            </w:pP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Item 9A</w:t>
              </w:r>
            </w:hyperlink>
          </w:p>
        </w:tc>
        <w:tc>
          <w:tcPr>
            <w:tcW w:w="144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5540" w:type="dxa"/>
            <w:vAlign w:val="bottom"/>
            <w:gridSpan w:val="19"/>
          </w:tcPr>
          <w:p>
            <w:pPr>
              <w:spacing w:after="0"/>
              <w:rPr>
                <w:sz w:val="17"/>
                <w:szCs w:val="17"/>
                <w:color w:val="auto"/>
              </w:rPr>
            </w:pPr>
          </w:p>
        </w:tc>
      </w:tr>
      <w:tr>
        <w:trPr>
          <w:trHeight w:val="196"/>
        </w:trPr>
        <w:tc>
          <w:tcPr>
            <w:tcW w:w="206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9B</w:t>
              </w:r>
            </w:hyperlink>
          </w:p>
        </w:tc>
        <w:tc>
          <w:tcPr>
            <w:tcW w:w="7320" w:type="dxa"/>
            <w:vAlign w:val="bottom"/>
            <w:gridSpan w:val="2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r>
      <w:tr>
        <w:trPr>
          <w:trHeight w:val="412"/>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III</w:t>
              </w:r>
            </w:hyperlink>
          </w:p>
        </w:tc>
        <w:tc>
          <w:tcPr>
            <w:tcW w:w="4080" w:type="dxa"/>
            <w:vAlign w:val="bottom"/>
            <w:gridSpan w:val="9"/>
          </w:tcPr>
          <w:p>
            <w:pPr>
              <w:spacing w:after="0"/>
              <w:rPr>
                <w:sz w:val="24"/>
                <w:szCs w:val="24"/>
                <w:color w:val="auto"/>
              </w:rPr>
            </w:pPr>
          </w:p>
        </w:tc>
      </w:tr>
      <w:tr>
        <w:trPr>
          <w:trHeight w:val="412"/>
        </w:trPr>
        <w:tc>
          <w:tcPr>
            <w:tcW w:w="20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w:t>
              </w:r>
            </w:hyperlink>
          </w:p>
        </w:tc>
        <w:tc>
          <w:tcPr>
            <w:tcW w:w="732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and Executive Officers of the Registrant</w:t>
              </w:r>
            </w:hyperlink>
          </w:p>
        </w:tc>
      </w:tr>
      <w:tr>
        <w:trPr>
          <w:trHeight w:val="196"/>
        </w:trPr>
        <w:tc>
          <w:tcPr>
            <w:tcW w:w="56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11</w:t>
              </w:r>
            </w:hyperlink>
          </w:p>
        </w:tc>
        <w:tc>
          <w:tcPr>
            <w:tcW w:w="1500" w:type="dxa"/>
            <w:vAlign w:val="bottom"/>
            <w:gridSpan w:val="2"/>
          </w:tcPr>
          <w:p>
            <w:pPr>
              <w:spacing w:after="0"/>
              <w:rPr>
                <w:sz w:val="17"/>
                <w:szCs w:val="17"/>
                <w:color w:val="auto"/>
              </w:rPr>
            </w:pPr>
          </w:p>
        </w:tc>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3700" w:type="dxa"/>
            <w:vAlign w:val="bottom"/>
            <w:gridSpan w:val="6"/>
          </w:tcPr>
          <w:p>
            <w:pPr>
              <w:spacing w:after="0"/>
              <w:rPr>
                <w:sz w:val="17"/>
                <w:szCs w:val="17"/>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12</w:t>
              </w:r>
            </w:hyperlink>
          </w:p>
        </w:tc>
        <w:tc>
          <w:tcPr>
            <w:tcW w:w="7320" w:type="dxa"/>
            <w:vAlign w:val="bottom"/>
            <w:gridSpan w:val="27"/>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Security Ownership of Certain Beneficial Owners and Management and Related Shareholder Matters</w:t>
              </w:r>
            </w:hyperlink>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60" w:type="dxa"/>
            <w:vAlign w:val="bottom"/>
            <w:gridSpan w:val="1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13</w:t>
              </w:r>
            </w:hyperlink>
          </w:p>
        </w:tc>
        <w:tc>
          <w:tcPr>
            <w:tcW w:w="34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Certain Relationships and Related Transactions</w:t>
              </w:r>
            </w:hyperlink>
          </w:p>
        </w:tc>
        <w:tc>
          <w:tcPr>
            <w:tcW w:w="3900" w:type="dxa"/>
            <w:vAlign w:val="bottom"/>
            <w:gridSpan w:val="7"/>
          </w:tcPr>
          <w:p>
            <w:pPr>
              <w:spacing w:after="0"/>
              <w:rPr>
                <w:sz w:val="17"/>
                <w:szCs w:val="17"/>
                <w:color w:val="auto"/>
              </w:rPr>
            </w:pPr>
          </w:p>
        </w:tc>
      </w:tr>
      <w:tr>
        <w:trPr>
          <w:trHeight w:val="196"/>
        </w:trPr>
        <w:tc>
          <w:tcPr>
            <w:tcW w:w="206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14</w:t>
              </w:r>
            </w:hyperlink>
          </w:p>
        </w:tc>
        <w:tc>
          <w:tcPr>
            <w:tcW w:w="7320" w:type="dxa"/>
            <w:vAlign w:val="bottom"/>
            <w:gridSpan w:val="2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5"/>
          </w:tcPr>
          <w:p>
            <w:pPr>
              <w:jc w:val="center"/>
              <w:ind w:right="4100"/>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Part IV</w:t>
              </w:r>
            </w:hyperlink>
          </w:p>
        </w:tc>
      </w:tr>
      <w:tr>
        <w:trPr>
          <w:trHeight w:val="20"/>
        </w:trPr>
        <w:tc>
          <w:tcPr>
            <w:tcW w:w="2060" w:type="dxa"/>
            <w:vAlign w:val="bottom"/>
            <w:gridSpan w:val="4"/>
          </w:tcPr>
          <w:p>
            <w:pPr>
              <w:spacing w:after="0" w:line="20" w:lineRule="exact"/>
              <w:rPr>
                <w:sz w:val="1"/>
                <w:szCs w:val="1"/>
                <w:color w:val="auto"/>
              </w:rPr>
            </w:pPr>
          </w:p>
        </w:tc>
        <w:tc>
          <w:tcPr>
            <w:tcW w:w="2660" w:type="dxa"/>
            <w:vAlign w:val="bottom"/>
            <w:gridSpan w:val="1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412"/>
        </w:trPr>
        <w:tc>
          <w:tcPr>
            <w:tcW w:w="20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15</w:t>
              </w:r>
            </w:hyperlink>
          </w:p>
        </w:tc>
        <w:tc>
          <w:tcPr>
            <w:tcW w:w="7320" w:type="dxa"/>
            <w:vAlign w:val="bottom"/>
            <w:gridSpan w:val="2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the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INCORPORATION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10-K</w:t>
      </w:r>
    </w:p>
    <w:p>
      <w:pPr>
        <w:spacing w:after="0" w:line="229"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as registered trademark of General Motors Corporation. Hino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Nissan Diesel Motor Co., Ltd. Isuzu</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w:t>
      </w:r>
    </w:p>
    <w:p>
      <w:pPr>
        <w:sectPr>
          <w:pgSz w:w="11900" w:h="16925" w:orient="portrait"/>
          <w:cols w:equalWidth="0" w:num="1">
            <w:col w:w="11380"/>
          </w:cols>
          <w:pgMar w:left="240" w:top="121" w:right="279" w:bottom="0" w:gutter="0" w:footer="0" w:header="0"/>
        </w:sectPr>
      </w:pPr>
    </w:p>
    <w:bookmarkStart w:id="2" w:name="page3"/>
    <w:bookmarkEnd w:id="2"/>
    <w:p>
      <w:pPr>
        <w:ind w:right="780"/>
        <w:spacing w:after="0" w:line="218" w:lineRule="auto"/>
        <w:rPr>
          <w:sz w:val="20"/>
          <w:szCs w:val="20"/>
          <w:color w:val="auto"/>
        </w:rPr>
      </w:pPr>
      <w:r>
        <w:rPr>
          <w:rFonts w:ascii="Arial" w:cs="Arial" w:eastAsia="Arial" w:hAnsi="Arial"/>
          <w:sz w:val="18"/>
          <w:szCs w:val="18"/>
          <w:i w:val="1"/>
          <w:iCs w:val="1"/>
          <w:color w:val="auto"/>
        </w:rPr>
        <w:t>Freightliner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Freightliner Corporation. Mack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Mack Trucks, Inc. Navistar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Navistar International Corporation. Caterpillar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Caterpillar, Inc. Cummins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Cummins Engine Company, Inc. PacLease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Leasing Corporation. CitiCapital</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Citicorp. Ford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Ford Motor Company.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References herein to “the Company,” “Rush Enterprises,” “Rush,” “we,” “our” or “us” mean Rush Enterprises, Inc., a Texas corporation, its subsidiaries and Associated Acceptance, Inc., the insurance agency affiliated with the Company, unless the context requires otherwise.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Rush electronically files annual reports, quarterly reports, and special reports with the SEC. You may read and copy any of the materials that we have filed with the SEC at the SEC’s Public Reference Room at 450 Fifth Street, NW, Washington, DC 20549. You may obtain information about the Public Reference Room by calling the SEC at 1-800-SEC-0330. Our filings are also available to you on the SEC’s website at www.sec.gov.</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Rush makes certain of its SEC filings available, free of charge, through its website, including its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is a full-service, integrated retailer of premium transportation and construction equipment and related services. The Company’s Rush Truck Centers sell trucks manufactured by Peterbilt Motors Company (a division of PACCAR, Inc.), GMC, Hino, UD, Ford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58" w:lineRule="exact"/>
        <w:rPr>
          <w:sz w:val="20"/>
          <w:szCs w:val="20"/>
          <w:color w:val="auto"/>
        </w:rPr>
      </w:pPr>
    </w:p>
    <w:p>
      <w:pPr>
        <w:ind w:right="680"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Georgia, New Mexico,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i w:val="1"/>
          <w:iCs w:val="1"/>
          <w:color w:val="auto"/>
        </w:rPr>
        <w:t xml:space="preserve">Rush Truck Centers. </w:t>
      </w:r>
      <w:r>
        <w:rPr>
          <w:rFonts w:ascii="Arial" w:cs="Arial" w:eastAsia="Arial" w:hAnsi="Arial"/>
          <w:sz w:val="17"/>
          <w:szCs w:val="17"/>
          <w:color w:val="auto"/>
        </w:rPr>
        <w:t>Since commencing operations as a Peterbilt heavy-duty truck dealer over 40 years ago, we have grown to operate 42 Rush</w:t>
      </w:r>
      <w:r>
        <w:rPr>
          <w:rFonts w:ascii="Arial" w:cs="Arial" w:eastAsia="Arial" w:hAnsi="Arial"/>
          <w:sz w:val="17"/>
          <w:szCs w:val="17"/>
          <w:i w:val="1"/>
          <w:iCs w:val="1"/>
          <w:color w:val="auto"/>
        </w:rPr>
        <w:t xml:space="preserve"> </w:t>
      </w:r>
      <w:r>
        <w:rPr>
          <w:rFonts w:ascii="Arial" w:cs="Arial" w:eastAsia="Arial" w:hAnsi="Arial"/>
          <w:sz w:val="17"/>
          <w:szCs w:val="17"/>
          <w:color w:val="auto"/>
        </w:rPr>
        <w:t>Truck Centers. Our Rush Truck Centers are located in Alabama, Arizona, California, Colorado, Florida, Georgia, New Mexico, Oklahoma, Tennessee and Texas. The following chart reflects our franchises and parts, service and body shop operations by location.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6"/>
          </w:tcPr>
          <w:p>
            <w:pPr>
              <w:spacing w:after="0"/>
              <w:rPr>
                <w:sz w:val="20"/>
                <w:szCs w:val="20"/>
                <w:color w:val="auto"/>
              </w:rPr>
            </w:pPr>
            <w:r>
              <w:rPr>
                <w:rFonts w:ascii="Arial" w:cs="Arial" w:eastAsia="Arial" w:hAnsi="Arial"/>
                <w:sz w:val="14"/>
                <w:szCs w:val="14"/>
                <w:b w:val="1"/>
                <w:bCs w:val="1"/>
                <w:color w:val="auto"/>
              </w:rPr>
              <w:t>Rush Truck Center</w:t>
            </w: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Heavy-Duty</w:t>
            </w:r>
          </w:p>
        </w:tc>
        <w:tc>
          <w:tcPr>
            <w:tcW w:w="3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Medium-Duty</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Parts</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Service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Body Shop</w:t>
            </w:r>
          </w:p>
        </w:tc>
        <w:tc>
          <w:tcPr>
            <w:tcW w:w="0" w:type="dxa"/>
            <w:vAlign w:val="bottom"/>
          </w:tcPr>
          <w:p>
            <w:pPr>
              <w:spacing w:after="0"/>
              <w:rPr>
                <w:sz w:val="1"/>
                <w:szCs w:val="1"/>
                <w:color w:val="auto"/>
              </w:rPr>
            </w:pPr>
          </w:p>
        </w:tc>
      </w:tr>
      <w:tr>
        <w:trPr>
          <w:trHeight w:val="162"/>
        </w:trPr>
        <w:tc>
          <w:tcPr>
            <w:tcW w:w="2960" w:type="dxa"/>
            <w:vAlign w:val="bottom"/>
            <w:gridSpan w:val="6"/>
          </w:tcPr>
          <w:p>
            <w:pPr>
              <w:spacing w:after="0"/>
              <w:rPr>
                <w:sz w:val="20"/>
                <w:szCs w:val="20"/>
                <w:color w:val="auto"/>
              </w:rPr>
            </w:pPr>
            <w:r>
              <w:rPr>
                <w:rFonts w:ascii="Arial" w:cs="Arial" w:eastAsia="Arial" w:hAnsi="Arial"/>
                <w:sz w:val="14"/>
                <w:szCs w:val="14"/>
                <w:b w:val="1"/>
                <w:bCs w:val="1"/>
                <w:color w:val="auto"/>
              </w:rPr>
              <w:t>Location</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Franchise(s)</w:t>
            </w:r>
          </w:p>
        </w:tc>
        <w:tc>
          <w:tcPr>
            <w:tcW w:w="3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Franchise(s)</w:t>
            </w:r>
          </w:p>
        </w:tc>
        <w:tc>
          <w:tcPr>
            <w:tcW w:w="9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Alabama:</w:t>
            </w: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Mobile</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Peterbilt</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gridSpan w:val="5"/>
          </w:tcPr>
          <w:p>
            <w:pPr>
              <w:spacing w:after="0" w:line="176" w:lineRule="exact"/>
              <w:rPr>
                <w:sz w:val="20"/>
                <w:szCs w:val="20"/>
                <w:color w:val="auto"/>
              </w:rPr>
            </w:pPr>
            <w:r>
              <w:rPr>
                <w:rFonts w:ascii="Arial" w:cs="Arial" w:eastAsia="Arial" w:hAnsi="Arial"/>
                <w:sz w:val="18"/>
                <w:szCs w:val="18"/>
                <w:b w:val="1"/>
                <w:bCs w:val="1"/>
                <w:i w:val="1"/>
                <w:iCs w:val="1"/>
                <w:color w:val="auto"/>
              </w:rPr>
              <w:t>Arizona:</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Chandler</w:t>
            </w: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None</w:t>
            </w:r>
          </w:p>
        </w:tc>
        <w:tc>
          <w:tcPr>
            <w:tcW w:w="3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None</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Flagstaff</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35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None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Phoenix</w:t>
            </w: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Peterbilt, GMC, Hino</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Tucson</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Peterbilt, GMC, Hino</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gridSpan w:val="5"/>
          </w:tcPr>
          <w:p>
            <w:pPr>
              <w:spacing w:after="0" w:line="176" w:lineRule="exact"/>
              <w:rPr>
                <w:sz w:val="20"/>
                <w:szCs w:val="20"/>
                <w:color w:val="auto"/>
              </w:rPr>
            </w:pPr>
            <w:r>
              <w:rPr>
                <w:rFonts w:ascii="Arial" w:cs="Arial" w:eastAsia="Arial" w:hAnsi="Arial"/>
                <w:sz w:val="18"/>
                <w:szCs w:val="18"/>
                <w:b w:val="1"/>
                <w:bCs w:val="1"/>
                <w:i w:val="1"/>
                <w:iCs w:val="1"/>
                <w:color w:val="auto"/>
              </w:rPr>
              <w:t>California:</w:t>
            </w: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El Centro</w:t>
            </w: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Peterbilt</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8"/>
                <w:szCs w:val="18"/>
                <w:color w:val="auto"/>
              </w:rPr>
              <w:t>Escondido</w:t>
            </w: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Peterbilt, Hino</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Fontana Heavy-Duty</w:t>
            </w: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Peterbilt</w:t>
            </w:r>
          </w:p>
        </w:tc>
        <w:tc>
          <w:tcPr>
            <w:tcW w:w="3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Peterbilt</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Fontana Medium-Duty</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88"/>
              </w:rPr>
              <w:t>None</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 GMC, Hino Isuzu, UD</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Pico Rivera</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UD (parts only)</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San Diego</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Sylmar</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Colorado:</w:t>
            </w:r>
          </w:p>
        </w:tc>
        <w:tc>
          <w:tcPr>
            <w:tcW w:w="23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Denver Heavy-Duty</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Denver Medium-Duty</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None</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Ford, Isuzu</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Greeley</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tcPr>
          <w:p>
            <w:pPr>
              <w:spacing w:after="0" w:line="176" w:lineRule="exact"/>
              <w:rPr>
                <w:sz w:val="20"/>
                <w:szCs w:val="20"/>
                <w:color w:val="auto"/>
              </w:rPr>
            </w:pPr>
            <w:r>
              <w:rPr>
                <w:rFonts w:ascii="Arial" w:cs="Arial" w:eastAsia="Arial" w:hAnsi="Arial"/>
                <w:sz w:val="18"/>
                <w:szCs w:val="18"/>
                <w:b w:val="1"/>
                <w:bCs w:val="1"/>
                <w:i w:val="1"/>
                <w:iCs w:val="1"/>
                <w:color w:val="auto"/>
              </w:rPr>
              <w:t>Florida:</w:t>
            </w:r>
          </w:p>
        </w:tc>
        <w:tc>
          <w:tcPr>
            <w:tcW w:w="2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Haines City</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Orlando</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 GMC, Isuzu, UD</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Tampa</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Winter Garden</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Jacksonville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Hino</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Georgia:</w:t>
            </w:r>
          </w:p>
        </w:tc>
        <w:tc>
          <w:tcPr>
            <w:tcW w:w="23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Atlanta</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88"/>
              </w:rPr>
              <w:t>None</w:t>
            </w:r>
          </w:p>
        </w:tc>
        <w:tc>
          <w:tcPr>
            <w:tcW w:w="3320" w:type="dxa"/>
            <w:vAlign w:val="bottom"/>
          </w:tcPr>
          <w:p>
            <w:pPr>
              <w:jc w:val="center"/>
              <w:spacing w:after="0"/>
              <w:rPr>
                <w:sz w:val="20"/>
                <w:szCs w:val="20"/>
                <w:color w:val="auto"/>
              </w:rPr>
            </w:pPr>
            <w:r>
              <w:rPr>
                <w:rFonts w:ascii="Arial" w:cs="Arial" w:eastAsia="Arial" w:hAnsi="Arial"/>
                <w:sz w:val="18"/>
                <w:szCs w:val="18"/>
                <w:color w:val="auto"/>
                <w:w w:val="95"/>
              </w:rPr>
              <w:t>GMC, Hino, Isuzu, UD</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tcPr>
          <w:p>
            <w:pPr>
              <w:spacing w:after="0" w:line="176" w:lineRule="exact"/>
              <w:rPr>
                <w:sz w:val="20"/>
                <w:szCs w:val="20"/>
                <w:color w:val="auto"/>
              </w:rPr>
            </w:pPr>
            <w:r>
              <w:rPr>
                <w:rFonts w:ascii="Arial" w:cs="Arial" w:eastAsia="Arial" w:hAnsi="Arial"/>
                <w:sz w:val="18"/>
                <w:szCs w:val="18"/>
                <w:b w:val="1"/>
                <w:bCs w:val="1"/>
                <w:i w:val="1"/>
                <w:iCs w:val="1"/>
                <w:color w:val="auto"/>
              </w:rPr>
              <w:t>New Mexico:</w:t>
            </w:r>
          </w:p>
        </w:tc>
        <w:tc>
          <w:tcPr>
            <w:tcW w:w="2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Albuquerque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Las Cruces</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88"/>
              </w:rPr>
              <w:t>None</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tcPr>
          <w:p>
            <w:pPr>
              <w:spacing w:after="0" w:line="176" w:lineRule="exact"/>
              <w:rPr>
                <w:sz w:val="20"/>
                <w:szCs w:val="20"/>
                <w:color w:val="auto"/>
              </w:rPr>
            </w:pPr>
            <w:r>
              <w:rPr>
                <w:rFonts w:ascii="Arial" w:cs="Arial" w:eastAsia="Arial" w:hAnsi="Arial"/>
                <w:sz w:val="18"/>
                <w:szCs w:val="18"/>
                <w:b w:val="1"/>
                <w:bCs w:val="1"/>
                <w:i w:val="1"/>
                <w:iCs w:val="1"/>
                <w:color w:val="auto"/>
              </w:rPr>
              <w:t>Oklahoma:</w:t>
            </w:r>
          </w:p>
        </w:tc>
        <w:tc>
          <w:tcPr>
            <w:tcW w:w="2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Ardmore</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Oklahoma City</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Tulsa</w:t>
            </w:r>
          </w:p>
        </w:tc>
        <w:tc>
          <w:tcPr>
            <w:tcW w:w="2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Peterbilt, Volvo</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Tennessee:</w:t>
            </w:r>
          </w:p>
        </w:tc>
        <w:tc>
          <w:tcPr>
            <w:tcW w:w="23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7"/>
          </w:tcPr>
          <w:p>
            <w:pPr>
              <w:ind w:left="160"/>
              <w:spacing w:after="0"/>
              <w:rPr>
                <w:sz w:val="20"/>
                <w:szCs w:val="20"/>
                <w:color w:val="auto"/>
              </w:rPr>
            </w:pPr>
            <w:r>
              <w:rPr>
                <w:rFonts w:ascii="Arial" w:cs="Arial" w:eastAsia="Arial" w:hAnsi="Arial"/>
                <w:sz w:val="18"/>
                <w:szCs w:val="18"/>
                <w:color w:val="auto"/>
              </w:rPr>
              <w:t>Nashville</w:t>
            </w:r>
          </w:p>
        </w:tc>
        <w:tc>
          <w:tcPr>
            <w:tcW w:w="2380" w:type="dxa"/>
            <w:vAlign w:val="bottom"/>
          </w:tcPr>
          <w:p>
            <w:pPr>
              <w:jc w:val="center"/>
              <w:ind w:left="110"/>
              <w:spacing w:after="0"/>
              <w:rPr>
                <w:sz w:val="20"/>
                <w:szCs w:val="20"/>
                <w:color w:val="auto"/>
              </w:rPr>
            </w:pPr>
            <w:r>
              <w:rPr>
                <w:rFonts w:ascii="Arial" w:cs="Arial" w:eastAsia="Arial" w:hAnsi="Arial"/>
                <w:sz w:val="18"/>
                <w:szCs w:val="18"/>
                <w:color w:val="auto"/>
                <w:w w:val="93"/>
              </w:rPr>
              <w:t>Peterbilt</w:t>
            </w:r>
          </w:p>
        </w:tc>
        <w:tc>
          <w:tcPr>
            <w:tcW w:w="3320" w:type="dxa"/>
            <w:vAlign w:val="bottom"/>
          </w:tcPr>
          <w:p>
            <w:pPr>
              <w:jc w:val="center"/>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6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60" w:type="dxa"/>
            <w:vAlign w:val="bottom"/>
          </w:tcPr>
          <w:p>
            <w:pPr>
              <w:ind w:left="420"/>
              <w:spacing w:after="0"/>
              <w:rPr>
                <w:sz w:val="20"/>
                <w:szCs w:val="20"/>
                <w:color w:val="auto"/>
              </w:rPr>
            </w:pPr>
            <w:r>
              <w:rPr>
                <w:rFonts w:ascii="Arial" w:cs="Arial" w:eastAsia="Arial" w:hAnsi="Arial"/>
                <w:sz w:val="18"/>
                <w:szCs w:val="18"/>
                <w:color w:val="auto"/>
              </w:rPr>
              <w:t>Yes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jc w:val="right"/>
              <w:ind w:right="243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Texas:</w:t>
            </w:r>
          </w:p>
        </w:tc>
        <w:tc>
          <w:tcPr>
            <w:tcW w:w="21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
        </w:trPr>
        <w:tc>
          <w:tcPr>
            <w:tcW w:w="440" w:type="dxa"/>
            <w:vAlign w:val="bottom"/>
            <w:tcBorders>
              <w:top w:val="single" w:sz="8" w:color="auto"/>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Abilene</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Alice</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Austin</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 GMC, Hino, Isuzu, UD</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Dallas Heavy-Duty</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Dallas Medium-Duty</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2"/>
              </w:rPr>
              <w:t>None</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4"/>
              </w:rPr>
              <w:t>Peterbilt, GMC, Hino, UD</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 Paso</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Peterbilt, GMC</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Fort Worth</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10"/>
              <w:spacing w:after="0"/>
              <w:rPr>
                <w:sz w:val="20"/>
                <w:szCs w:val="20"/>
                <w:color w:val="auto"/>
              </w:rPr>
            </w:pPr>
            <w:r>
              <w:rPr>
                <w:rFonts w:ascii="Arial" w:cs="Arial" w:eastAsia="Arial" w:hAnsi="Arial"/>
                <w:sz w:val="18"/>
                <w:szCs w:val="18"/>
                <w:color w:val="auto"/>
                <w:w w:val="94"/>
              </w:rPr>
              <w:t>Peterbilt, UD</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Peterbilt, GMC, Hino</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Laredo</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Lufkin</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Pharr</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 Hino</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Antonio</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Peterbilt, GMC, Hino</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Yes</w:t>
            </w:r>
          </w:p>
        </w:tc>
      </w:tr>
      <w:tr>
        <w:trPr>
          <w:trHeight w:val="216"/>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Sealy</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Texarkana</w:t>
            </w:r>
          </w:p>
        </w:tc>
        <w:tc>
          <w:tcPr>
            <w:tcW w:w="2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Peterbilt, GMC, Isuzu</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Yes</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w:t>
            </w: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Tyler</w:t>
            </w:r>
          </w:p>
        </w:tc>
        <w:tc>
          <w:tcPr>
            <w:tcW w:w="2180" w:type="dxa"/>
            <w:vAlign w:val="bottom"/>
          </w:tcPr>
          <w:p>
            <w:pPr>
              <w:jc w:val="center"/>
              <w:ind w:left="210"/>
              <w:spacing w:after="0"/>
              <w:rPr>
                <w:sz w:val="20"/>
                <w:szCs w:val="20"/>
                <w:color w:val="auto"/>
              </w:rPr>
            </w:pPr>
            <w:r>
              <w:rPr>
                <w:rFonts w:ascii="Arial" w:cs="Arial" w:eastAsia="Arial" w:hAnsi="Arial"/>
                <w:sz w:val="18"/>
                <w:szCs w:val="18"/>
                <w:color w:val="auto"/>
                <w:w w:val="90"/>
              </w:rPr>
              <w:t>Peterbilt</w:t>
            </w:r>
          </w:p>
        </w:tc>
        <w:tc>
          <w:tcPr>
            <w:tcW w:w="3480" w:type="dxa"/>
            <w:vAlign w:val="bottom"/>
          </w:tcPr>
          <w:p>
            <w:pPr>
              <w:jc w:val="center"/>
              <w:ind w:left="130"/>
              <w:spacing w:after="0"/>
              <w:rPr>
                <w:sz w:val="20"/>
                <w:szCs w:val="20"/>
                <w:color w:val="auto"/>
              </w:rPr>
            </w:pPr>
            <w:r>
              <w:rPr>
                <w:rFonts w:ascii="Arial" w:cs="Arial" w:eastAsia="Arial" w:hAnsi="Arial"/>
                <w:sz w:val="18"/>
                <w:szCs w:val="18"/>
                <w:color w:val="auto"/>
                <w:w w:val="93"/>
              </w:rPr>
              <w:t>Peterbilt</w:t>
            </w:r>
          </w:p>
        </w:tc>
        <w:tc>
          <w:tcPr>
            <w:tcW w:w="1060" w:type="dxa"/>
            <w:vAlign w:val="bottom"/>
          </w:tcPr>
          <w:p>
            <w:pPr>
              <w:ind w:left="440"/>
              <w:spacing w:after="0"/>
              <w:rPr>
                <w:sz w:val="20"/>
                <w:szCs w:val="20"/>
                <w:color w:val="auto"/>
              </w:rPr>
            </w:pPr>
            <w:r>
              <w:rPr>
                <w:rFonts w:ascii="Arial" w:cs="Arial" w:eastAsia="Arial" w:hAnsi="Arial"/>
                <w:sz w:val="18"/>
                <w:szCs w:val="18"/>
                <w:color w:val="auto"/>
              </w:rPr>
              <w:t>Yes</w:t>
            </w:r>
          </w:p>
        </w:tc>
        <w:tc>
          <w:tcPr>
            <w:tcW w:w="1020" w:type="dxa"/>
            <w:vAlign w:val="bottom"/>
          </w:tcPr>
          <w:p>
            <w:pPr>
              <w:ind w:left="340"/>
              <w:spacing w:after="0"/>
              <w:rPr>
                <w:sz w:val="20"/>
                <w:szCs w:val="20"/>
                <w:color w:val="auto"/>
              </w:rPr>
            </w:pPr>
            <w:r>
              <w:rPr>
                <w:rFonts w:ascii="Arial" w:cs="Arial" w:eastAsia="Arial" w:hAnsi="Arial"/>
                <w:sz w:val="18"/>
                <w:szCs w:val="18"/>
                <w:color w:val="auto"/>
              </w:rPr>
              <w:t>Yes</w:t>
            </w:r>
          </w:p>
        </w:tc>
        <w:tc>
          <w:tcPr>
            <w:tcW w:w="1040" w:type="dxa"/>
            <w:vAlign w:val="bottom"/>
          </w:tcPr>
          <w:p>
            <w:pPr>
              <w:ind w:left="440"/>
              <w:spacing w:after="0"/>
              <w:rPr>
                <w:sz w:val="20"/>
                <w:szCs w:val="20"/>
                <w:color w:val="auto"/>
              </w:rPr>
            </w:pPr>
            <w:r>
              <w:rPr>
                <w:rFonts w:ascii="Arial" w:cs="Arial" w:eastAsia="Arial" w:hAnsi="Arial"/>
                <w:sz w:val="18"/>
                <w:szCs w:val="18"/>
                <w:color w:val="auto"/>
              </w:rPr>
              <w:t>No</w:t>
            </w:r>
          </w:p>
        </w:tc>
      </w:tr>
    </w:tbl>
    <w:p>
      <w:pPr>
        <w:spacing w:after="0" w:line="24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Rush Equipment Center. </w:t>
      </w:r>
      <w:r>
        <w:rPr>
          <w:rFonts w:ascii="Arial" w:cs="Arial" w:eastAsia="Arial" w:hAnsi="Arial"/>
          <w:sz w:val="18"/>
          <w:szCs w:val="18"/>
          <w:color w:val="auto"/>
        </w:rPr>
        <w:t>Our Rush Equipment Center in Houston, Texas, provides a full line of construction equipment, including John Deere</w:t>
      </w:r>
      <w:r>
        <w:rPr>
          <w:rFonts w:ascii="Arial" w:cs="Arial" w:eastAsia="Arial" w:hAnsi="Arial"/>
          <w:sz w:val="18"/>
          <w:szCs w:val="18"/>
          <w:i w:val="1"/>
          <w:iCs w:val="1"/>
          <w:color w:val="auto"/>
        </w:rPr>
        <w:t xml:space="preserve"> </w:t>
      </w:r>
      <w:r>
        <w:rPr>
          <w:rFonts w:ascii="Arial" w:cs="Arial" w:eastAsia="Arial" w:hAnsi="Arial"/>
          <w:sz w:val="18"/>
          <w:szCs w:val="18"/>
          <w:color w:val="auto"/>
        </w:rPr>
        <w:t>backhoe loaders, hydraulic excavators, crawler-dozers and four-wheel drive loaders.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Leasing and Rental Services. </w:t>
      </w:r>
      <w:r>
        <w:rPr>
          <w:rFonts w:ascii="Arial" w:cs="Arial" w:eastAsia="Arial" w:hAnsi="Arial"/>
          <w:sz w:val="18"/>
          <w:szCs w:val="18"/>
          <w:color w:val="auto"/>
        </w:rPr>
        <w:t>Through certain of our Rush Truck Centers and three stand-alone Rush Truck Leasing stores, we provide a broad line</w:t>
      </w:r>
      <w:r>
        <w:rPr>
          <w:rFonts w:ascii="Arial" w:cs="Arial" w:eastAsia="Arial" w:hAnsi="Arial"/>
          <w:sz w:val="18"/>
          <w:szCs w:val="18"/>
          <w:i w:val="1"/>
          <w:iCs w:val="1"/>
          <w:color w:val="auto"/>
        </w:rPr>
        <w:t xml:space="preserve"> </w:t>
      </w:r>
      <w:r>
        <w:rPr>
          <w:rFonts w:ascii="Arial" w:cs="Arial" w:eastAsia="Arial" w:hAnsi="Arial"/>
          <w:sz w:val="18"/>
          <w:szCs w:val="18"/>
          <w:color w:val="auto"/>
        </w:rPr>
        <w:t>of product selections for lease or rent, including Class 4, Class 5, Class 6, Class 7 and Class 8 trucks, heavy-duty cranes and refuse haulers. Our lease and rental fleets are offered on a daily, monthly or long-term basis.</w:t>
      </w:r>
    </w:p>
    <w:p>
      <w:pPr>
        <w:spacing w:after="0" w:line="18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dealerships we offer third-party financing to assist customers in purchasing new and used trucks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equipment. Additionally, we sell, as agent, a complete line of property and casualty insurance, including collision and liability insurance on trucks, cargo insurance and credit life insurance.</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Perfection Equipment. </w:t>
      </w:r>
      <w:r>
        <w:rPr>
          <w:rFonts w:ascii="Arial" w:cs="Arial" w:eastAsia="Arial" w:hAnsi="Arial"/>
          <w:sz w:val="18"/>
          <w:szCs w:val="18"/>
          <w:color w:val="auto"/>
        </w:rPr>
        <w:t>Our Perfection Equipment subsidiary operates out of two locations in Oklahoma City. Perfection Equipment offers</w:t>
      </w:r>
      <w:r>
        <w:rPr>
          <w:rFonts w:ascii="Arial" w:cs="Arial" w:eastAsia="Arial" w:hAnsi="Arial"/>
          <w:sz w:val="18"/>
          <w:szCs w:val="18"/>
          <w:i w:val="1"/>
          <w:iCs w:val="1"/>
          <w:color w:val="auto"/>
        </w:rPr>
        <w:t xml:space="preserve"> </w:t>
      </w:r>
      <w:r>
        <w:rPr>
          <w:rFonts w:ascii="Arial" w:cs="Arial" w:eastAsia="Arial" w:hAnsi="Arial"/>
          <w:sz w:val="18"/>
          <w:szCs w:val="18"/>
          <w:color w:val="auto"/>
        </w:rPr>
        <w:t>installation of equipment, equipment repair, parts installation, and paint and body repair to owners of commercial vehicles. Perfection carries over 120 lines of truck and industrial parts and over 100 lines of equipment. Perfection Equipment specializes in up-fitting a variety of trucks used by oilfield service providers and other specialized service providers.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World Wide Tires</w:t>
      </w:r>
      <w:r>
        <w:rPr>
          <w:rFonts w:ascii="Arial" w:cs="Arial" w:eastAsia="Arial" w:hAnsi="Arial"/>
          <w:sz w:val="16"/>
          <w:szCs w:val="16"/>
          <w:color w:val="auto"/>
        </w:rPr>
        <w:t>. We operate World Wide Tires stores in three locations in Texas. World Wide Tires primarily sells tires for use on Class 8 trucks.</w:t>
      </w:r>
    </w:p>
    <w:p>
      <w:pPr>
        <w:sectPr>
          <w:pgSz w:w="11900" w:h="16838" w:orient="portrait"/>
          <w:cols w:equalWidth="0" w:num="1">
            <w:col w:w="11460"/>
          </w:cols>
          <w:pgMar w:left="240" w:top="125" w:right="19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 network that primarily markets Peterbilt heavy-duty trucks, medium-duty trucks</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manufacturers and John Deere construction equipment and provides complementary products and services. Our strategy includes the following key elements:</w:t>
      </w:r>
    </w:p>
    <w:p>
      <w:pPr>
        <w:spacing w:after="0" w:line="181" w:lineRule="exact"/>
        <w:rPr>
          <w:sz w:val="20"/>
          <w:szCs w:val="20"/>
          <w:color w:val="auto"/>
        </w:rPr>
      </w:pPr>
    </w:p>
    <w:p>
      <w:pPr>
        <w:ind w:left="980" w:hanging="324"/>
        <w:spacing w:after="0" w:line="25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truck and construction equipment dealerships as “one-stop centers” where, at one convenient location, our customers can do the following: purchase new and used trucks or construction equipment; finance, lease or rent trucks or construction equipment;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truck and construction equipment sales.</w:t>
      </w:r>
    </w:p>
    <w:p>
      <w:pPr>
        <w:spacing w:after="0" w:line="188" w:lineRule="exact"/>
        <w:rPr>
          <w:rFonts w:ascii="Arial" w:cs="Arial" w:eastAsia="Arial" w:hAnsi="Arial"/>
          <w:sz w:val="18"/>
          <w:szCs w:val="18"/>
          <w:color w:val="auto"/>
        </w:rPr>
      </w:pPr>
    </w:p>
    <w:p>
      <w:pPr>
        <w:jc w:val="both"/>
        <w:ind w:left="980" w:right="380" w:hanging="324"/>
        <w:spacing w:after="0" w:line="264"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1" w:lineRule="exact"/>
        <w:rPr>
          <w:rFonts w:ascii="Arial" w:cs="Arial" w:eastAsia="Arial" w:hAnsi="Arial"/>
          <w:sz w:val="18"/>
          <w:szCs w:val="18"/>
          <w:color w:val="auto"/>
        </w:rPr>
      </w:pPr>
    </w:p>
    <w:p>
      <w:pPr>
        <w:ind w:left="980" w:right="20" w:hanging="324"/>
        <w:spacing w:after="0" w:line="25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Management by Dealership Units</w:t>
      </w:r>
      <w:r>
        <w:rPr>
          <w:rFonts w:ascii="Arial" w:cs="Arial" w:eastAsia="Arial" w:hAnsi="Arial"/>
          <w:sz w:val="18"/>
          <w:szCs w:val="18"/>
          <w:color w:val="auto"/>
        </w:rPr>
        <w:t>. At each of our dealerships, we operate one or more of the following business units: new sales, used sales, financial services, parts, service or body shop. Our general managers measure and manage the operations of each of our dealerships according to the specific business units operating at that location. We believe that this system enhances the profitability of all aspects of a dealership and increases our overall operating margins. Operating goals for each business unit at each of our dealerships are established annually and managers are rewarded for performance accordingly.</w:t>
      </w:r>
    </w:p>
    <w:p>
      <w:pPr>
        <w:spacing w:after="0" w:line="188" w:lineRule="exact"/>
        <w:rPr>
          <w:rFonts w:ascii="Arial" w:cs="Arial" w:eastAsia="Arial" w:hAnsi="Arial"/>
          <w:sz w:val="18"/>
          <w:szCs w:val="18"/>
          <w:color w:val="auto"/>
        </w:rPr>
      </w:pPr>
    </w:p>
    <w:p>
      <w:pPr>
        <w:ind w:left="980" w:right="20" w:hanging="324"/>
        <w:spacing w:after="0" w:line="272" w:lineRule="auto"/>
        <w:tabs>
          <w:tab w:leader="none" w:pos="944"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Integrated Management Information Systems</w:t>
      </w:r>
      <w:r>
        <w:rPr>
          <w:rFonts w:ascii="Arial" w:cs="Arial" w:eastAsia="Arial" w:hAnsi="Arial"/>
          <w:sz w:val="17"/>
          <w:szCs w:val="17"/>
          <w:color w:val="auto"/>
        </w:rPr>
        <w:t>. In order to efficiently operate separate business units within each dealership, we rely upon our management information systems to determine and monitor appropriate inventory levels and product mix at each Rush Truck Center. Each Rush Truck Center can access a centralized real-time inventory tracking system that is accessible simultaneously by all locations. Our automated parts reordering system assists each Rush Truck Center in maintaining the proper inventory levels and typically 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84" w:lineRule="exact"/>
        <w:rPr>
          <w:sz w:val="20"/>
          <w:szCs w:val="20"/>
          <w:color w:val="auto"/>
        </w:rPr>
      </w:pPr>
    </w:p>
    <w:p>
      <w:pPr>
        <w:jc w:val="both"/>
        <w:ind w:right="640" w:firstLine="666"/>
        <w:spacing w:after="0" w:line="306" w:lineRule="auto"/>
        <w:rPr>
          <w:sz w:val="20"/>
          <w:szCs w:val="20"/>
          <w:color w:val="auto"/>
        </w:rPr>
      </w:pPr>
      <w:r>
        <w:rPr>
          <w:rFonts w:ascii="Arial" w:cs="Arial" w:eastAsia="Arial" w:hAnsi="Arial"/>
          <w:sz w:val="16"/>
          <w:szCs w:val="16"/>
          <w:i w:val="1"/>
          <w:iCs w:val="1"/>
          <w:color w:val="auto"/>
        </w:rPr>
        <w:t xml:space="preserve">Growth Strategy. </w:t>
      </w:r>
      <w:r>
        <w:rPr>
          <w:rFonts w:ascii="Arial" w:cs="Arial" w:eastAsia="Arial" w:hAnsi="Arial"/>
          <w:sz w:val="16"/>
          <w:szCs w:val="16"/>
          <w:color w:val="auto"/>
        </w:rPr>
        <w:t>Through our expansion and acquisition initiatives, we have grown to operate a large, multistate, full-service network of truck</w:t>
      </w:r>
      <w:r>
        <w:rPr>
          <w:rFonts w:ascii="Arial" w:cs="Arial" w:eastAsia="Arial" w:hAnsi="Arial"/>
          <w:sz w:val="16"/>
          <w:szCs w:val="16"/>
          <w:i w:val="1"/>
          <w:iCs w:val="1"/>
          <w:color w:val="auto"/>
        </w:rPr>
        <w:t xml:space="preserve"> </w:t>
      </w:r>
      <w:r>
        <w:rPr>
          <w:rFonts w:ascii="Arial" w:cs="Arial" w:eastAsia="Arial" w:hAnsi="Arial"/>
          <w:sz w:val="16"/>
          <w:szCs w:val="16"/>
          <w:color w:val="auto"/>
        </w:rPr>
        <w:t>dealerships. As described below, we intend to continue to grow our business internally and through acquisitions by expanding into new geographic areas, expanding our product offerings and opening new one-stop truck and equipment centers in existing markets.</w:t>
      </w:r>
    </w:p>
    <w:p>
      <w:pPr>
        <w:spacing w:after="0" w:line="155" w:lineRule="exact"/>
        <w:rPr>
          <w:sz w:val="20"/>
          <w:szCs w:val="20"/>
          <w:color w:val="auto"/>
        </w:rPr>
      </w:pPr>
    </w:p>
    <w:p>
      <w:pPr>
        <w:ind w:left="980" w:right="200" w:hanging="324"/>
        <w:spacing w:after="0" w:line="255"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Expansion Into New Geographic Areas</w:t>
      </w:r>
      <w:r>
        <w:rPr>
          <w:rFonts w:ascii="Arial" w:cs="Arial" w:eastAsia="Arial" w:hAnsi="Arial"/>
          <w:sz w:val="18"/>
          <w:szCs w:val="18"/>
          <w:i w:val="1"/>
          <w:iCs w:val="1"/>
          <w:color w:val="auto"/>
        </w:rPr>
        <w:t>.</w:t>
      </w:r>
      <w:r>
        <w:rPr>
          <w:rFonts w:ascii="Arial" w:cs="Arial" w:eastAsia="Arial" w:hAnsi="Arial"/>
          <w:sz w:val="18"/>
          <w:szCs w:val="18"/>
          <w:color w:val="auto"/>
        </w:rPr>
        <w:t xml:space="preserve"> We plan to continue to expand our Rush Truck Center network and build a Rush Equipment Center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trucks and parts by allowing us to allocate our inventory among the geographic regions we serve based on market demand within these regions.</w:t>
      </w:r>
    </w:p>
    <w:p>
      <w:pPr>
        <w:spacing w:after="0" w:line="193" w:lineRule="exact"/>
        <w:rPr>
          <w:rFonts w:ascii="Arial" w:cs="Arial" w:eastAsia="Arial" w:hAnsi="Arial"/>
          <w:sz w:val="18"/>
          <w:szCs w:val="18"/>
          <w:color w:val="auto"/>
        </w:rPr>
      </w:pPr>
    </w:p>
    <w:p>
      <w:pPr>
        <w:ind w:left="980" w:right="400" w:hanging="324"/>
        <w:spacing w:after="0" w:line="34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Expansion of Product Offerings</w:t>
      </w:r>
      <w:r>
        <w:rPr>
          <w:rFonts w:ascii="Arial" w:cs="Arial" w:eastAsia="Arial" w:hAnsi="Arial"/>
          <w:sz w:val="16"/>
          <w:szCs w:val="16"/>
          <w:i w:val="1"/>
          <w:iCs w:val="1"/>
          <w:color w:val="auto"/>
        </w:rPr>
        <w:t>.</w:t>
      </w:r>
      <w:r>
        <w:rPr>
          <w:rFonts w:ascii="Arial" w:cs="Arial" w:eastAsia="Arial" w:hAnsi="Arial"/>
          <w:sz w:val="16"/>
          <w:szCs w:val="16"/>
          <w:color w:val="auto"/>
        </w:rPr>
        <w:t xml:space="preserve"> We intend to continue to expand our product lines within our Rush Truck Centers and our Rush Equipment Center by adding product categories that are both complementary to our existing product lines and well suited to our operating model.</w:t>
      </w:r>
    </w:p>
    <w:p>
      <w:pPr>
        <w:spacing w:after="0" w:line="124" w:lineRule="exact"/>
        <w:rPr>
          <w:sz w:val="20"/>
          <w:szCs w:val="20"/>
          <w:color w:val="auto"/>
        </w:rPr>
      </w:pPr>
    </w:p>
    <w:p>
      <w:pPr>
        <w:ind w:left="980" w:right="540"/>
        <w:spacing w:after="0" w:line="277" w:lineRule="auto"/>
        <w:rPr>
          <w:sz w:val="20"/>
          <w:szCs w:val="20"/>
          <w:color w:val="auto"/>
        </w:rPr>
      </w:pPr>
      <w:r>
        <w:rPr>
          <w:rFonts w:ascii="Arial" w:cs="Arial" w:eastAsia="Arial" w:hAnsi="Arial"/>
          <w:sz w:val="18"/>
          <w:szCs w:val="18"/>
          <w:color w:val="auto"/>
        </w:rPr>
        <w:t>We believe that there are many additional product and service offerings that would complement our primary product lines. We expect any product category expansion that we pursue to satisfy our requirements that:</w:t>
      </w:r>
    </w:p>
    <w:p>
      <w:pPr>
        <w:spacing w:after="0" w:line="170" w:lineRule="exact"/>
        <w:rPr>
          <w:sz w:val="20"/>
          <w:szCs w:val="20"/>
          <w:color w:val="auto"/>
        </w:rPr>
      </w:pPr>
    </w:p>
    <w:p>
      <w:pPr>
        <w:ind w:left="1600" w:hanging="295"/>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products are of a premium brand;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products provide opportunities for incremental income through related aftermarket sales, service or financing;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Rush operating controls can be implemented to enhance the financial performance of the business.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Open New Rush Truck and Equipment Centers in Existing Areas of Operation</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that there are opportunities to increase our share of the heavy-duty truck market by introducing our one-stop centers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right="60"/>
        <w:spacing w:after="0" w:line="312" w:lineRule="auto"/>
        <w:rPr>
          <w:sz w:val="20"/>
          <w:szCs w:val="20"/>
          <w:color w:val="auto"/>
        </w:rPr>
      </w:pPr>
      <w:r>
        <w:rPr>
          <w:rFonts w:ascii="Arial" w:cs="Arial" w:eastAsia="Arial" w:hAnsi="Arial"/>
          <w:sz w:val="16"/>
          <w:szCs w:val="16"/>
          <w:color w:val="auto"/>
        </w:rPr>
        <w:t>underserved markets within our current areas of operation. For example, we added a Rush Truck Center in Alice, Texas, to take better advantage of a high-density heavy-duty truck population within our existing area of operation. The introduction of additional one-stop centers enables us to enhance revenues from our existing customer base as well as increase the awareness of the “Rush” brand name for new customers.</w:t>
      </w:r>
    </w:p>
    <w:p>
      <w:pPr>
        <w:sectPr>
          <w:pgSz w:w="11900" w:h="16838" w:orient="portrait"/>
          <w:cols w:equalWidth="0" w:num="1">
            <w:col w:w="11420"/>
          </w:cols>
          <w:pgMar w:left="240" w:top="121" w:right="239" w:bottom="0" w:gutter="0" w:footer="0" w:header="0"/>
        </w:sectPr>
      </w:pPr>
    </w:p>
    <w:bookmarkStart w:id="5" w:name="page6"/>
    <w:bookmarkEnd w:id="5"/>
    <w:p>
      <w:pPr>
        <w:spacing w:after="0" w:line="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identifying new areas for expansion, we analyze the target market’s level of new truck registrations, customer buying and leasing trends and the existence of competing franchises. We also assess the potential performance of a parts and service center to determine whether a market is suitable for a Rush Truck Center. After a market has been strategically reviewed, we survey the region for a well-situated location. Whether we acquire existing dealerships or open a new Rush Truck Center, we will introduce our branding program and implement our integrated management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manage our dealerships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Rush Truck Centers are responsible for sales of new and used heavy-duty and medium-duty trucks, as well as related parts and services.</w:t>
      </w:r>
    </w:p>
    <w:p>
      <w:pPr>
        <w:spacing w:after="0" w:line="23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u w:val="single" w:color="auto"/>
          <w:color w:val="auto"/>
        </w:rPr>
        <w:t>New Truck Sales</w:t>
      </w:r>
      <w:r>
        <w:rPr>
          <w:rFonts w:ascii="Arial" w:cs="Arial" w:eastAsia="Arial" w:hAnsi="Arial"/>
          <w:sz w:val="18"/>
          <w:szCs w:val="18"/>
          <w:color w:val="auto"/>
        </w:rPr>
        <w:t>. New heavy-duty truck sales represent the largest portion of our revenue, accounting for approximately $1,317.9 million, or 56.1%, of our total revenues in 2006. New Class 8 heavy-duty Peterbilt truck sales accounted for approximately 82.9% of our new truck revenues for 2006. The delivery time for a custom-ordered truck varies depending on vehicle specifications and demand.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Our Rush Truck Centers that sell new and used Class 8 heavy-duty trucks also sell Class 6 and Class 7 medium-duty Peterbilt trucks. Other Rush Truck Centers also sell medium-duty trucks manufactured by GMC, Hino, Isuzu, Ford or UD (see Part I, Item 1, “General — </w:t>
      </w:r>
      <w:r>
        <w:rPr>
          <w:rFonts w:ascii="Arial" w:cs="Arial" w:eastAsia="Arial" w:hAnsi="Arial"/>
          <w:sz w:val="18"/>
          <w:szCs w:val="18"/>
          <w:i w:val="1"/>
          <w:iCs w:val="1"/>
          <w:color w:val="auto"/>
        </w:rPr>
        <w:t>Rush Truck Centers</w:t>
      </w:r>
      <w:r>
        <w:rPr>
          <w:rFonts w:ascii="Arial" w:cs="Arial" w:eastAsia="Arial" w:hAnsi="Arial"/>
          <w:sz w:val="18"/>
          <w:szCs w:val="18"/>
          <w:color w:val="auto"/>
        </w:rPr>
        <w:t>” for a description of our industry and the markets in which we operate). Medium-duty truck sales accounted for approximately $253.0 million, or 10.8% of our total revenues for 2006 and 15.9%, of our new truck revenues for 2006. Our customers use heavy-duty and medium-duty trucks to haul various materials, including general freight, petroleum, wood products, refuse and construction materials.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truck financing and insurance to our customers, has resulted in a high level of customer loyalty.</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u w:val="single" w:color="auto"/>
          <w:color w:val="auto"/>
        </w:rPr>
        <w:t>Used Truck Sales</w:t>
      </w:r>
      <w:r>
        <w:rPr>
          <w:rFonts w:ascii="Arial" w:cs="Arial" w:eastAsia="Arial" w:hAnsi="Arial"/>
          <w:sz w:val="18"/>
          <w:szCs w:val="18"/>
          <w:color w:val="auto"/>
        </w:rPr>
        <w:t>. Used truck sales accounted for approximately $191.9 million, or 8.2%, of our total revenues for 2006. We sell used Class 8 heavy-duty trucks and medium-duty trucks at most of our Rush Truck Centers. We believe that we are well positioned to market used heavy-duty trucks due to our ability to recondition them for resale utilizing the parts and service departments of our Rush Truck Centers and our ability to move used trucks between Rush Truck Centers to satisfy customer demand. The majority of our used truck fleet consists of trucks taken as trade-ins from new truck customers, but we supplement our used truck fleet by purchasing used trucks from third parties for resale.</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Truck Parts and Service</w:t>
      </w:r>
      <w:r>
        <w:rPr>
          <w:rFonts w:ascii="Arial" w:cs="Arial" w:eastAsia="Arial" w:hAnsi="Arial"/>
          <w:sz w:val="18"/>
          <w:szCs w:val="18"/>
          <w:color w:val="auto"/>
        </w:rPr>
        <w:t>. Truck-related parts and service revenues accounted for approximately $424.7 million, or 18.1%, of our total revenues for 2006. The parts business enhances our sales and service functions and is a source of recurring revenue. Most Rush Truck Centers carry a wide variety of Peterbilt and other truck parts in its inventory. We also have field service trucks and technicians who are capable of making on-site repairs at our customers’ locations.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Certain Rush Truck Centers also feature fully equipped service and body shop facilities, the combination and configuration of which varies by location, capable of handling a broad range of truck repairs on most makes and classes of trucks. Each Rush Truck Center is a warranty service center for the truck manufacturers represented at that location and most are also authorized service centers for other manufacturers, including the following: Caterpillar, Cummins, Eaton Corporation and ArvinMeritor, Inc. We have more than 750 service and body shop bays, including 20 paint booths, throughout our Rush Truck Center network.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We perform both warranty and nonwarranty service work on heavy-duty and medium-duty trucks and components. The cost of warranty work is reimbursed by the applicable manufacturer at retail consumer rates. A majority of the service technicians at our Rush Truck Centers have been certified by various truck or component manufacturers.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u w:val="single" w:color="auto"/>
          <w:color w:val="auto"/>
        </w:rPr>
        <w:t>Truck Leasing and Rental</w:t>
      </w:r>
      <w:r>
        <w:rPr>
          <w:rFonts w:ascii="Arial" w:cs="Arial" w:eastAsia="Arial" w:hAnsi="Arial"/>
          <w:sz w:val="17"/>
          <w:szCs w:val="17"/>
          <w:color w:val="auto"/>
        </w:rPr>
        <w:t>. Truck leasing and rental revenues accounted for approximately $41.4 million, or 1.8%, of our total revenues for 2006. We engage in full-service truck leasing under the PacLease trade name at nine locations and are the largest PacLease dealer in the United States.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had 2,345 trucks in our lease and rental fleet as of December 31, 2006 compared to 1,798 trucks as of December 31, 2005. As of December 31, 2006, we owned approximately 80% of our lease and rental fleet, and leased the remaining trucks in our fleet primarily from PACCAR Financial Corporation (“PACCAR Financial”). Currently, the average age of the trucks in our lease and rental fleet is approximately 24 months. Generally, we hold trucks in our lease and rental fleet for approximately 6 years, depending on the type of truck, and then sell them through the used sales operations at our Rush Truck Centers. Historically, we have realized gains on the sale of used lease trucks in excess of the cost of the purchase option contained in our leases with PACCAR Financial or the book value of trucks owned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Equipment Center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Rush Equipment Center in Houston, Texas is responsible for sales of new and used construction equipment and related parts and service.</w:t>
      </w:r>
    </w:p>
    <w:p>
      <w:pPr>
        <w:spacing w:after="0" w:line="23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u w:val="single" w:color="auto"/>
          <w:color w:val="auto"/>
        </w:rPr>
        <w:t>New Construction Equipment Sales</w:t>
      </w:r>
      <w:r>
        <w:rPr>
          <w:rFonts w:ascii="Arial" w:cs="Arial" w:eastAsia="Arial" w:hAnsi="Arial"/>
          <w:sz w:val="16"/>
          <w:szCs w:val="16"/>
          <w:color w:val="auto"/>
        </w:rPr>
        <w:t>. New construction equipment sales accounted for approximately $56.1 million, or 2.4%, of our total revenues for 2006. Our Rush Equipment Center carries a complete line of John Deere construction equipment. A new piece of John Deere construction equipment typically ranges in price from $50,000 for a backhoe to $500,000 for an excavator. We carry a full line of complementary construction equipment manufactured by other suppliers to enhance our John Deere product line. We sell construction equipment to a diverse customer base including residential and commercial construction contractors, utility companies, government agencies, and various petrochemical, industrial and material supply businesses.</w:t>
      </w:r>
    </w:p>
    <w:p>
      <w:pPr>
        <w:sectPr>
          <w:pgSz w:w="11900" w:h="16901" w:orient="portrait"/>
          <w:cols w:equalWidth="0" w:num="1">
            <w:col w:w="11420"/>
          </w:cols>
          <w:pgMar w:left="240" w:top="125" w:right="239" w:bottom="0" w:gutter="0" w:footer="0" w:header="0"/>
        </w:sectPr>
      </w:pPr>
    </w:p>
    <w:bookmarkStart w:id="6" w:name="page7"/>
    <w:bookmarkEnd w:id="6"/>
    <w:p>
      <w:pPr>
        <w:ind w:right="120" w:firstLine="648"/>
        <w:spacing w:after="0" w:line="259" w:lineRule="auto"/>
        <w:rPr>
          <w:sz w:val="20"/>
          <w:szCs w:val="20"/>
          <w:color w:val="auto"/>
        </w:rPr>
      </w:pPr>
      <w:r>
        <w:rPr>
          <w:rFonts w:ascii="Arial" w:cs="Arial" w:eastAsia="Arial" w:hAnsi="Arial"/>
          <w:sz w:val="18"/>
          <w:szCs w:val="18"/>
          <w:color w:val="auto"/>
        </w:rPr>
        <w:t>We believe that John Deere’s reputation for manufacturing high quality construction equipment attracts new and repeat customers who value lower maintenance and repair costs and a higher residual value at trade-in. We attempt to increase this brand loyalty with an operating strategy that is similar to the operating strategy used by our Rush Truck Centers and focuses on providing fast, reliable service. We believe that our operating strategy will enable us to both increase our customer base and generate repeat business for all product offerings.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u w:val="single" w:color="auto"/>
          <w:color w:val="auto"/>
        </w:rPr>
        <w:t>Used Construction Equipment Sales</w:t>
      </w:r>
      <w:r>
        <w:rPr>
          <w:rFonts w:ascii="Arial" w:cs="Arial" w:eastAsia="Arial" w:hAnsi="Arial"/>
          <w:sz w:val="18"/>
          <w:szCs w:val="18"/>
          <w:color w:val="auto"/>
        </w:rPr>
        <w:t>. Used construction equipment sales accounted for approximately $3.4 million, or 0.1%, of our total revenues for 2006. We sell used construction equipment manufactured by several manufacturers, including John Deere, Case Corporation, Caterpillar, and Komatsu, Ltd. Our used construction equipment inventory is derived from trade-ins from our construction equipment customers and purchases from third parties.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Construction Equipment Parts and Service</w:t>
      </w:r>
      <w:r>
        <w:rPr>
          <w:rFonts w:ascii="Arial" w:cs="Arial" w:eastAsia="Arial" w:hAnsi="Arial"/>
          <w:sz w:val="18"/>
          <w:szCs w:val="18"/>
          <w:color w:val="auto"/>
        </w:rPr>
        <w:t>. Construction equipment-related parts and service revenues accounted for approximately $16.7 million, or 0.7%, of our total revenues for 2006. Our Rush Equipment Center carries a wide variety of John Deere and other parts in its inventory, which consists of over 7,000 items from more than 15 suppliers. We are an authorized John Deere construction equipment parts and accessories supplier in the Houston, Texas area. We maintain a fully equipped service operation capable of handling repairs on John Deere construction equipment and most other brands of construction equipment at our Rush Equipment Center. We enhance our service presence with field service trucks and technicians who are capable of making on-site repairs at our customers’ locations.</w:t>
      </w:r>
    </w:p>
    <w:p>
      <w:pPr>
        <w:spacing w:after="0" w:line="19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Additional information related to these operating segments for 2006, 2005 and 2004 is included in Note 19 — Segments in the Notes to the Company’s Consolidated Financial Statements in Item 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Insurance Products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W </w:t>
      </w:r>
      <w:r>
        <w:rPr>
          <w:rFonts w:ascii="Arial" w:cs="Arial" w:eastAsia="Arial" w:hAnsi="Arial"/>
          <w:sz w:val="17"/>
          <w:szCs w:val="17"/>
          <w:color w:val="auto"/>
        </w:rPr>
        <w:t>e sell, as agent, a complete line of property and casualty insurance to our truck customers and other truck owners. Our agency is licensed to sell truck</w:t>
      </w:r>
      <w:r>
        <w:rPr>
          <w:rFonts w:ascii="Arial" w:cs="Arial" w:eastAsia="Arial" w:hAnsi="Arial"/>
          <w:sz w:val="18"/>
          <w:szCs w:val="18"/>
          <w:color w:val="auto"/>
        </w:rPr>
        <w:t xml:space="preserve"> </w:t>
      </w:r>
      <w:r>
        <w:rPr>
          <w:rFonts w:ascii="Arial" w:cs="Arial" w:eastAsia="Arial" w:hAnsi="Arial"/>
          <w:sz w:val="17"/>
          <w:szCs w:val="17"/>
          <w:color w:val="auto"/>
        </w:rPr>
        <w:t>liability, general liability, collision and comprehensive, workers’ compensation, cargo, credit life and health and occupational accident insurance coverage throughout our operating territory. We serve as sales representatives for a number of leading insurance companies including the Great American Insurance Companies, Hartford Insurance Group and American General Financial Group. Our renewal rate during 2006 was 75%.</w:t>
      </w:r>
    </w:p>
    <w:p>
      <w:pPr>
        <w:spacing w:after="0" w:line="18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At our Rush Truck Centers and our Rush Equipment Center we have personnel responsible for arranging third-party financing for our product offerings. We also have licensed insurance agents at some of our dealerships in Alabama, California, Colorado, Florida, New Mexico, Tennessee and Texas who arrange insurance for our customers. The sale of financial and insurance products accounted for approximately $19.2 million, or 0.8%, of our total revenue for 2006. Finance and insurance revenues have minimal direct costs and, therefore, contribute a disproportionate share of our operating profits.</w:t>
      </w:r>
    </w:p>
    <w:p>
      <w:pPr>
        <w:spacing w:after="0" w:line="15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u w:val="single" w:color="auto"/>
          <w:color w:val="auto"/>
        </w:rPr>
        <w:t>New and Used Truck Financing</w:t>
      </w:r>
      <w:r>
        <w:rPr>
          <w:rFonts w:ascii="Arial" w:cs="Arial" w:eastAsia="Arial" w:hAnsi="Arial"/>
          <w:sz w:val="16"/>
          <w:szCs w:val="16"/>
          <w:color w:val="auto"/>
        </w:rPr>
        <w:t>. Primarily through General Electric Capital Corporation (“GE Capital”) and PACCAR Financial, we arranged customer financing of approximately 27% of our new and used truck sales in 2006 compared to 24% in 2005. Generally, truck finance contracts are memorialized through the use of installment contracts, which are secured by the trucks financed, and require a down payment of 10% to 30% of the value of the financed truck, with the remaining balance financed over a two to five-year period. The majority of finance contracts are sold without recourse to the Company. The Company’s recourse liability related to finance contracts sold with recourse to the Company ranges from 5% to 100% of the outstanding amount of each note initiated on behalf of the finance company (see “Management’s Discussion and Analysis of Financial Condition and Results of Operations — Critical Accounting Policies”). The Company provides an allowance for repossession losses and early repayment penalties.</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u w:val="single" w:color="auto"/>
          <w:color w:val="auto"/>
        </w:rPr>
        <w:t>New and Used Construction Equipment</w:t>
      </w:r>
      <w:r>
        <w:rPr>
          <w:rFonts w:ascii="Arial" w:cs="Arial" w:eastAsia="Arial" w:hAnsi="Arial"/>
          <w:sz w:val="17"/>
          <w:szCs w:val="17"/>
          <w:color w:val="auto"/>
        </w:rPr>
        <w:t xml:space="preserve"> Financing. Through The CIT Group, Inc., CitiCapital, John Deere Credit and others, we arranged customer financing for approximately $31.8 million in 2006, an increase of 22.3% from approximately $26.0 million in 2005. Generally, construction equipment finance contracts are memorialized through the use of installment or lease contracts, which are secured by the construction equipment financed, and generally require a down payment of 0% to 10% of the value of the financed piece of construction equipment, with the remaining balance being financed over a three to five-year period. All finance contracts for construction equipment are assigned without recourse.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established expansion and acquisition strategy and long history of operations in the heavy-duty and medium-duty truck business have resulted in a strong customer base that is diverse in terms of geography, industry and scale of operations. Rush Truck Centers’ customers include owner operators, regional and national truck fleets, corporations and local governments. During 2006, no single customer of our Rush Truck Centers accounted for more than 10% of our total truck sales by dollar volume. Our Rush Equipment Centers’ customer base is similarly diverse and, during 2006, no single Rush Equipment Center customer accounted for more than 10% of our total construction equipment sales by dollar volume. We generally promote our products and related services through direct customer contact by our sales personnel, advertisements in trade magazines and attendance at industry shows.</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and our Rush Equipment Center, we implement our “Rush” brand name concept at each of our dealerships. Each of our dealerships is identified as either a Rush Truck Center or Rush Equipment Center.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ind w:right="300" w:firstLine="630"/>
        <w:spacing w:after="0" w:line="302" w:lineRule="auto"/>
        <w:rPr>
          <w:sz w:val="20"/>
          <w:szCs w:val="20"/>
          <w:color w:val="auto"/>
        </w:rPr>
      </w:pPr>
      <w:r>
        <w:rPr>
          <w:rFonts w:ascii="Arial" w:cs="Arial" w:eastAsia="Arial" w:hAnsi="Arial"/>
          <w:sz w:val="16"/>
          <w:szCs w:val="16"/>
          <w:i w:val="1"/>
          <w:iCs w:val="1"/>
          <w:color w:val="auto"/>
        </w:rPr>
        <w:t>Personnel</w:t>
      </w:r>
      <w:r>
        <w:rPr>
          <w:rFonts w:ascii="Arial" w:cs="Arial" w:eastAsia="Arial" w:hAnsi="Arial"/>
          <w:sz w:val="16"/>
          <w:szCs w:val="16"/>
          <w:color w:val="auto"/>
        </w:rPr>
        <w:t>. Each Rush Truck Center and the Rush Equipment Center is typically managed by a general manager who oversees the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and the financial performance of the location, subject to the direction of our corporate office. Additionally, each Rush Truck Center is typically staffed by a sales manager, parts manager, service manager, sales representatives, parts employees, and other service and makeready employees. The sales staff of each Rush Truck Center and the Rush Equipment Center is compensated on a salary plus commission basis, with a high percentage of</w:t>
      </w:r>
    </w:p>
    <w:p>
      <w:pPr>
        <w:sectPr>
          <w:pgSz w:w="11900" w:h="16838" w:orient="portrait"/>
          <w:cols w:equalWidth="0" w:num="1">
            <w:col w:w="11400"/>
          </w:cols>
          <w:pgMar w:left="240" w:top="125" w:right="259" w:bottom="84"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84" w:gutter="0" w:footer="0" w:header="0"/>
          <w:type w:val="continuous"/>
        </w:sectPr>
      </w:pPr>
    </w:p>
    <w:bookmarkStart w:id="7" w:name="page8"/>
    <w:bookmarkEnd w:id="7"/>
    <w:p>
      <w:pPr>
        <w:ind w:right="100"/>
        <w:spacing w:after="0" w:line="264" w:lineRule="auto"/>
        <w:rPr>
          <w:sz w:val="20"/>
          <w:szCs w:val="20"/>
          <w:color w:val="auto"/>
        </w:rPr>
      </w:pPr>
      <w:r>
        <w:rPr>
          <w:rFonts w:ascii="Arial" w:cs="Arial" w:eastAsia="Arial" w:hAnsi="Arial"/>
          <w:sz w:val="18"/>
          <w:szCs w:val="18"/>
          <w:color w:val="auto"/>
        </w:rPr>
        <w:t>their compensation consisting of commission, while the general manager, parts manager and service manager receive a combination of salary and performance bonus, with a high percentage of their compensation consisting of the performance bonus. We believe that our employees are among the highest paid in their respective industries which enables us to attract and retain qualified personnel.</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an annual basis, general managers prepare detailed monthly profit and loss forecasts based upon historical information and projected trends. A portion of each general manager’s performance bonus is based upon whether they meet or exceed their operating plans. During the year, general managers regularly review their facility’s progress with senior management and make appropriate adjustments as needed. Most of our employees receive annual performance evaluations.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been successful in retaining our senior management and general managers. To promote communication and efficiency in operating standards, general managers and members of senior management attend several company-wide strategy sessions per year. In addition, management personnel attend various industry-sponsored leadership and management seminars and receive continuing education on the products we distribute, marketing strategies and management information systems.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Members of senior management regularly travel to each location to provide on-site management and support. Each location is audited regularly for compliance with corporate policies and procedures. These routine unannounced internal audits, objectively measure dealership performance with respect to corporate expectations in the management and administration of sales, truck and equipment inventory, parts inventory, parts sales, service sales, body shop sales, corporate policy compliance, human resources compliance, and environmental and safety compliance matters. The Company has instituted succession planning pursuant to which employees in each Rush Truck Center and the Rush Equipment Center are groomed as assistant managers to assume management responsibilities in existing and future dealerships.</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Purchasing and Suppliers. </w:t>
      </w:r>
      <w:r>
        <w:rPr>
          <w:rFonts w:ascii="Arial" w:cs="Arial" w:eastAsia="Arial" w:hAnsi="Arial"/>
          <w:sz w:val="17"/>
          <w:szCs w:val="17"/>
          <w:color w:val="auto"/>
        </w:rPr>
        <w:t>We believe that pricing is an important element of our marketing strategy. Because of our size, our Rush Truck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from volume purchases at favorable prices that permit them to achieve a competitive pricing position in the industry. We purchase our Peterbilt heavy-duty truck inventory and Peterbilt parts and accessories directly from PACCAR. All other manufacturers’ parts and accessories, including those of Caterpillar, Cummins and other component manufacturers, are purchased through wholesale vendors or from PACCAR, which buys such products in bulk for resale to the Company and other Peterbilt dealers. All purchasing commitments are negotiated by personnel at our corporate headquarters. We have been able to negotiate favorable pricing levels and terms, which enables us to offer competitive prices for our products. We purchase all of our John Deere construction equipment inventory and John Deere parts directly from John Deere.</w:t>
      </w:r>
    </w:p>
    <w:p>
      <w:pPr>
        <w:spacing w:after="0" w:line="178" w:lineRule="exact"/>
        <w:rPr>
          <w:sz w:val="20"/>
          <w:szCs w:val="20"/>
          <w:color w:val="auto"/>
        </w:rPr>
      </w:pPr>
    </w:p>
    <w:p>
      <w:pPr>
        <w:ind w:right="20" w:firstLine="630"/>
        <w:spacing w:after="0" w:line="273" w:lineRule="auto"/>
        <w:rPr>
          <w:sz w:val="20"/>
          <w:szCs w:val="20"/>
          <w:color w:val="auto"/>
        </w:rPr>
      </w:pPr>
      <w:r>
        <w:rPr>
          <w:rFonts w:ascii="Arial" w:cs="Arial" w:eastAsia="Arial" w:hAnsi="Arial"/>
          <w:sz w:val="17"/>
          <w:szCs w:val="17"/>
          <w:i w:val="1"/>
          <w:iCs w:val="1"/>
          <w:color w:val="auto"/>
        </w:rPr>
        <w:t xml:space="preserve">Management Information Systems. </w:t>
      </w:r>
      <w:r>
        <w:rPr>
          <w:rFonts w:ascii="Arial" w:cs="Arial" w:eastAsia="Arial" w:hAnsi="Arial"/>
          <w:sz w:val="17"/>
          <w:szCs w:val="17"/>
          <w:color w:val="auto"/>
        </w:rPr>
        <w:t>Each Rush Truck Center and the Rush Equipment Center maintains a centralized real-time inventory tracking</w:t>
      </w:r>
      <w:r>
        <w:rPr>
          <w:rFonts w:ascii="Arial" w:cs="Arial" w:eastAsia="Arial" w:hAnsi="Arial"/>
          <w:sz w:val="17"/>
          <w:szCs w:val="17"/>
          <w:i w:val="1"/>
          <w:iCs w:val="1"/>
          <w:color w:val="auto"/>
        </w:rPr>
        <w:t xml:space="preserve"> </w:t>
      </w:r>
      <w:r>
        <w:rPr>
          <w:rFonts w:ascii="Arial" w:cs="Arial" w:eastAsia="Arial" w:hAnsi="Arial"/>
          <w:sz w:val="17"/>
          <w:szCs w:val="17"/>
          <w:color w:val="auto"/>
        </w:rPr>
        <w:t>system which is accessible simultaneously by all locations and by our corporate office. We utilize our management information systems to monitor the inventory level of trucks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Information received from state and regulatory agencies,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87" w:lineRule="exact"/>
        <w:rPr>
          <w:sz w:val="20"/>
          <w:szCs w:val="20"/>
          <w:color w:val="auto"/>
        </w:rPr>
      </w:pPr>
    </w:p>
    <w:p>
      <w:pPr>
        <w:ind w:firstLine="630"/>
        <w:spacing w:after="0" w:line="293" w:lineRule="auto"/>
        <w:rPr>
          <w:sz w:val="20"/>
          <w:szCs w:val="20"/>
          <w:color w:val="auto"/>
        </w:rPr>
      </w:pPr>
      <w:r>
        <w:rPr>
          <w:rFonts w:ascii="Arial" w:cs="Arial" w:eastAsia="Arial" w:hAnsi="Arial"/>
          <w:sz w:val="16"/>
          <w:szCs w:val="16"/>
          <w:i w:val="1"/>
          <w:iCs w:val="1"/>
          <w:color w:val="auto"/>
        </w:rPr>
        <w:t xml:space="preserve">Distribution and Inventory Management. </w:t>
      </w:r>
      <w:r>
        <w:rPr>
          <w:rFonts w:ascii="Arial" w:cs="Arial" w:eastAsia="Arial" w:hAnsi="Arial"/>
          <w:sz w:val="16"/>
          <w:szCs w:val="16"/>
          <w:color w:val="auto"/>
        </w:rPr>
        <w:t>We utilize a real-time inventory tracking system to maintain a close link between each Rush Truck Center.</w:t>
      </w:r>
      <w:r>
        <w:rPr>
          <w:rFonts w:ascii="Arial" w:cs="Arial" w:eastAsia="Arial" w:hAnsi="Arial"/>
          <w:sz w:val="16"/>
          <w:szCs w:val="16"/>
          <w:i w:val="1"/>
          <w:iCs w:val="1"/>
          <w:color w:val="auto"/>
        </w:rPr>
        <w:t xml:space="preserve"> </w:t>
      </w:r>
      <w:r>
        <w:rPr>
          <w:rFonts w:ascii="Arial" w:cs="Arial" w:eastAsia="Arial" w:hAnsi="Arial"/>
          <w:sz w:val="16"/>
          <w:szCs w:val="16"/>
          <w:color w:val="auto"/>
        </w:rPr>
        <w:t>This link 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We are linked directly to our major suppliers, including PACCAR (Peterbilt), GMC, and John Deere,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Dispositions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November 2006, the Company acquired Fouts Bros. UD-GMC, Inc., a GMC, UD, Hino and Isuzu medium-duty truck dealer in Smyrna, Georgia. The Company is operating the facility as a full-service Rush Medium Duty Truck Center offering medium-duty GMC, UD, Hino and Isuzu trucks, parts, and service. The transaction was valued at approximately $9.2 million, with the purchase price paid in cash.</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September 2006, the Company purchased certain assets of Mountain State Ford Truck Sales, Inc. which consisted of a Ford and Isuzu truck dealership in Denver, Colorado. The Company is operating the facility as a full-service Rush Medium Duty Truck Center offering medium-duty trucks, parts and service. The transaction was valued at approximately $5.3 million, with the purchase price paid in cash.</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The Company is operating the facility as a full-service Rush Truck Center offering heavy-duty and medium-duty trucks, parts and service. The transaction was valued at approximately $22.0 million, with the purchase price paid in cash.</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October 2005, the Company purchased certain assets of TEC of California, Inc., which consisted of GMC, Isuzu and Hino medium-duty franchises. The newly acquired lines were added to the Company’s existing medium-duty truck store in Fontana, California. The transaction was valued at approximately $3.4 million, with the purchase price paid in cash.</w:t>
      </w:r>
    </w:p>
    <w:p>
      <w:pPr>
        <w:spacing w:after="0" w:line="18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In September 2005, the Company purchased certain assets of Hayes Leasing Company, Inc., which consisted of GMC and UD medium-duty franchises. The newly acquired lines were added to the Company’s existing medium-duty truck store in Dallas, Texas. The transaction was valued at approximately $3.4 million, with the purchase price paid in cash.</w:t>
      </w:r>
    </w:p>
    <w:p>
      <w:pPr>
        <w:sectPr>
          <w:pgSz w:w="11900" w:h="16838" w:orient="portrait"/>
          <w:cols w:equalWidth="0" w:num="1">
            <w:col w:w="11420"/>
          </w:cols>
          <w:pgMar w:left="240" w:top="368" w:right="239" w:bottom="0" w:gutter="0" w:footer="0" w:header="0"/>
        </w:sectPr>
      </w:pPr>
    </w:p>
    <w:bookmarkStart w:id="8" w:name="page9"/>
    <w:bookmarkEnd w:id="8"/>
    <w:p>
      <w:pPr>
        <w:jc w:val="both"/>
        <w:ind w:right="40" w:firstLine="648"/>
        <w:spacing w:after="0" w:line="312" w:lineRule="auto"/>
        <w:rPr>
          <w:sz w:val="20"/>
          <w:szCs w:val="20"/>
          <w:color w:val="auto"/>
        </w:rPr>
      </w:pPr>
      <w:r>
        <w:rPr>
          <w:rFonts w:ascii="Arial" w:cs="Arial" w:eastAsia="Arial" w:hAnsi="Arial"/>
          <w:sz w:val="16"/>
          <w:szCs w:val="16"/>
          <w:color w:val="auto"/>
        </w:rPr>
        <w:t>In September 2005, the Company purchased certain assets of Barrett Trucks, LLC., which consisted of a GMC and Isuzu medium-duty dealership in Texarkana, Texas. The Company added Peterbilt trucks to the dealership and is operating the facility as a full-service Rush Truck Center offering heavy-duty and medium-duty trucks, parts and service. The transaction was valued at approximately $626,000, with the purchase price paid in cash.</w:t>
      </w:r>
    </w:p>
    <w:p>
      <w:pPr>
        <w:spacing w:after="0" w:line="147"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In July 2005, the Company purchased certain assets of Fountain Motor Co., Inc., which consisted of a GMC and Isuzu medium-duty dealership in Orlando, Florida. The Company added Peterbilt trucks and UD products to the dealership and is operating the facility as a full-service Rush Truck Center offering heavy-duty and medium-duty trucks, parts and service. The transaction was valued at approximately $2.8 million, with the purchase price paid in cash.</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2005, the Company acquired certain assets of American Truck Source, Inc. (“ATS”),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 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17 of the Notes to Consolidated Financial Statements for a detailed discussion of the allocation of the purchase price of these 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47"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accessibility of dealership locations;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dealership locations;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attention to customer service (including technical service).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new truck products compete with trucks made by other manufacturers and sold through competing independent and factory-owned truck dealerships, including trucks manufactured by Navistar, Mack, Freightliner, Kenworth, Volvo, Ford Motor Company, Western Star Truck Holdings, Ltd., and other manufacturers. Kenworth heavy-duty trucks are also manufactured by PACCAR, Peterbilt’s parent company, but are distributed through a different network of competing dealers. Our construction equipment products compete with construction equipment manufactured by Case Corporation, Caterpillar, Komatsu Ltd. and other manufacturers. We believe that our dealerships are able to compete with manufacturer-dealers, independent dealers and wholesalers, rental service companies and industrial auctioneers in distributing our products because of the following: the overall quality and reputation of the products we sell; “Rush” brand name recognition and reputation for quality service; and our ability to provide comprehensive parts and service support, as well as financing, insurance and other customer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ind w:right="20" w:firstLine="630"/>
        <w:spacing w:after="0" w:line="269" w:lineRule="auto"/>
        <w:rPr>
          <w:sz w:val="20"/>
          <w:szCs w:val="20"/>
          <w:color w:val="auto"/>
        </w:rPr>
      </w:pPr>
      <w:r>
        <w:rPr>
          <w:rFonts w:ascii="Arial" w:cs="Arial" w:eastAsia="Arial" w:hAnsi="Arial"/>
          <w:sz w:val="17"/>
          <w:szCs w:val="17"/>
          <w:i w:val="1"/>
          <w:iCs w:val="1"/>
          <w:color w:val="auto"/>
        </w:rPr>
        <w:t xml:space="preserve">Peterbilt. </w:t>
      </w:r>
      <w:r>
        <w:rPr>
          <w:rFonts w:ascii="Arial" w:cs="Arial" w:eastAsia="Arial" w:hAnsi="Arial"/>
          <w:sz w:val="17"/>
          <w:szCs w:val="17"/>
          <w:color w:val="auto"/>
        </w:rPr>
        <w:t>We have entered into nonexclusive dealership agreements with Peterbilt which authorize us to act as a dealer of Peterbilt heavy-duty</w:t>
      </w:r>
      <w:r>
        <w:rPr>
          <w:rFonts w:ascii="Arial" w:cs="Arial" w:eastAsia="Arial" w:hAnsi="Arial"/>
          <w:sz w:val="17"/>
          <w:szCs w:val="17"/>
          <w:i w:val="1"/>
          <w:iCs w:val="1"/>
          <w:color w:val="auto"/>
        </w:rPr>
        <w:t xml:space="preserve"> </w:t>
      </w:r>
      <w:r>
        <w:rPr>
          <w:rFonts w:ascii="Arial" w:cs="Arial" w:eastAsia="Arial" w:hAnsi="Arial"/>
          <w:sz w:val="17"/>
          <w:szCs w:val="17"/>
          <w:color w:val="auto"/>
        </w:rPr>
        <w:t>trucks. Our Peterbilt areas of responsibility currently encompass areas in the states of Alabama, Arizona, California, Colorado, Florida, New Mexico, Oklahoma, Tennessee and Texas. These dealership agreements have current terms expiring between January 2008 and January 2010 and impose certain operational obligations and financial requirements upon us and our dealerships. The Company’s dealership agreements with Peterbilt may be terminable by Peterbilt in the event the aggregate voting power of W. Marvin Rush, W.M. “Rusty” Rush, other members of the Rush family and certain executives of the Company decreases below 30%.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 Any termination or non-renewal of these dealership agreements by Peterbilt must follow certain guidelines established by both state and federal legislation designed to protect dealers from arbitrary termination or non-renewal of franchise agreements. The Automobile Dealers Day in Court Act and other similar state laws provide that the termination or non-renewal of a dealership agreement must be done in “good faith” and upon a showing of “good cause” by the manufacturer for such termination or non-renewal, as such terms have been defined by statute and interpreted in case law.</w:t>
      </w:r>
    </w:p>
    <w:p>
      <w:pPr>
        <w:spacing w:after="0" w:line="180" w:lineRule="exact"/>
        <w:rPr>
          <w:sz w:val="20"/>
          <w:szCs w:val="20"/>
          <w:color w:val="auto"/>
        </w:rPr>
      </w:pPr>
    </w:p>
    <w:p>
      <w:pPr>
        <w:ind w:right="520" w:firstLine="630"/>
        <w:spacing w:after="0" w:line="277" w:lineRule="auto"/>
        <w:rPr>
          <w:sz w:val="20"/>
          <w:szCs w:val="20"/>
          <w:color w:val="auto"/>
        </w:rPr>
      </w:pPr>
      <w:r>
        <w:rPr>
          <w:rFonts w:ascii="Arial" w:cs="Arial" w:eastAsia="Arial" w:hAnsi="Arial"/>
          <w:sz w:val="18"/>
          <w:szCs w:val="18"/>
          <w:i w:val="1"/>
          <w:iCs w:val="1"/>
          <w:color w:val="auto"/>
        </w:rPr>
        <w:t xml:space="preserve">Other Truck Suppliers. </w:t>
      </w:r>
      <w:r>
        <w:rPr>
          <w:rFonts w:ascii="Arial" w:cs="Arial" w:eastAsia="Arial" w:hAnsi="Arial"/>
          <w:sz w:val="18"/>
          <w:szCs w:val="18"/>
          <w:color w:val="auto"/>
        </w:rPr>
        <w:t>In addition to our truck dealership agreements with Peterbilt, various Rush Truck Centers have entered into dealership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with other truck manufacturers including Ford, GMC, Hino, Isuzu, UD and Volvo.</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Sales of non-Peterbilt medium-duty trucks accounted for approximately 6.2% of our total revenues for 2006. These dealership agreements have current terms expiring between June 2007 and October 2010. These dealership agreements impose operating requirements upon us and require consent from the affected supplier for sale or transfer of such dealership agreement.</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John Deere. </w:t>
      </w:r>
      <w:r>
        <w:rPr>
          <w:rFonts w:ascii="Arial" w:cs="Arial" w:eastAsia="Arial" w:hAnsi="Arial"/>
          <w:sz w:val="18"/>
          <w:szCs w:val="18"/>
          <w:color w:val="auto"/>
        </w:rPr>
        <w:t>We have entered into a nonexclusive dealership agreement with John Deere which authorizes us to act as a dealer of John Deere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utility and forestry equipment. This John Deere dealership agreement has no specified term or duration. Our current area of responsibility for the sale of John Deere construction equipment is the greater Houston, Texas metropolitan area. The John Deere dealership agreement imposes operational obligations and financial requirements of the Company. Similar to the dealership agreements with Peterbilt, the dealership agreement with John Deere is terminable if the outstanding voting power of W. Marvin Rush and other executives of the Company falls below 25%, grants limited rights of first refusal and imposes certain financial requirements upon us and our dealership.</w:t>
      </w:r>
    </w:p>
    <w:p>
      <w:pPr>
        <w:sectPr>
          <w:pgSz w:w="11900" w:h="16838" w:orient="portrait"/>
          <w:cols w:equalWidth="0" w:num="1">
            <w:col w:w="11400"/>
          </w:cols>
          <w:pgMar w:left="240" w:top="125" w:right="259" w:bottom="40" w:gutter="0" w:footer="0" w:header="0"/>
        </w:sectPr>
      </w:pPr>
    </w:p>
    <w:bookmarkStart w:id="9" w:name="page10"/>
    <w:bookmarkEnd w:id="9"/>
    <w:p>
      <w:pPr>
        <w:ind w:right="80" w:firstLine="630"/>
        <w:spacing w:after="0" w:line="264" w:lineRule="auto"/>
        <w:rPr>
          <w:sz w:val="20"/>
          <w:szCs w:val="20"/>
          <w:color w:val="auto"/>
        </w:rPr>
      </w:pPr>
      <w:r>
        <w:rPr>
          <w:rFonts w:ascii="Arial" w:cs="Arial" w:eastAsia="Arial" w:hAnsi="Arial"/>
          <w:sz w:val="18"/>
          <w:szCs w:val="18"/>
          <w:i w:val="1"/>
          <w:iCs w:val="1"/>
          <w:color w:val="auto"/>
        </w:rPr>
        <w:t xml:space="preserve">Other Construction Equipment Suppliers. </w:t>
      </w:r>
      <w:r>
        <w:rPr>
          <w:rFonts w:ascii="Arial" w:cs="Arial" w:eastAsia="Arial" w:hAnsi="Arial"/>
          <w:sz w:val="18"/>
          <w:szCs w:val="18"/>
          <w:color w:val="auto"/>
        </w:rPr>
        <w:t>In addition to John Deere, we are an authorized dealer for suppliers of other construction equipment.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such arrangements vary, but most of these dealership agreements contain termination provisions allowing the supplier to terminate the agreement after a specified notice period (usually 180 days).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i w:val="1"/>
          <w:iCs w:val="1"/>
          <w:color w:val="auto"/>
        </w:rPr>
        <w:t xml:space="preserve">Trucks. </w:t>
      </w:r>
      <w:r>
        <w:rPr>
          <w:rFonts w:ascii="Arial" w:cs="Arial" w:eastAsia="Arial" w:hAnsi="Arial"/>
          <w:sz w:val="18"/>
          <w:szCs w:val="18"/>
          <w:color w:val="auto"/>
        </w:rPr>
        <w:t>We finance substantially all of our new truck inventory and the loan value of our used truck inventory under a floor plan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GE Capital. As of December 31, 2006, we had approximately $434.0 million outstanding under our GE Capital floor plan arrangement. Our GE Capital floor plan financing agreement provides for a three-year revolving credit facility which expires in September 2008. The current interest rate is the LIBOR rate plus 1.68%.</w:t>
      </w:r>
    </w:p>
    <w:p>
      <w:pPr>
        <w:spacing w:after="0" w:line="187" w:lineRule="exact"/>
        <w:rPr>
          <w:sz w:val="20"/>
          <w:szCs w:val="20"/>
          <w:color w:val="auto"/>
        </w:rPr>
      </w:pPr>
    </w:p>
    <w:p>
      <w:pPr>
        <w:jc w:val="both"/>
        <w:ind w:right="120" w:firstLine="630"/>
        <w:spacing w:after="0" w:line="279" w:lineRule="auto"/>
        <w:rPr>
          <w:sz w:val="20"/>
          <w:szCs w:val="20"/>
          <w:color w:val="auto"/>
        </w:rPr>
      </w:pPr>
      <w:r>
        <w:rPr>
          <w:rFonts w:ascii="Arial" w:cs="Arial" w:eastAsia="Arial" w:hAnsi="Arial"/>
          <w:sz w:val="17"/>
          <w:szCs w:val="17"/>
          <w:i w:val="1"/>
          <w:iCs w:val="1"/>
          <w:color w:val="auto"/>
        </w:rPr>
        <w:t xml:space="preserve">Construction Equipment. </w:t>
      </w:r>
      <w:r>
        <w:rPr>
          <w:rFonts w:ascii="Arial" w:cs="Arial" w:eastAsia="Arial" w:hAnsi="Arial"/>
          <w:sz w:val="17"/>
          <w:szCs w:val="17"/>
          <w:color w:val="auto"/>
        </w:rPr>
        <w:t>We finance substantially all of our new construction equipment inventory under floor plan facilities with John Deere and</w:t>
      </w:r>
      <w:r>
        <w:rPr>
          <w:rFonts w:ascii="Arial" w:cs="Arial" w:eastAsia="Arial" w:hAnsi="Arial"/>
          <w:sz w:val="17"/>
          <w:szCs w:val="17"/>
          <w:i w:val="1"/>
          <w:iCs w:val="1"/>
          <w:color w:val="auto"/>
        </w:rPr>
        <w:t xml:space="preserve"> </w:t>
      </w:r>
      <w:r>
        <w:rPr>
          <w:rFonts w:ascii="Arial" w:cs="Arial" w:eastAsia="Arial" w:hAnsi="Arial"/>
          <w:sz w:val="17"/>
          <w:szCs w:val="17"/>
          <w:color w:val="auto"/>
        </w:rPr>
        <w:t>CitiCapital. Our John Deere facility has no set expiration date and its interest rate is the prime rate plus 1.5%. Our CitiCapital facility expires January 2008 and the current interest rate is the prime rate plus 0.65%. As of December 31, 2006, we had $1.2 million outstanding under the floor plan arrangement with John Deere and $11.2 million outstanding under the floor plan arrangement with CitiCapital.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do not undertake to provide any warranty to our customers.</w:t>
      </w:r>
    </w:p>
    <w:p>
      <w:pPr>
        <w:spacing w:after="0" w:line="18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generally sell used trucks and construction equipment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trucks or used construction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Peterbilt, John Deere, Volvo, GMC, Hino, Isuzu, Ford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recognized internationally and are important in the marketing of our products. Each licensor engages in a continuous program of trademark and trade name protection. We hold registered trademarks from the U.S. Patent and Trademark Office for the names “Rush Enterprises,” “Rush Truck Center,” “Rush Equipment Center,” and “Chrome Country.” We currently have trademark applications for “Associate Truck Insurance Services” and “Rig Tough” pending before the U.S. Patent and Trademark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December 31, 2006, the Company had 2,912 employees. The Company has no contracts or collective bargaining agreements with labor unions and has never experienced work stoppages. The Company considers its relations with its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truck parts and service operations historically have experienced higher sales volumes in the second and third quarters.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December 31, 2006, the Company’s backlog of truck orders was approximately $249.2 million as compared to a backlog of truck orders of approximately $584.0 million on December 31, 2005. The Company includes only confirmed orders in its backlog. The delivery time for a custom-ordered truck varies depending on the truck specifications and demand for the particular model ordered. The Company sells the majority of its new trucks by customer special order, with the remainder sold out of inventory. Orders from a number of the Company’s major fleet customers are included in the Company’s backlog as of December 31,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October 1,</w:t>
      </w:r>
    </w:p>
    <w:p>
      <w:pPr>
        <w:sectPr>
          <w:pgSz w:w="11900" w:h="16838" w:orient="portrait"/>
          <w:cols w:equalWidth="0" w:num="1">
            <w:col w:w="11380"/>
          </w:cols>
          <w:pgMar w:left="240" w:top="125" w:right="279" w:bottom="0" w:gutter="0" w:footer="0" w:header="0"/>
        </w:sectPr>
      </w:pPr>
    </w:p>
    <w:bookmarkStart w:id="10" w:name="page11"/>
    <w:bookmarkEnd w:id="10"/>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2002 and the EPA has placed additional guidelines, further restricting the emissions of nitrous oxides for all diesel engines built subsequent to January 1, 2007. In early 2002, the heavy-duty truck industry experienced an increased demand for trucks, as it historically has in the months preceding the effective date of a change in EPA emission guidelines; this period of increased demand was followed by a decrease in demand in the months subsequent to the change. The 2007 emission guidelines caused the heavy-duty truck industry to experience an increased demand for trucks during 2006. The Company expects the recent period of increased demand to be followed by a decrease in demand in 2007. The severity of the decrease in demand for trucks in 2007 will depend largely upon general economic conditions but the cost and reliability of the new diesel engines will also impact demand.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Please note that additional risks not presently known to us or that we currently deem immaterial may also impair our business and operations. This report is qualified in its entirety by these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substantially dependent upon PACCAR for the supply of Peterbilt trucks and parts, the sale of which generate a substantial part of our revenues.</w:t>
      </w:r>
    </w:p>
    <w:p>
      <w:pPr>
        <w:spacing w:after="0" w:line="24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currently operate as a dealer of Peterbilt trucks and parts pursuant to dealership agreements with Peterbilt. Peterbilt is a division of PACCAR. During 2006, a significant portion of our revenues resulted from sales of trucks purchased from Peterbilt and parts purchased from PACCAR. Due to our dependence on PACCAR and its Peterbilt division, we believe that the long-term success of our Rush Truck Centers depends, in large part, on the following:</w:t>
      </w:r>
    </w:p>
    <w:p>
      <w:pPr>
        <w:spacing w:after="0" w:line="14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our relationship with PACCAR;</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Peterbilt trucks and parts by PACCAR in quantities sufficient to meet our requirements;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PACCAR’s consent to our future acquisition of Peterbilt dealerships;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PACCAR’s promotion of its Peterbilt division;</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goodwill associated with the Peterbilt trademark, which can be adversely affected by decisions made by PACCAR and the owners of other Peterbilt dealerships; and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management of the Peterbilt dealership system by PACCAR;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policy of no direct sales by Peterbilt.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control over the management or operation of PACCAR or Peterbilt dealerships that we do not own.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or not our controlling shareholder and management maintain their current positions.</w:t>
      </w:r>
    </w:p>
    <w:p>
      <w:pPr>
        <w:spacing w:after="0" w:line="170"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executives of the Company decreases below 30% (such persons currently control 30.5% of the voting power with respect to the election of directors); or (ii) any person or entity other than W. Marvin Rush, W. M. “Rusty” Rush and other Rush executives or any person or entity who has been approved in writing by PACCAR, owns common stock with a greater percentage of the voting power with respect to the election of our directors than W. Marvin Rush and W. M. “Rusty” Rush and other executives of the Company, in the aggregate, or any person other than W. Marvin Rush, W. M. “Rusty” Rush, Robin M. Rush or any person who has been approved in writing by</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PACCAR 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Our John Deere dealership agreement and some of our medium-duty truck dealership agreements are also terminable if the voting power of W. Marvin Rush and his family falls below certain percentages, typically 25%. If our dealership agreements with any manufacturer we currently represent are terminated, we will lose the right to purchase such manufacturer’s products and the right to use certain trademarks, which would have a material adverse effect on our operations, revenues and profitability.</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dealer laws. If dealer laws are repealed in the states in which we operate dealerships, our manufacturers may be able to terminate our dealership agreements without providing advance notice, an opportunity to cure or a showing of good cause. Without the protection of state dealer laws, or if such laws are weakened, we will be subject to</w:t>
      </w:r>
    </w:p>
    <w:p>
      <w:pPr>
        <w:sectPr>
          <w:pgSz w:w="11900" w:h="16901" w:orient="portrait"/>
          <w:cols w:equalWidth="0" w:num="1">
            <w:col w:w="11400"/>
          </w:cols>
          <w:pgMar w:left="240" w:top="125" w:right="259" w:bottom="0" w:gutter="0" w:footer="0" w:header="0"/>
        </w:sectPr>
      </w:pPr>
    </w:p>
    <w:bookmarkStart w:id="11" w:name="page12"/>
    <w:bookmarkEnd w:id="11"/>
    <w:p>
      <w:pPr>
        <w:ind w:right="460"/>
        <w:spacing w:after="0" w:line="277" w:lineRule="auto"/>
        <w:rPr>
          <w:sz w:val="20"/>
          <w:szCs w:val="20"/>
          <w:color w:val="auto"/>
        </w:rPr>
      </w:pPr>
      <w:r>
        <w:rPr>
          <w:rFonts w:ascii="Arial" w:cs="Arial" w:eastAsia="Arial" w:hAnsi="Arial"/>
          <w:sz w:val="18"/>
          <w:szCs w:val="18"/>
          <w:color w:val="auto"/>
        </w:rPr>
        <w:t>higher risk of termination or non-renewal of our dealership agreements. Termination or non-renewal of our dealership agreements could have a material adverse effect on our operations, revenues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have relatively short terms which could result in non-renewal or imposition of less favorable terms upon renewal.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Peterbilt dealership agreements have current terms expiring between January 2008 and January 2010. Our Volvo dealership agreement has a current terms expiring August 2010. Our dealership agreements with GMC, Hino, UD, Ford and Isuzu for the sale of medium-duty trucks have current terms expiring between June 2007 and October 2010. Upon expiration of each agreement, we must request and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depend on relationships with component suppliers for sales incentives, discounts and similar programs which are material to our operations.</w:t>
      </w:r>
    </w:p>
    <w:p>
      <w:pPr>
        <w:spacing w:after="0" w:line="23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Each heavy-duty truck we sell is custom-built and each of our customers can choose components from any one of several component suppliers to construct their truck. Therefore, our dealerships depend on the component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materially adversely affect our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competition may affect our profitability.</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face vigorous competition for customers and for suitable dealership locations. We compete with a large number of independent and factory-owned dealers, some of which operate in more than one location, but most of which operate in a single location. There is significant competition both within the markets we currently serve and in markets that we may enter. Moreover, our Peterbilt dealership arrangements and our dealership agreements with other manufacturers do not contractually provide us with exclusive dealerships in any territory. Peterbilt could elect to create additional Peterbilt dealers in our market areas in the future. While our dealership agreements generally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may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heavy-duty truck business requires inventories of trucks held for sale to be maintained at dealer locations in order to facilitate immediate sales to customers on demand. We generally purchase truck inventories with the assistance of a floor plan financing agreement through GE Capital that provides for payment at the earlier of the time of sale for each truck financed or at a fixed date following delivery. In the event that our financing becomes insufficient to satisfy its future requirements, we would need to obtain similar financing from other sources. There is no assurance that such additional floor plan financing or alternate financing could be obtained or, if obtained, that it will be on commercially reasonable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could incur substantial business interruptions during our dealer management system conversion</w:t>
      </w:r>
      <w:r>
        <w:rPr>
          <w:rFonts w:ascii="Arial" w:cs="Arial" w:eastAsia="Arial" w:hAnsi="Arial"/>
          <w:sz w:val="18"/>
          <w:szCs w:val="18"/>
          <w:color w:val="auto"/>
        </w:rPr>
        <w:t>.</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6"/>
          <w:szCs w:val="16"/>
          <w:color w:val="auto"/>
        </w:rPr>
        <w:t>We expect to implement an SAP Enterprise Solution throughout the organization by first quarter of 2009. The estimated cost of the conversion is approximately $10 million. SAP’s Dealer Business Management system will become our sole dealership management system for our existing Rush Truck Centers. We currently operate on a KARMAK Legend Enterprise Solution and our Rush Truck Centers operate on KARMAK Legend dealer management system. By converting to SAP, we believe that we will be able to standardize operational processes throughout our network of Rush Truck Centers.</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However, if our conversion to SAP is unsuccessful, we could incur substantial business interruptions, including the inability to perform routine business transactions, which could have a significant impact on our financial performance.</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our success depends significantly upon the efforts and abilities of our executive management and key employees, including, in particular, W. Marvin Rush and W. M. ”Rusty” Rush. Additionally, our business is dependent upon our ability to continue to attract and retain qualified personnel, such as executive officers, managers and sales personnel. We have entered into employment agreements with certain executive officers. The loss of the services of one or more members of our senior management team, including, in particular, W. Marvin Rush or W. M. ”Rusty” Rush, could have a material adverse effect on us and materially impair the efficiency and productivity of our operations. In addition, the loss of any of our key employees or the failure to attract additional qualified executive officers, managers and sales personnel could have a material adverse effect on our business and may materially impact the ability of our dealerships to conduct their operations in accordance with our business strategy.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December 31, 2006, our backlog of new truck orders was approximately $249.2 million. Our backlog is determined quarterly by multiplying the number of new trucks for each particular type of truck on order at our Rush Truck Centers by the recent average selling price for that type of truck.</w:t>
      </w:r>
    </w:p>
    <w:p>
      <w:pPr>
        <w:sectPr>
          <w:pgSz w:w="11900" w:h="16838" w:orient="portrait"/>
          <w:cols w:equalWidth="0" w:num="1">
            <w:col w:w="11400"/>
          </w:cols>
          <w:pgMar w:left="240" w:top="125" w:right="259" w:bottom="0" w:gutter="0" w:footer="0" w:header="0"/>
        </w:sectPr>
      </w:pPr>
    </w:p>
    <w:bookmarkStart w:id="12" w:name="page13"/>
    <w:bookmarkEnd w:id="12"/>
    <w:p>
      <w:pPr>
        <w:spacing w:after="0" w:line="3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only include confirmed orders in our backlog. However, such orders are subject to cancellation. In the event of order cancellation, we have no contractual right to the total revenues reflected in our backlog. The delivery time for a custom-ordered truck varies depending on the truck specifications and demand for the particular model ordered. We sell the majority of our new heavy-duty trucks by customer special order, with the remainder sold out of inventory. Orders from a number of our major fleet customers are included in our backlog as of December 31, 2006. There can be no assurance that our major fleet customers will not cancel these orders.</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significantly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and other materials; and the investigation and remediation of contamination. As with truck or construction equipment dealerships generally, and service, parts and body shop operations in particular, our business involves the use, storage, handling and contracting for recycling or disposal of hazardous materials or wastes and other environmentally sensitive materials. Operations involving the management of hazardous and nonhazardous materials are subject to requirements of the Resource Conservation and Recovery Act, or RCRA, and comparable state statutes. Our business also involves the operation of storage tanks containing such materials. Storage tanks are subject to periodic testing, containment, upgrading and removal under RCRA and comparable statutes. Furthermore, investigation or remediation may be necessary in the event of leaks or other discharges from current or former underground or aboveground storage tanks. We may also have liability in connection with materials that were sent to third-party recycling, treatment, or disposal facilities under the Comprehensive Environmental Response, Compensation and Liability Act, and comparable state statutes, which impose liability for investigation and remediation of contamination without regard to fault or the legality of the conduct that contributed to the contamination. Similar to many of our competitors, we have incurred and will continue to incur, capital and operating expenditures and other costs in complying with such laws and regulations.</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Soil and groundwater contamination is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a single shareholder and his affiliates.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 Marvin Rush owns approximately 0.01% of our issued and outstanding shares of Class A common stock and 33.9% of our issued and outstanding Class B common stock. As a result of such ownership, Mr. Rush has the power to effectively control us, including the election of directors, the determination of matters requiring shareholder approval and other matters pertaining to 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Class A common stock has limited voting power.</w:t>
      </w:r>
    </w:p>
    <w:p>
      <w:pPr>
        <w:spacing w:after="0" w:line="225"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color w:val="auto"/>
        </w:rPr>
        <w:t>Each share of Class A common stock ranks substantially equal to each share of Class B common stock with respect to receipt of any dividends or distributions declared on shares of common stock and the right to receive proceeds 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liquidation or dissolution of us after payment of our indebtedness and liquidation preference payments to holders of preferred shares. However, holders of Class A common stock have 1/20th of one vote per share on all matters requiring a shareholder vote, while holders of Class B common stock have one full vote per share.</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Our dealership agreements could discourage another company from acquiring us and impede our ability to issue additional stock to raise capital or as consideration for future acquisitions.</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A number of our dealership agreements impose restrictions on the sale and transfer of our common stock. These restrictions also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a control of at least 30% of the voting power of our outstanding shares and voting power equal or superior to that of any other person or group.</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and the requirement in our dealership agreements that certain dealer principals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 but our Board of Directors may redeem the rights under the rights plan to accept a favorable offer.</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This may also inhibit our ability to acquire additional dealerships. These restrictions also may impede our ability to raise required capital or to issue our stock as consideration for future acquisitions.</w:t>
      </w:r>
    </w:p>
    <w:p>
      <w:pPr>
        <w:sectPr>
          <w:pgSz w:w="11900" w:h="16872" w:orient="portrait"/>
          <w:cols w:equalWidth="0" w:num="1">
            <w:col w:w="11420"/>
          </w:cols>
          <w:pgMar w:left="240" w:top="125" w:right="239" w:bottom="0" w:gutter="0" w:footer="0" w:header="0"/>
        </w:sectPr>
      </w:pPr>
    </w:p>
    <w:bookmarkStart w:id="13" w:name="page14"/>
    <w:bookmarkEnd w:id="13"/>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Company’s corporate headquarters are currently located in New Braunfels, Texas. The Company purchased the headquarters building in May 2006. As of December 2006, the Company also owns or leases numerous facilities relating to our operations in the following states: Alabama, Arizona, California, Colorado, Florida, Georgia, New Mexico, Oklahoma, Tennessee and Texas. A Rush Truck Center or Rush Equipment Center may be comprised of one or more locations, generally in close proximity, in the same metropolitan area. These facilities consist primarily of office space, display lots, service facilities, parking lots and offices. The Company believes that its facilities are sufficient for its current needs and are in good condition in all material respects.</w:t>
      </w:r>
    </w:p>
    <w:p>
      <w:pPr>
        <w:spacing w:after="0" w:line="193"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Company’s insurance agency occupies 6,937 square feet of leased space in San Antonio, Texas and 2,000 square feet of leased space in Winter Garden, Florida. The Company leases a hangar in New Braunfels, Texas for the corporate aircraft. The Company also owns and operates a hunting ranch of approximately 9,500 acres in Cotulla, Texas. The Company uses the ranch for client development purposes and sells hunting trips on the ranch.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matters were submitted to a vote of the Company’s shareholders during the fourth quarter of the fiscal year ended December 31, 2006.</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color w:val="000000"/>
        </w:rPr>
        <w: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National Market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symbols RUSHA and RUSHB.</w:t>
      </w:r>
    </w:p>
    <w:p>
      <w:pPr>
        <w:spacing w:after="0" w:line="168" w:lineRule="exact"/>
        <w:rPr>
          <w:sz w:val="20"/>
          <w:szCs w:val="20"/>
          <w:color w:val="auto"/>
        </w:rPr>
      </w:pPr>
    </w:p>
    <w:p>
      <w:pPr>
        <w:ind w:right="600" w:firstLine="648"/>
        <w:spacing w:after="0" w:line="292"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National Market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53" w:lineRule="exact"/>
        <w:rPr>
          <w:sz w:val="20"/>
          <w:szCs w:val="20"/>
          <w:color w:val="auto"/>
        </w:rPr>
      </w:pPr>
    </w:p>
    <w:tbl>
      <w:tblPr>
        <w:tblLayout w:type="fixed"/>
        <w:tblInd w:w="254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15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1"/>
                <w:szCs w:val="11"/>
                <w:color w:val="auto"/>
              </w:rPr>
            </w:pPr>
          </w:p>
        </w:tc>
        <w:tc>
          <w:tcPr>
            <w:tcW w:w="76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Class A Common Stock</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$ 19.54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$ 14.00</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3460" w:type="dxa"/>
            <w:vAlign w:val="bottom"/>
            <w:gridSpan w:val="3"/>
          </w:tcPr>
          <w:p>
            <w:pPr>
              <w:spacing w:after="0" w:line="176" w:lineRule="exact"/>
              <w:rPr>
                <w:sz w:val="20"/>
                <w:szCs w:val="20"/>
                <w:color w:val="auto"/>
              </w:rPr>
            </w:pPr>
            <w:r>
              <w:rPr>
                <w:rFonts w:ascii="Arial" w:cs="Arial" w:eastAsia="Arial" w:hAnsi="Arial"/>
                <w:sz w:val="18"/>
                <w:szCs w:val="18"/>
                <w:b w:val="1"/>
                <w:bCs w:val="1"/>
                <w:i w:val="1"/>
                <w:iCs w:val="1"/>
                <w:color w:val="auto"/>
              </w:rPr>
              <w:t>Class B Common Stock</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17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First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$ 18.55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$ 14.33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$ 17.45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$ 14.91</w:t>
            </w:r>
          </w:p>
        </w:tc>
        <w:tc>
          <w:tcPr>
            <w:tcW w:w="80" w:type="dxa"/>
            <w:vAlign w:val="bottom"/>
          </w:tcPr>
          <w:p>
            <w:pPr>
              <w:spacing w:after="0"/>
              <w:rPr>
                <w:sz w:val="18"/>
                <w:szCs w:val="18"/>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540" w:type="dxa"/>
            <w:vAlign w:val="bottom"/>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March 12, 2007, there were approximately 48 record holders of the Class A Common Stock and approximately 54 record holders of the Class B Common Stock and approximately 4,724 beneficial holders of the Class A Common Stock and approximately 1,089 beneficial holders of the Class B Common Stock.</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securities in the last three years that were not registered under the Securities Act.</w:t>
      </w:r>
    </w:p>
    <w:p>
      <w:pPr>
        <w:sectPr>
          <w:pgSz w:w="11900" w:h="16847" w:orient="portrait"/>
          <w:cols w:equalWidth="0" w:num="1">
            <w:col w:w="11400"/>
          </w:cols>
          <w:pgMar w:left="240" w:top="125" w:right="259" w:bottom="0" w:gutter="0" w:footer="0" w:header="0"/>
        </w:sectPr>
      </w:pPr>
    </w:p>
    <w:bookmarkStart w:id="14" w:name="page15"/>
    <w:bookmarkEnd w:id="14"/>
    <w:p>
      <w:pPr>
        <w:spacing w:after="0" w:line="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 shares of the Company’s Class A Common Stock or Class B Common Stock were purchased by or on behalf of the Company or any affiliated purchaser in the fourth quarter of 2006.</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w:t>
      </w:r>
      <w:r>
        <w:rPr>
          <w:rFonts w:ascii="Arial" w:cs="Arial" w:eastAsia="Arial" w:hAnsi="Arial"/>
          <w:sz w:val="16"/>
          <w:szCs w:val="16"/>
          <w:color w:val="auto"/>
        </w:rPr>
        <w:t>The selected financial data presented below may not be</w:t>
      </w:r>
      <w:r>
        <w:rPr>
          <w:rFonts w:ascii="Arial" w:cs="Arial" w:eastAsia="Arial" w:hAnsi="Arial"/>
          <w:sz w:val="17"/>
          <w:szCs w:val="17"/>
          <w:color w:val="auto"/>
        </w:rPr>
        <w:t xml:space="preserve"> </w:t>
      </w:r>
      <w:r>
        <w:rPr>
          <w:rFonts w:ascii="Arial" w:cs="Arial" w:eastAsia="Arial" w:hAnsi="Arial"/>
          <w:sz w:val="16"/>
          <w:szCs w:val="16"/>
          <w:color w:val="auto"/>
        </w:rPr>
        <w:t>comparable between periods in all material respects or indicative of the Company’s future financial position or results of operations due primarily to acquisitions and discontinued operations which occurred during the periods presented. See Note 17 to the Company’s Consolidated Financial Statements for a discussion of such acquisitions and Note 3 to the Company’s Consolidated Financial Statements for a discussion of such discontinued operations. The selected financial data presented below should be read in conjunction with the Company’s other financial information included elsewhere herein.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SUMMARY OF INCOME STATEMENT DATA</w:t>
            </w: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gridSpan w:val="9"/>
          </w:tcPr>
          <w:p>
            <w:pPr>
              <w:jc w:val="right"/>
              <w:ind w:right="880"/>
              <w:spacing w:after="0" w:line="129" w:lineRule="exact"/>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1,780,418</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1,400,736</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738,225</w:t>
            </w:r>
          </w:p>
        </w:tc>
        <w:tc>
          <w:tcPr>
            <w:tcW w:w="26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501,757</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488,456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441,424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285,206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59,545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19,197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8,163</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2,350,523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1,864,770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1,094,979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815,332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1,997,856</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1,582,078</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662,082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352,667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282,692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185,142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141,205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12,889</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15,718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94,058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71,138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35,272</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58,786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58,786</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16,916</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2"/>
                <w:szCs w:val="22"/>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2"/>
                <w:szCs w:val="22"/>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Earnings per Common Share — Diluted</w:t>
            </w: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6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4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2.33</w:t>
            </w:r>
          </w:p>
        </w:tc>
        <w:tc>
          <w:tcPr>
            <w:tcW w:w="2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8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w:t>
            </w:r>
          </w:p>
        </w:tc>
        <w:tc>
          <w:tcPr>
            <w:tcW w:w="4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24,984</w:t>
            </w: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24,202</w:t>
            </w: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14,042</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14,004</w:t>
            </w: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6"/>
              </w:rPr>
              <w:t>Diluted weighted average shares and assumed conversions</w:t>
            </w: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25,260</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24,957</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16,607</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15,024</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14,461</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1"/>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6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8"/>
              </w:rPr>
              <w:t>Year Ended December 31,</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1"/>
                <w:szCs w:val="1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DATA</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Number of locations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Unit truck sales —</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New trucks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16,492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Used trucks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4,005</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Total unit trucks sales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20,497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16,595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Truck lease and rental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78" w:orient="portrait"/>
          <w:cols w:equalWidth="0" w:num="1">
            <w:col w:w="11460"/>
          </w:cols>
          <w:pgMar w:left="240" w:top="125" w:right="199" w:bottom="0" w:gutter="0" w:footer="0" w:header="0"/>
        </w:sectPr>
      </w:pPr>
    </w:p>
    <w:p>
      <w:pPr>
        <w:spacing w:after="0" w:line="34"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auto"/>
        </w:rPr>
        <w:t>December 31,</w:t>
      </w:r>
    </w:p>
    <w:p>
      <w:pPr>
        <w:sectPr>
          <w:pgSz w:w="11900" w:h="16878" w:orient="portrait"/>
          <w:cols w:equalWidth="0" w:num="1">
            <w:col w:w="11460"/>
          </w:cols>
          <w:pgMar w:left="240" w:top="125" w:right="19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74"/>
              <w:spacing w:after="0" w:line="149" w:lineRule="exact"/>
              <w:rPr>
                <w:sz w:val="20"/>
                <w:szCs w:val="20"/>
                <w:color w:val="auto"/>
              </w:rPr>
            </w:pPr>
            <w:r>
              <w:rPr>
                <w:rFonts w:ascii="Arial" w:cs="Arial" w:eastAsia="Arial" w:hAnsi="Arial"/>
                <w:sz w:val="14"/>
                <w:szCs w:val="14"/>
                <w:b w:val="1"/>
                <w:bCs w:val="1"/>
                <w:color w:val="auto"/>
              </w:rPr>
              <w:t>2006</w:t>
            </w:r>
          </w:p>
        </w:tc>
        <w:tc>
          <w:tcPr>
            <w:tcW w:w="1180" w:type="dxa"/>
            <w:vAlign w:val="bottom"/>
            <w:tcBorders>
              <w:top w:val="single" w:sz="8" w:color="auto"/>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2005</w:t>
            </w:r>
          </w:p>
        </w:tc>
        <w:tc>
          <w:tcPr>
            <w:tcW w:w="1180" w:type="dxa"/>
            <w:vAlign w:val="bottom"/>
            <w:tcBorders>
              <w:top w:val="single" w:sz="8" w:color="auto"/>
              <w:bottom w:val="single" w:sz="8" w:color="auto"/>
            </w:tcBorders>
          </w:tcPr>
          <w:p>
            <w:pPr>
              <w:jc w:val="right"/>
              <w:ind w:right="353"/>
              <w:spacing w:after="0" w:line="149"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2"/>
              <w:spacing w:after="0" w:line="149" w:lineRule="exact"/>
              <w:rPr>
                <w:sz w:val="20"/>
                <w:szCs w:val="20"/>
                <w:color w:val="auto"/>
              </w:rPr>
            </w:pPr>
            <w:r>
              <w:rPr>
                <w:rFonts w:ascii="Arial" w:cs="Arial" w:eastAsia="Arial" w:hAnsi="Arial"/>
                <w:sz w:val="14"/>
                <w:szCs w:val="14"/>
                <w:b w:val="1"/>
                <w:bCs w:val="1"/>
                <w:color w:val="auto"/>
              </w:rPr>
              <w:t>2003</w:t>
            </w: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8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Working capital</w:t>
            </w:r>
          </w:p>
        </w:tc>
        <w:tc>
          <w:tcPr>
            <w:tcW w:w="234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   156,297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   126,137</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   138,241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14,113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4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484,696</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338,212</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189,792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137,423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Inventory included in assets held for sale</w:t>
            </w:r>
          </w:p>
        </w:tc>
        <w:tc>
          <w:tcPr>
            <w:tcW w:w="128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2,496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included in assets held for sale</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6,328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1,128,410</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840,234</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565,933</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366,878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34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446,354</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315,985</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168,002</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108,235</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Line-of-credit borrowings</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2,755</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2,434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17,732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234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192,124</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133,152</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96,056</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90,028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lease obligations, including</w:t>
            </w:r>
          </w:p>
        </w:tc>
        <w:tc>
          <w:tcPr>
            <w:tcW w:w="2340" w:type="dxa"/>
            <w:vAlign w:val="bottom"/>
            <w:gridSpan w:val="2"/>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17,732</w:t>
            </w: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340" w:type="dxa"/>
            <w:vAlign w:val="bottom"/>
            <w:gridSpan w:val="2"/>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16,905</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Shareholders’ equity</w:t>
            </w:r>
          </w:p>
        </w:tc>
        <w:tc>
          <w:tcPr>
            <w:tcW w:w="2340" w:type="dxa"/>
            <w:vAlign w:val="bottom"/>
            <w:gridSpan w:val="2"/>
          </w:tcPr>
          <w:p>
            <w:pPr>
              <w:jc w:val="right"/>
              <w:ind w:right="54"/>
              <w:spacing w:after="0"/>
              <w:rPr>
                <w:sz w:val="20"/>
                <w:szCs w:val="20"/>
                <w:color w:val="auto"/>
              </w:rPr>
            </w:pPr>
            <w:r>
              <w:rPr>
                <w:rFonts w:ascii="Arial" w:cs="Arial" w:eastAsia="Arial" w:hAnsi="Arial"/>
                <w:sz w:val="18"/>
                <w:szCs w:val="18"/>
                <w:b w:val="1"/>
                <w:bCs w:val="1"/>
                <w:color w:val="auto"/>
              </w:rPr>
              <w:t>339,608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273,620</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222,807</w:t>
            </w:r>
          </w:p>
        </w:tc>
        <w:tc>
          <w:tcPr>
            <w:tcW w:w="3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88,706</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took advantage of the largest Class 8 truck market in history to make 2006 a record year for Rush Enterprises, but other factors also contributed to our success in 2006. We experienced significant growth in our medium-duty truck business, we continued to improve our absorption rate (see “Key Performance Indicator” below), we expanded our finance and insurance businesses, and we increased our market share in our equipment business. The Class 8 truck market is expected to decrease significantly in 2007, but historically speaking, 2007 should still be a relatively strong Class 8 truck market.</w:t>
      </w:r>
    </w:p>
    <w:p>
      <w:pPr>
        <w:spacing w:after="0" w:line="15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New emissions standards governing diesel engines went into effect on January 1, 2007. We believe first quarter Class 8 truck deliveries will remain strong compared to the first quarter of 2006, due to the continued high demand for trucks with engines built before the new emissions standards took effect. We expect Class 8 truck deliveries to decrease significantly in the second and third quarters of 2007 compared to the second and third quarters of 2006 as the industry transitions into the new engines. We anticipate Class 8 truck deliveries will begin to rebound in the fourth quarter of 2007. We expect strong Class 8 markets in 2008 and 2009 as customers purchase Class 8 trucks in advance of even more stringent diesel engine emissions standards that are expected to go into effect in 2010. If additional standards are implemented in 2010, deliveries of Class 8 trucks may significantly decrease in 2010. If lawmakers do not implement additional engine emissions standards, then sales of Class 8 trucks after 2010 should be driven solely by new freight demand and the need to replace aging equipment.</w:t>
      </w:r>
    </w:p>
    <w:p>
      <w:pPr>
        <w:spacing w:after="0" w:line="1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implemented changes throughout our organization in the last few years to put Rush Enterprises in the best possible position entering 2007. Most importantly, we have added medium-duty franchises across our dealer network . Although industry experts expect medium-duty truck sales to decrease approximately 12% in 2007, we expect to increase our medium-duty truck sales in 2007 as our recently added franchises continue to mature. We also made every effort to have the best possible truck inventory going into 2007. We deliberately increased our inventory of trucks with engines built before the new emissions standards went into effect. We believe we entered 2007 with sufficient levels of these highly preferred trucks in stock to soften the impact of the expected market slowdown.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always, we remain focused on increasing our absorption rate. For the year ended December 31, 2006, the Company’s absorption rate was 105.2% compared to 100.4% for 2005. We expect to maintain or slightly increase our absorption rate in 2007, despite the decrease in truck sales, while keeping our eye on our previously stated goal of achieving an absorption rate of 110% by 2008.</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By continuing to increase our medium-duty truck sales and remaining focused on increasing our absorption rate coupled with our large inventory of truck with engines built before the new emissions standard went into effect, we believe we are prepared to soften the earnings impact that will result from the expected market slowdown in 2007. We remain alert for opportunities to deploy capital when an attractively priced investment opportunity presents itself and continue to evaluate such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the Notes to the Consolidated Financial Statements, affect its more significant judgments and estimates used in the preparation of its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Other assets consist primarily of goodwill related to acquisitions and other intangible assets. As stated in Note 2 of the Notes to the Consolidated Financial Statements, Financial Accounting Standards Board Statement No. 142 (“SFAS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w:t>
      </w:r>
    </w:p>
    <w:p>
      <w:pPr>
        <w:sectPr>
          <w:pgSz w:w="11900" w:h="16838" w:orient="portrait"/>
          <w:cols w:equalWidth="0" w:num="1">
            <w:col w:w="11420"/>
          </w:cols>
          <w:pgMar w:left="240" w:top="120" w:right="239" w:bottom="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did not record an impairment charge related to the goodwill for its continuing operations as a result of its December 31, 2006 impairment review.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Policies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Income on the sale of a vehicle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Finance and Insurance Revenue Recognition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2004, 2005 and 2006, finance contracts were not retained by the Company for any significant length of time because finance contracts are generally sold to finance companies concurrent with the sale of the related unit.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7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As part of the acquisition of certain assets of ATS, the Company assumed contingent liabilities to finance companies for notes that ATS initiated on behalf of such finance companies related to the sale of trucks. ATS’s portfolio to which the contingent liability relates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8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insurance contract prior to scheduled maturity, a portion of the commissions previously paid to the Company may be charged back to the Company based on the relevant terms of the contract. The estimate of ultimate charge back exposure is based on the Company’s historical charge back expense arising from similar contracts, including the impact of refinance and default rates on retail finance contracts and cancellation rates on insurance contracts. The actual amount of historical charge backs has not been significantly different from the Company’s estimates.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w:t>
      </w:r>
    </w:p>
    <w:p>
      <w:pPr>
        <w:sectPr>
          <w:pgSz w:w="11900" w:h="16838" w:orient="portrait"/>
          <w:cols w:equalWidth="0" w:num="1">
            <w:col w:w="11380"/>
          </w:cols>
          <w:pgMar w:left="240" w:top="125" w:right="279" w:bottom="744"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744" w:gutter="0" w:footer="0" w:header="0"/>
          <w:type w:val="continuous"/>
        </w:sectPr>
      </w:pPr>
    </w:p>
    <w:bookmarkStart w:id="17" w:name="page18"/>
    <w:bookmarkEnd w:id="17"/>
    <w:p>
      <w:pPr>
        <w:jc w:val="both"/>
        <w:ind w:right="240"/>
        <w:spacing w:after="0" w:line="286" w:lineRule="auto"/>
        <w:rPr>
          <w:sz w:val="20"/>
          <w:szCs w:val="20"/>
          <w:color w:val="auto"/>
        </w:rPr>
      </w:pPr>
      <w:r>
        <w:rPr>
          <w:rFonts w:ascii="Arial" w:cs="Arial" w:eastAsia="Arial" w:hAnsi="Arial"/>
          <w:sz w:val="17"/>
          <w:szCs w:val="17"/>
          <w:color w:val="auto"/>
        </w:rPr>
        <w:t>changing facts and circumstances.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 In March 2005, the SEC issued Staff Accounting Bulletin No. 107 (“SAB 107”) relating to SFAS 123(R).</w:t>
      </w:r>
    </w:p>
    <w:p>
      <w:pPr>
        <w:spacing w:after="0" w:line="15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December 31, 2006 reflect the impact of SFAS 123(R). In accordance with the modified prospective transition method, the Company’s Consolidated Financial Statements for prior periods have not been restated to reflect, and do not include, the impact of SFAS 123(R). As a result of adopting SFAS 123(R), the Company’s income before income taxes is $2.6 million lower for the year ended December 31, 2006 and net income is $1.7 million lower for the year ended December 31, 2006, than if it had continued to account for share-based compensation under APB 25. Basic and diluted earnings per share for the year ended December 31, 2006 are each $0.7 lower than if the Company had continued to account for share-based compensation under APB 25.</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Stock-based compensation expense recognized during the year ended December 31, 2006 is based on the fair value of the portion of share-based payment awards that is ultimately expected to vest during the period. Stock-based compensation expense recognized in the Company’s Consolidated Statement of Operations for the year ended December 31,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year ended December 31,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Upon adoption of SFAS 123(R), the Company continues to use the Black-Scholes option-pricing model which was previously used for the Company’s pro forma information required under SFAS 123. For additional information, see Note 13.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value of stock options is determined in accordance with SFAS 123(R) using an option-pricing model, that value may not be indicative of the fair value observed in a market transaction between a willing buyer and a willing seller.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The management of the Company uses several performance metrics to evaluate the performance of its dealerships.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 achieved a 105.2% absorption rate in 2006.</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and analysis includes the Company’s historical results of operations for 2006, 2005 and 2004.</w:t>
      </w:r>
    </w:p>
    <w:p>
      <w:pPr>
        <w:sectPr>
          <w:pgSz w:w="11900" w:h="16838" w:orient="portrait"/>
          <w:cols w:equalWidth="0" w:num="1">
            <w:col w:w="11420"/>
          </w:cols>
          <w:pgMar w:left="240" w:top="125" w:right="239" w:bottom="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following table sets forth for the years indicated certain financial data as a percentage of total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3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5"/>
              </w:rPr>
              <w:t>Year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82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1"/>
                <w:szCs w:val="11"/>
                <w:color w:val="auto"/>
              </w:rPr>
            </w:pPr>
          </w:p>
        </w:tc>
        <w:tc>
          <w:tcPr>
            <w:tcW w:w="82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Parts and service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Lease and rental</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from continuing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 of taxes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years indicated (revenue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2006</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jc w:val="center"/>
              <w:ind w:right="156"/>
              <w:spacing w:after="0" w:line="102" w:lineRule="exact"/>
              <w:rPr>
                <w:sz w:val="20"/>
                <w:szCs w:val="20"/>
                <w:color w:val="auto"/>
              </w:rPr>
            </w:pPr>
            <w:r>
              <w:rPr>
                <w:rFonts w:ascii="Arial" w:cs="Arial" w:eastAsia="Arial" w:hAnsi="Arial"/>
                <w:sz w:val="11"/>
                <w:szCs w:val="11"/>
                <w:b w:val="1"/>
                <w:bCs w:val="1"/>
                <w:color w:val="auto"/>
              </w:rPr>
              <w:t>2005</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1"/>
                <w:szCs w:val="11"/>
                <w:color w:val="auto"/>
              </w:rPr>
            </w:pPr>
          </w:p>
        </w:tc>
        <w:tc>
          <w:tcPr>
            <w:tcW w:w="12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76"/>
              </w:rPr>
              <w:t>vs</w:t>
            </w:r>
          </w:p>
        </w:tc>
        <w:tc>
          <w:tcPr>
            <w:tcW w:w="7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New heavy-duty trucks</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5,374</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tcPr>
          <w:p>
            <w:pPr>
              <w:ind w:left="160"/>
              <w:spacing w:after="0"/>
              <w:rPr>
                <w:sz w:val="20"/>
                <w:szCs w:val="20"/>
                <w:color w:val="auto"/>
              </w:rPr>
            </w:pPr>
            <w:r>
              <w:rPr>
                <w:rFonts w:ascii="Arial" w:cs="Arial" w:eastAsia="Arial" w:hAnsi="Arial"/>
                <w:sz w:val="18"/>
                <w:szCs w:val="18"/>
                <w:color w:val="auto"/>
              </w:rPr>
              <w:t>Total new trucks</w:t>
            </w:r>
          </w:p>
        </w:tc>
        <w:tc>
          <w:tcPr>
            <w:tcW w:w="2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7,140</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Used trucks</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2,716</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2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New medium-duty trucks</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new trucks</w:t>
            </w:r>
          </w:p>
        </w:tc>
        <w:tc>
          <w:tcPr>
            <w:tcW w:w="2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2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Used trucks</w:t>
            </w:r>
          </w:p>
        </w:tc>
        <w:tc>
          <w:tcPr>
            <w:tcW w:w="2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2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We currently operate in the heavy-duty truck, medium-duty truck and construction equipment markets. There has historically been a high correlation in both of these markets between new product sales and the rate of change in U.S. industrial production and the U.S. gross domestic product.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serves the southern U.S. retail heavy-duty truck market, which is affected by a number of factors relating to general economic conditions, including fuel prices, government regulation, interest rate fluctuations, economic recessions and customer business cycles. In addition, unit sales of new trucks have historically been subject to substantial cyclical variation based on such general economic conditions. According to data published by A.C.T. Research Co., LLC (“A.C.T. Research”), a heavy-duty truck industry data and forecasting services provider, in recent years total domestic retail sales of new Class 8 trucks have ranged from a low of approximately 140,000 in 2001 to a high of approximately 291,000 in 2006. Class 8 trucks are defined by the American Automobile Association as trucks with a minimum gross vehicle weight rating above 33,000 pounds. Domestic Class 8 unit sales are expected to decrease to approximately 176,000 units during 2007 according to A.C.T. Research. The Company’s primary Class 8 product line is Peterbilt heavy-duty trucks, which, according to A.C.T. Research, accounted for approximately 11.3% of all new heavy-duty truck sales in the U.S. during 2006. The Company’s share of the U.S. Class 8 truck sales market was approximately 4.1% in 2006.</w:t>
      </w:r>
    </w:p>
    <w:p>
      <w:pPr>
        <w:spacing w:after="0" w:line="18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Typically, Class 8 trucks are assembled by manufacturers utilizing certain components manufactured by other companies, including engines, transmissions, axles, wheels and other components. As trucks and truck components have become increasingly complex, the ability to provide state-of-the-art service for a wide variety of truck equipment has become a competitive factor in the industry. The ability to provide such service requires a significant capital</w:t>
      </w:r>
    </w:p>
    <w:p>
      <w:pPr>
        <w:sectPr>
          <w:pgSz w:w="11900" w:h="16838" w:orient="portrait"/>
          <w:cols w:equalWidth="0" w:num="1">
            <w:col w:w="11420"/>
          </w:cols>
          <w:pgMar w:left="240" w:top="125" w:right="239" w:bottom="0" w:gutter="0" w:footer="0" w:header="0"/>
        </w:sectPr>
      </w:pPr>
    </w:p>
    <w:bookmarkStart w:id="19" w:name="page20"/>
    <w:bookmarkEnd w:id="19"/>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Class 8 trucks as fleets, particularly private fleets, seek to establish full-service leases or rental contracts, which provide for turnkey service including parts, maintenance and, potentially, fuel, fuel tax reporting and other services. Differentiation between truck dealers has become less dependent on pure price competition and is increasingly based on a dealer’s ability to offer a wide variety of services to their clients. Such services include the following: efficient, conveniently located and easily accessible truck service centers with an adequate supply of replacement parts; financing for truck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EPA mandated that heavy-duty engine manufacturers meet new, stricter emissions guidelines regarding nitrous oxides for all engines built subsequent to October 1, 2002. These new guidelines increased the price of new heavy-duty trucks by approximately $3,000 to $8,000 per unit and reduced the operating efficiency and life cycle of heavy-duty trucks. In 2002, the heavy-duty truck industry experienced an increased demand for trucks, as it historically has in the months preceding the effective date of a change in EPA engine emission guidelines; this period of increased demand was followed by a decrease in demand in the months subsequent to the change.</w:t>
      </w:r>
    </w:p>
    <w:p>
      <w:pPr>
        <w:spacing w:after="0" w:line="188" w:lineRule="exact"/>
        <w:rPr>
          <w:sz w:val="20"/>
          <w:szCs w:val="20"/>
          <w:color w:val="auto"/>
        </w:rPr>
      </w:pPr>
    </w:p>
    <w:p>
      <w:pPr>
        <w:jc w:val="both"/>
        <w:ind w:right="60" w:firstLine="630"/>
        <w:spacing w:after="0" w:line="259" w:lineRule="auto"/>
        <w:rPr>
          <w:sz w:val="20"/>
          <w:szCs w:val="20"/>
          <w:color w:val="auto"/>
        </w:rPr>
      </w:pPr>
      <w:r>
        <w:rPr>
          <w:rFonts w:ascii="Arial" w:cs="Arial" w:eastAsia="Arial" w:hAnsi="Arial"/>
          <w:sz w:val="18"/>
          <w:szCs w:val="18"/>
          <w:color w:val="auto"/>
        </w:rPr>
        <w:t>A.C.T. Research currently estimates approximately 176,000 new Class 8 trucks will be sold in the United States in 2007, compared to approximately 291,000 new trucks sold in 2006. The 2006 new heavy-duty truck sales totals were the highest in history. A.C.T. Research and other industry experts expect Class 8 truck sales to rebound in 2008 and 2009. A.C.T. Research currently forecasts sales of Class 8 trucks in the U.S. to be approximately 214,000 in 2008 and 289,000 in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Many of our Rush Truck Centers sell medium-duty trucks manufactured by Peterbilt, GMC, Hino, UD, Ford or Isuzu, and all of our Rush Truck Centers provide parts and service for medium-duty trucks. Medium-duty trucks are principally used in short-haul, local markets as delivery vehicles. Medium-duty trucks typically operate locally and generally do not venture out of their service areas overnight. The nature of the medium-duty truck market promotes the use of our service facilities during our evening shift, which is traditionally a slow period for heavy-duty truck service.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A.C.T. Research estimates that U.S. retail sales of Class 4 through 7 medium-duty trucks totaled approximately 278,000 units in 2006 and forecasts 2007 U.S. retail sales to be approximately 244,000 units. Notwithstanding the predicted decline in medium-duty truck sales in 2007, the Company expects to increase its medium-duty truck sales in 2007 as this facet of our business continues to mature. A.C.T. Research currently forecasts sales of Class 4 through 7 trucks in the U.S. to be approximately 276,000 in 2008 and 280,000 in 2009. The Company plans to continue to expand its share of the medium-duty market by adding new product lines to existing dealerships, adding dealership locations and adding sales personnel. See Note 17 to the Company’s Consolidated Financial Statements for a discussion of the Company’s medium-duty acquisitions in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Equipment Market</w:t>
      </w:r>
    </w:p>
    <w:p>
      <w:pPr>
        <w:spacing w:after="0" w:line="225" w:lineRule="exact"/>
        <w:rPr>
          <w:sz w:val="20"/>
          <w:szCs w:val="20"/>
          <w:color w:val="auto"/>
        </w:rPr>
      </w:pPr>
    </w:p>
    <w:p>
      <w:pPr>
        <w:ind w:right="80" w:firstLine="648"/>
        <w:spacing w:after="0" w:line="267" w:lineRule="auto"/>
        <w:rPr>
          <w:sz w:val="20"/>
          <w:szCs w:val="20"/>
          <w:color w:val="auto"/>
        </w:rPr>
      </w:pPr>
      <w:r>
        <w:rPr>
          <w:rFonts w:ascii="Arial" w:cs="Arial" w:eastAsia="Arial" w:hAnsi="Arial"/>
          <w:sz w:val="18"/>
          <w:szCs w:val="18"/>
          <w:color w:val="auto"/>
        </w:rPr>
        <w:t xml:space="preserve">O </w:t>
      </w:r>
      <w:r>
        <w:rPr>
          <w:rFonts w:ascii="Arial" w:cs="Arial" w:eastAsia="Arial" w:hAnsi="Arial"/>
          <w:sz w:val="17"/>
          <w:szCs w:val="17"/>
          <w:color w:val="auto"/>
        </w:rPr>
        <w:t>ur Rush Equipment Center is an authorized John Deere construction equipment dealer serving Houston, Texas and the surrounding area. According to</w:t>
      </w:r>
      <w:r>
        <w:rPr>
          <w:rFonts w:ascii="Arial" w:cs="Arial" w:eastAsia="Arial" w:hAnsi="Arial"/>
          <w:sz w:val="18"/>
          <w:szCs w:val="18"/>
          <w:color w:val="auto"/>
        </w:rPr>
        <w:t xml:space="preserve"> </w:t>
      </w:r>
      <w:r>
        <w:rPr>
          <w:rFonts w:ascii="Arial" w:cs="Arial" w:eastAsia="Arial" w:hAnsi="Arial"/>
          <w:sz w:val="17"/>
          <w:szCs w:val="17"/>
          <w:color w:val="auto"/>
        </w:rPr>
        <w:t>data compiled by John Deere, approximately 2,500 units of construction equipment were put into use in our area of responsibility in 2006 compared to 2,700 in 2005. In 2007, we expect new construction equipment unit sales to decrease approximately 5% - 10% in our area of responsibility. John Deere’s market share in the Houston area was 22.7% in 2006 and 19.9% in 2005. Our Rush Equipment Center has the right to sell new John Deere construction equipment and parts within its assigned area of responsibility, which means competition within its market comes primarily from dealers of competing manufacturers and rental companies.</w:t>
      </w:r>
    </w:p>
    <w:p>
      <w:pPr>
        <w:spacing w:after="0" w:line="18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John Deere equipment users are a diverse group that includes residential and commercial construction businesses, independent rental companies, utility companies, government agencies, and various petrochemical, industrial and material supply businesses. Industry statistics suggest that a majority of all construction equipment is owned by a relatively small percentage of the customer base. Accordingly, John Deere and its dealer group, including the Rush Equipment Center, are aggressively developing more sophisticated ways to serve large equipment fleet owners.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factors affecting the construction equipment industry include the following:</w:t>
      </w:r>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commercial, residential, and public construction activities;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and federal highway and road construction appropriations.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 Compared to Year Ended December 31, 2005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Revenues increased $485.8 million, or 26.0%, in 2006 compared to 2005. Sales of new and used trucks increased $379.7 million, or 27.1%, in 2006 compared to 2005. This increase in new and used truck revenue is due to strong demand for Class 8 trucks, increased sales of medium-duty trucks due to acquisitions and strong demand, and strong demand for used trucks.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Unit sales of new Class 8 trucks increased 16.7% in 2006 compared to 2005. The Class 8 truck sales market in the U.S increased 12.4% in 2006 compared to 2005. In 2006, the Company retained a 4.1% share of the Class 8 truck sales market in the U.S. The Company expects its share to range between 4.1% and 4.5% of the U.S. Class 8 truck sales market in 2007, which would result in the sale of approximately 7,200 — 8,000 Class 8 trucks based on retail sales of 176,000 units as estimated by A.C.T. Research.</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Unit sales of new medium-duty trucks increased 67.2% in 2006 compared to 2005. The Company continues its concerted effort to improve its medium-duty truck sales by adding experienced medium-duty sales personnel and introducing new medium-duty franchises at some of the Company’s Rush Truck Centers to complement the existing medium-duty lines sold at such dealerships. Since July of 2005, the Company has acquired medium-duty truck</w:t>
      </w:r>
    </w:p>
    <w:p>
      <w:pPr>
        <w:sectPr>
          <w:pgSz w:w="11900" w:h="16912" w:orient="portrait"/>
          <w:cols w:equalWidth="0" w:num="1">
            <w:col w:w="11420"/>
          </w:cols>
          <w:pgMar w:left="240" w:top="125" w:right="239" w:bottom="0" w:gutter="0" w:footer="0" w:header="0"/>
        </w:sectPr>
      </w:pPr>
    </w:p>
    <w:bookmarkStart w:id="20" w:name="page21"/>
    <w:bookmarkEnd w:id="20"/>
    <w:p>
      <w:pPr>
        <w:ind w:right="120"/>
        <w:spacing w:after="0" w:line="257" w:lineRule="auto"/>
        <w:rPr>
          <w:sz w:val="20"/>
          <w:szCs w:val="20"/>
          <w:color w:val="auto"/>
        </w:rPr>
      </w:pPr>
      <w:r>
        <w:rPr>
          <w:rFonts w:ascii="Arial" w:cs="Arial" w:eastAsia="Arial" w:hAnsi="Arial"/>
          <w:sz w:val="18"/>
          <w:szCs w:val="18"/>
          <w:color w:val="auto"/>
        </w:rPr>
        <w:t>franchises in Dallas and Texarkana, Texas, Orlando and Jacksonville, Florida, Fontana, California, Denver, Colorado and Atlanta, Georgia. Overall, new medium-duty truck sales revenue increased approximately $95.0 million, or 60.1%, in 2006 compared to 2005. A.C.T. Research currently expects a 12% decline in United States retail sales of Class 4, 5, 6, and 7 medium-duty trucks, however, the Company expects to continue to add medium-duty franchises to its network and to increase same store medium-duty sales and market share in 2007 compared to 2006. The Company expects to sell approximately 6,000 medium—duty trucks in 2007.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Unit sales of used trucks increased 8.9% in 2006 compared to 2005. Used truck average revenue per unit increased by approximately 9.8%. Historically, used truck demand is consistent with new truck demand. In 2007, used truck sales volumes and prices will be primarily driven by the number of trade-in units we receive which will depend upon potential new truck purchaser’s willingness to purchase the new diesel engines in 2007. The Company expects to sell approximately 4,000 used trucks in 2007.</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Parts and service sales increased $75.5 million, or 20.6%, in 2006 compared to 2005. Same store parts and service sales increased $62.6 million, or 17.1%, in 2006 compared to 2005. The parts and service sales increase was consistent with management’s expectations, which take into account general economic conditions, successful business development, acquisitions and price increases for parts and labor. The Company expects parts and service sales to maintain a 10% to 12% same store growth level during 2007.</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Sales of new and used construction equipment increased $17.9 million, or 42.8%, in 2006 compared to 2005. During 2006, the Company made a concerted effort to increase its market share in the Houston area. Approximately 2,500 units of construction equipment were put into use in the Company’s area of responsibility in 2006 compared to approximately 2,700 in 2005. The construction equipment industry expects to sell approximately 2,300 units of new construction equipment in the Houston area in 2007. John Deere’s market share in the Houston area construction equipment market increased to 22.7% in 2006 from 19.9% in 2005. The Company believes it can maintain John Deere’s market share, in the Houston area, at approximately 25.0% in 2007.</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Truck lease and rental revenues increased $7.6 million, or 22.3%, in 2006 compared to 2005. This increase in lease and rental revenue is consistent with management’s expectations considering the pre-buy related to the new emission law. The lease and rental fleet increased approximately 30.4% to 2,345 units at December 31, 2006 from 1,798 units at December 31, 2005. The Company expects lease and rental revenue to increase 13% in 2007 compared to 2006. The recent fleet additions coupled with an expected 8% increase in our fleet during 2007, is driving the overall projected revenue growth of 13%.</w:t>
      </w:r>
    </w:p>
    <w:p>
      <w:pPr>
        <w:spacing w:after="0" w:line="154" w:lineRule="exact"/>
        <w:rPr>
          <w:sz w:val="20"/>
          <w:szCs w:val="20"/>
          <w:color w:val="auto"/>
        </w:rPr>
      </w:pPr>
    </w:p>
    <w:p>
      <w:pPr>
        <w:ind w:firstLine="670"/>
        <w:spacing w:after="0" w:line="297" w:lineRule="auto"/>
        <w:rPr>
          <w:sz w:val="20"/>
          <w:szCs w:val="20"/>
          <w:color w:val="auto"/>
        </w:rPr>
      </w:pPr>
      <w:r>
        <w:rPr>
          <w:rFonts w:ascii="Arial" w:cs="Arial" w:eastAsia="Arial" w:hAnsi="Arial"/>
          <w:sz w:val="16"/>
          <w:szCs w:val="16"/>
          <w:color w:val="auto"/>
        </w:rPr>
        <w:t>Finance and insurance revenues increased $3.8 million, or 25.0%, in 2006 compared to 2005. This increase is primarily related to the increase in truck sales during 2006. The Company expects finance income from new Class 8 truck sales to decrease during 2007 compared to 2006 because of the expected decline in new Class 8 truck sales. The decrease in finance income will be mitigated by increases in medium-duty truck sales and insurance revenue due to their product expansion and recent acquisitions. The Company expects overall finance revenue to decrease approximately 5% - 10% in 2007 compared to 2006. Finance and insurance revenues have limited direct costs and, therefore, contribute a disproportionate share of the Company’s operating profits.</w:t>
      </w:r>
    </w:p>
    <w:p>
      <w:pPr>
        <w:spacing w:after="0" w:line="158" w:lineRule="exact"/>
        <w:rPr>
          <w:sz w:val="20"/>
          <w:szCs w:val="20"/>
          <w:color w:val="auto"/>
        </w:rPr>
      </w:pPr>
    </w:p>
    <w:p>
      <w:pPr>
        <w:ind w:right="180" w:firstLine="670"/>
        <w:spacing w:after="0" w:line="264" w:lineRule="auto"/>
        <w:rPr>
          <w:sz w:val="20"/>
          <w:szCs w:val="20"/>
          <w:color w:val="auto"/>
        </w:rPr>
      </w:pPr>
      <w:r>
        <w:rPr>
          <w:rFonts w:ascii="Arial" w:cs="Arial" w:eastAsia="Arial" w:hAnsi="Arial"/>
          <w:sz w:val="18"/>
          <w:szCs w:val="18"/>
          <w:color w:val="auto"/>
        </w:rPr>
        <w:t>Other income increased $1.1 million, or 14.9%, in 2006 compared to 2005. The increase in other income revenue is primarily related to document fees related to truck sales. Other income also consists of the gain on sale realized on trucks from the lease and rental fleet, commissions earned from John Deere for direct manufacturer sales into our area of responsibility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59"/>
        <w:spacing w:after="0" w:line="259" w:lineRule="auto"/>
        <w:rPr>
          <w:sz w:val="20"/>
          <w:szCs w:val="20"/>
          <w:color w:val="auto"/>
        </w:rPr>
      </w:pPr>
      <w:r>
        <w:rPr>
          <w:rFonts w:ascii="Arial" w:cs="Arial" w:eastAsia="Arial" w:hAnsi="Arial"/>
          <w:sz w:val="18"/>
          <w:szCs w:val="18"/>
          <w:color w:val="auto"/>
        </w:rPr>
        <w:t>Gross profit increased $70.0 million, or 24.8%, in 2006 compared to 2005. Gross profit as a percentage of sales decreased to 15.0% in 2006 from 15.2% in 2005. This decrease is primarily a result of a change in our product sales mix. Truck sales, a lower margin revenue item, increased as a percentage of total revenue to 75.8% in 2006 from 75.1% in 2005. Parts and service revenue, a higher margin revenue item, decreased as a percentage of total revenue to 18.8% in 2006 from 19.6% in 2005.</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Gross margins on Class 8 truck sales increased to 7.2% in 2006 from 6.7% in 2005. For 2007, the Company expects overall gross margins from Class 8 truck sales of approximately 6.5% to 7.5%. The Company continually evaluates its reserve for new truck valuation losses. The Company recorded an expense of $1.3 million to increase its new heavy-duty truck valuation allowance in 2006 and did not record a similar expense in 2005.</w:t>
      </w:r>
    </w:p>
    <w:p>
      <w:pPr>
        <w:spacing w:after="0" w:line="166"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Gross margins on medium-duty truck sales decreased to 5.7% in 2006 from 6.2% in 2005. For 2007, the Company expects overall gross margins from medium-duty truck sales of approximately 6.0% to 7.0%. Gross margins on medium-duty truck sales are impacted by market and the mix of models sold. The Company’s 2007 gross margins on medium-duty trucks could vary significantly depending upon the ultimate product mix of medium-duty trucks sold.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recorded an expense of $1.6 million to increase its new medium-duty truck valuation allowance in 2006 and did not record a similar expense in 2005.</w:t>
      </w:r>
    </w:p>
    <w:p>
      <w:pPr>
        <w:spacing w:after="0" w:line="23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Gross margins on used truck sales remained relatively constant with a slight decrease to 9.1% in 2006 from 9.2% in 2005. The challenge for the Company’s used truck business is always procuring a sufficient quantity of quality used trucks for resale at acceptable prices. The Company believes it will be able to continue to achieve margins of approximately 8.5% to 9.5% during 2007. The Company continually evaluates its reserve for used truck valuation losses. The Company recorded an expense of $350,000 to increase its used truck valuation allowance in 2006 and $150,000 in 2005.</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remained constant at 41.1% in 2006 and 2005. Gross profit for the parts, service and body shop departments increased to $181.6 million in 2006 from $150.5 million in 2005. The Company expects to maintain gross margins of approximately 40.0% to 42.0% during 2007.</w:t>
      </w:r>
    </w:p>
    <w:p>
      <w:pPr>
        <w:sectPr>
          <w:pgSz w:w="11900" w:h="16838" w:orient="portrait"/>
          <w:cols w:equalWidth="0" w:num="1">
            <w:col w:w="11420"/>
          </w:cols>
          <w:pgMar w:left="240" w:top="125" w:right="239" w:bottom="150" w:gutter="0" w:footer="0" w:header="0"/>
        </w:sectPr>
      </w:pPr>
    </w:p>
    <w:bookmarkStart w:id="21" w:name="page22"/>
    <w:bookmarkEnd w:id="21"/>
    <w:p>
      <w:pPr>
        <w:spacing w:after="0" w:line="4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decreased to 11.8% in 2006 from 12.4% in 2005. The lower gross margins for 2006 are due to the Company’s efforts to increase its market share in the Houston area. The Company expects 2007 gross margins to remain in a range of 10.0% to 12.0% depending on the mix of products sold.</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Gross margins from truck lease and rental sales decreased to 21.2% in 2006 from approximately 23.5% in 2005. The Company expects to maintain gross margins from lease and rental sales of approximately 22.0% to 24.0% during 2007. The decrease in gross margin from lease and rental sales is primarily due to the increase in interest rates and the increase in the cost of new trucks for use in the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Selling, General and Administrative (“SG&amp;A”) expenses increased $41.4 million, or 33.0%, in 2006 compared to 2005. The increase in SG&amp;A in 2006 is due in large part to increased variable compensation as a result of the 32.2% increase in truck gross profit over 2005, expansion of dealership facilities in Mobile, Alabama and Nashville, Tennessee, opening a new dealership in Alice, Texas and acquisitions of new dealerships in Texarkana, Texas, Orlando and Jacksonville, Florida, Atlanta, Georgia and Denver, Colorado from July of 2005 through November of 2006. Additionally, on January 1, 2006, the Company implemented SFAS 123(R), which resulted in stock-based compensation expense of $2.6 million for 2006. SG&amp;A expenses as a percentage of sales decreased to 9.8% in 2006 from 10.1% in 2005. SG&amp;A expenses as a percentage of sales have historically ranged from 10.0% to 16.0%; however, when new and used truck revenue is high, SG&amp;A expenses as a percentage of sales are low. In 2007, the Company expects the selling portion of SG&amp;A expenses to be approximately 30% - 33% of new and used truck gross profit. The general and administrative portion of SG&amp;A will increase approximately 10% - 12% due to the full year effect of 2006 acquisitions and inflation.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interest expense increased $2.8 million, or 21.9%, in 2006 compared to 2005. In 2006, floor plan interest expense increased compared to 2005 primarily due to the increase in floor plan notes payable and an increase in the Company’s borrowing rate. To take advantage of increased truck demand in 2006, the Company maintained higher levels of truck inventory than it has traditionally maintained, which increases the Company’s floor plan notes payable. The increase in net interest expense in 2006 was offset by earnings on the Company’s investment of available cash. The Company expects net interest expense in 2007 to increase approximate 10.0% compared to 2006.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Income from continuing operations before income taxes increased $22.9 million, or 32.2%, in 2006 compared to 2005, as a result of the factors described above. The Company believes that income from continuing operations in 2007 will decrease compared to 2006 based on the factors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Income taxes from continuing operations increased $8.8 million, or 33.0%, in 2006 compared to 2005. The Company provided for taxes at a 37.5% effective rate in 2006 and expects the effective tax rate to be approximately 37.5% to 38.0%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2005 Compared to Year Ended 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Revenues increased $769.8 million, or 70.3%, in 2005 compared to 2004. Sales of new and used trucks increased $662.5 million, or 89.7%, from 2004 to 2005.</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Unit sales of new Class 8 trucks increased 88.1%, in 2005 compared to 2004 due to increasing demand and the ATS acquisition. The Company’s average sales price per Class 8 truck increased to $106,300 in 2005 from $101,200 in 2004. This price increase is primarily attributable to an increase in the manufacturing costs.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Unit sales of new medium-duty trucks increased 58.9%, in 2005 compared to 2004. In 2004, the Company continued its concerted effort to improve its medium-duty truck sales by adding experienced medium-duty sales personnel and introducing new medium-duty franchises at some of our Rush Truck Centers to complement the existing medium-duty lines sold at such dealerships. Overall, new medium-duty truck sales revenue increased $64.5 million in 2005 compared to 2004.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 sales of used trucks increased 35.4%, in 2005 compared to 2004. Used truck average revenue per unit increased by 22.3%.</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Parts and service sales increased $80.7 million, or 28.3%, in 2005 compared to 2004. The parts and service sales increase in 2005 was due to business development activities combined with price increases for parts and labor and acquisitions throughout the year.</w:t>
      </w:r>
    </w:p>
    <w:p>
      <w:pPr>
        <w:spacing w:after="0" w:line="14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Sales of new and used construction equipment increased $9.4 million, or 29.1%, in 2005 compared to 2004. The construction equipment sales increase was primarily attributable to the improved market conditions in Houston, Texas and the need to replace aging equipment.</w:t>
      </w:r>
    </w:p>
    <w:p>
      <w:pPr>
        <w:spacing w:after="0" w:line="14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 xml:space="preserve">Truck l </w:t>
      </w:r>
      <w:r>
        <w:rPr>
          <w:rFonts w:ascii="Arial" w:cs="Arial" w:eastAsia="Arial" w:hAnsi="Arial"/>
          <w:sz w:val="17"/>
          <w:szCs w:val="17"/>
          <w:color w:val="auto"/>
        </w:rPr>
        <w:t>ease and rental revenues increased $7.0 million, or 26.1%, in 2005 compared to 2004. The increase in truck lease and rental revenue was due</w:t>
      </w:r>
      <w:r>
        <w:rPr>
          <w:rFonts w:ascii="Arial" w:cs="Arial" w:eastAsia="Arial" w:hAnsi="Arial"/>
          <w:sz w:val="18"/>
          <w:szCs w:val="18"/>
          <w:color w:val="auto"/>
        </w:rPr>
        <w:t xml:space="preserve"> </w:t>
      </w:r>
      <w:r>
        <w:rPr>
          <w:rFonts w:ascii="Arial" w:cs="Arial" w:eastAsia="Arial" w:hAnsi="Arial"/>
          <w:sz w:val="17"/>
          <w:szCs w:val="17"/>
          <w:color w:val="auto"/>
        </w:rPr>
        <w:t>to the increase in our customer base during 2005.</w:t>
      </w:r>
    </w:p>
    <w:p>
      <w:pPr>
        <w:sectPr>
          <w:pgSz w:w="11900" w:h="16885" w:orient="portrait"/>
          <w:cols w:equalWidth="0" w:num="1">
            <w:col w:w="11400"/>
          </w:cols>
          <w:pgMar w:left="240" w:top="125" w:right="259" w:bottom="0" w:gutter="0" w:footer="0" w:header="0"/>
        </w:sectPr>
      </w:pPr>
    </w:p>
    <w:bookmarkStart w:id="22" w:name="page23"/>
    <w:bookmarkEnd w:id="22"/>
    <w:p>
      <w:pPr>
        <w:ind w:right="100" w:firstLine="648"/>
        <w:spacing w:after="0" w:line="342" w:lineRule="auto"/>
        <w:rPr>
          <w:sz w:val="20"/>
          <w:szCs w:val="20"/>
          <w:color w:val="auto"/>
        </w:rPr>
      </w:pPr>
      <w:r>
        <w:rPr>
          <w:rFonts w:ascii="Arial" w:cs="Arial" w:eastAsia="Arial" w:hAnsi="Arial"/>
          <w:sz w:val="16"/>
          <w:szCs w:val="16"/>
          <w:color w:val="auto"/>
        </w:rPr>
        <w:t>Finance and insurance revenues increased 94.9%, in 2005 compared to 2004. Finance and insurance revenues typically increase as sales of new and used trucks increase. Finance and insurance revenues have minimal direct costs and, therefore, contribute a disproportionate share of operating profits.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Gross profit increased $97.6 million, or 52.7%, in 2005 compared to 2004. Gross profit as a percentage of sales decreased to 15.2% in 2005 from 16.9% in 2004. This decrease is primarily a result of a change in our product mix. Truck sales, a lower margin revenue item, increased as a percentage of total revenue to 75.1% in 2005 from 67.4% in 2004. Parts and service revenue, a higher margin revenue item, decreased as a percentage of total revenue to 19.6% in 2005 from 26.0% in 2004.</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Gross margins on Class 8 truck sales decreased to 6.7% in 2005 from 7.0% in 2004. This decrease in gross margin was primarily a result of an increase in truck sales to large fleet customers in 2005 compared to 2004. Large fleet sales typically result in lower margins than small fleet sales and sales to owner operators. Each year the Company evaluates its reserve for new truck valuation losses. The Company did not record a loss provision in 2005 or 2004.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medium-duty truck sales remained constant at 6.2% in 2005 and 2004.</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Gross margins on used truck sales decreased to 9.2% in 2005 from 9.8% in 2004. Margins on used trucks will vary depending on the mix of used trucks that are acquired from either owner-operators or fleet owners at trade-in. Used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trucks acquired as trade-ins from fleet owners normally result in lower margins when the truck is sold. The Company recorded a $150,000 loss provision to the Company’s reserve for used truck valuation in 2005 and recognized a $350,000 loss provision during 2004.</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Gross margins from the Company’s parts, service and body shop operations increased to 41.1% in 2005 from 37.9% in 2004. Gross profit dollars for the parts, service and body shop departments increased to $150.5 million in 2005 from $108.0 million in 2004.</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Gross margins on new and used construction equipment sales decreased to 12.4% in 2005 from 13.0% in 2004. The decrease was attributable to a change in the mix of products sold during 2005.</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Gross margins generated from truck lease and rental sales decreased to 23.5% in 2005 from 26.5% in 2004. The decrease in gross margin from lease and rental sales is primarily due to the increase in the Company’s borrowing rates and the increase in the cost of new trucks for use in the lease and rental fleet.</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minimal direct cost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Selling, General and Administrative (“SG&amp;A”) expenses increased $46.8 million, or 33.0%, in 2005 compared to 2004. The increase in SG&amp;A in 2005 is due in large part to increased variable compensation as a result of the 80.3% increase in truck gross profit over 2004 and acquisitions completed in 2005. SG&amp;A expenses as a percentage of sales decreased from 13.0% in 2004 to 10.1% in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interest expense increased $6.9 million, or 115.0%, in 2005 compared to 2004. Net interest expense increased as a result of increased floor plan notes payable borrowing rate, increased truck inventory and floor plan notes payable due to increased demand for trucks and the increased levels of indebtedness associated with the real estate acquired from ATS and other real estate financings.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Income from continuing operations before income taxes increased by $42.3 million, or 146.9%, in 2005 compared to 2004, as a result of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Income taxes from continuing operations increased $14.9 million, or 128.4%, in 2005 compared to 2004. The Company provided for taxes at a 37.3% effective rate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of new facilities. Historically, these cash requirements have been met through the retention of profits and borrowings under our floor plan arrangements. As of December 31, 2006, the Company had working capital of approximately $156.3 million, including $161.6 million in cash available to fund our operations.</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December 31, 2006.</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December 31, 2006, however, $6.3 million was pledged to secure</w:t>
      </w:r>
    </w:p>
    <w:p>
      <w:pPr>
        <w:sectPr>
          <w:pgSz w:w="11900" w:h="16838" w:orient="portrait"/>
          <w:cols w:equalWidth="0" w:num="1">
            <w:col w:w="11400"/>
          </w:cols>
          <w:pgMar w:left="240" w:top="125" w:right="25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various letters of credit related to self-insurance products, leaving $1.7 million available for future borrowings as of December 31, 2006.</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signed an agreement with Titan Technology Partners to implement SAP enterprise software and a new SAP dealership management system. The cost of the SAP software and implementation is estimated at $10.0 million. The Company has no other material commitments for capital expenditures as of December 31, 2006.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Cash and cash equivalents increased by $28.5 million during the year ended December 31, 2006 and decreased by $25.1 million during the year ended December 31, 2005.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2006, operating activities resulted in net cash used in operations of $6.9 million. Cash used in operating activities was primarily impacted by the increased levels of new truck inventory. The majority of truck inventory is financed through the Company’s floor plan financing provider. The Company maintained higher levels of new truck inventory in 2006 than it has traditionally maintained, in order to take advantage of increased demand for new trucks. During 2005, operating activities resulted in net cash used in operations of $52.2 million.</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believes that changes in aggregate floor plan liabilities are directly linked to changes in vehicle inventory and, therefore, are an integral part of understanding changes in our working capital and operating cash flow. Consequently, the Company has provided below a reconciliation of cash flow from operating activities as reported in our consolidated statement of cash flows as if changes in vehicle floor plan were classified as an operating activity (in thousands).</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29"/>
        </w:trPr>
        <w:tc>
          <w:tcPr>
            <w:tcW w:w="6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r>
      <w:tr>
        <w:trPr>
          <w:trHeight w:val="210"/>
        </w:trPr>
        <w:tc>
          <w:tcPr>
            <w:tcW w:w="6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as reported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(52,160)</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Draws on floor plan notes payable as reported</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113,345</w:t>
            </w:r>
          </w:p>
        </w:tc>
        <w:tc>
          <w:tcPr>
            <w:tcW w:w="22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w w:val="97"/>
              </w:rPr>
              <w:t>Net cash provided by operating activities including all floor plan notes payable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113,141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61,185</w:t>
            </w:r>
          </w:p>
        </w:tc>
        <w:tc>
          <w:tcPr>
            <w:tcW w:w="22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Cash flows from investing activities consist primarily of cash used for capital expenditures and business acquisitions. During 2006, the Company used $145.2 million in investing activities. Capital expenditures consist of purchases of property and equipment, and improvements to our existing dealership facilities of $116.1 million. $73.6 million of this was used to purchase additional units for the rental and leasing operations during 2006 which was directly offset by borrowings of long-term debt. The Company expects truck purchases of $40.0 million to $50.0 million for its leasing operations in 2007 depending on customer demand. During 2007, the Company expects to make capital expenditures for recurring items such as computers, shop equipment and vehicles of approximately $12.0 million in 2007 in addition to $6.1 million for the SAP software implementation described above. Cash used in business acquisitions was $36.1 million during the year ended December 31, 2006. See Note 17 of the Notes to Consolidated Financial Statements for a detailed discussion of these acquisitions.</w:t>
      </w:r>
    </w:p>
    <w:p>
      <w:pPr>
        <w:spacing w:after="0" w:line="19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During 2005, cash used in investing activities was $123.5 million. Capital expenditures consisted of purchases of property and equipment, and improvements to our existing dealership facilities of $65.8 million. $46.2 million of this was used to purchase additional units for the rental and leasing operations during the year ended December 31, 2005. Cash used in business acquisitions was $66.0 million during the year ended December 31, 2005. See Note 17 of the Notes to Consolidated Financial Statements for a detailed discussion of these acquisitions.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Cash provided by financing activities was $180.5 million during the year ended December 31, 2006. The Company had borrowings of long-term debt of $102.4 million and repayments of long-term debt of $44.3 million during the year ended December 31, 2006. The Company had net borrowings of floor plan notes payable of $120.0 million during the year ended December 31, 2006. The borrowings of long-term debt are primarily related to the increase in the lease and rental fleet and real estate financing.</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provided by financing activities was $150.6 million during the year ended December 31, 2005. The Company had borrowings of long-term debt of $52.1 million and repayments of long-term debt of $35.0 million during the year ended December 31, 2005. The Company had net borrowings of floor plan notes payable of $113.3 million during the year ended December 31, 2005. The borrowings of long-term debt are primarily related to the increase in the lease and rental fleet, real estate financing and debt acquired in the ATS acquisition.</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arranges financing for customers through various financial institutions including GE Capital and PACCAR Financial. The Company financed approximately 26% of new and used truck sales in 2006. The Company receives a commission from the lender equal to either the difference between the interest rates charged to customers over the predetermined interest rates set by the financing institution or a commission for the placement of contracts. A</w:t>
      </w:r>
    </w:p>
    <w:p>
      <w:pPr>
        <w:sectPr>
          <w:pgSz w:w="11900" w:h="16838" w:orient="portrait"/>
          <w:cols w:equalWidth="0" w:num="1">
            <w:col w:w="11400"/>
          </w:cols>
          <w:pgMar w:left="240" w:top="125" w:right="259" w:bottom="0" w:gutter="0" w:footer="0" w:header="0"/>
        </w:sectPr>
      </w:pPr>
    </w:p>
    <w:bookmarkStart w:id="24" w:name="page25"/>
    <w:bookmarkEnd w:id="24"/>
    <w:p>
      <w:pPr>
        <w:ind w:right="80"/>
        <w:spacing w:after="0" w:line="254" w:lineRule="auto"/>
        <w:rPr>
          <w:sz w:val="20"/>
          <w:szCs w:val="20"/>
          <w:color w:val="auto"/>
        </w:rPr>
      </w:pPr>
      <w:r>
        <w:rPr>
          <w:rFonts w:ascii="Arial" w:cs="Arial" w:eastAsia="Arial" w:hAnsi="Arial"/>
          <w:sz w:val="18"/>
          <w:szCs w:val="18"/>
          <w:color w:val="auto"/>
        </w:rPr>
        <w:t>majority of finance contracts are sold without recourse to the Company. The Company’s liability related to finance contracts sold with recourse is generally limited to 5% to 20% of the outstanding amount of each note initiated on behalf of the finance company. However, in 2003 the Company instituted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an allowance for repossession losses and early repayment penalties that it may be liable for under finance contracts sold without recourse.</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through The CIT Group, Inc., CitiCapital, John Deere Credit and others, the Company arranged customer financing for approximately $31.8 million of our new and used construction equipment sales in 2006. Generally, construction equipment financings are memorialized through the use of installment or lease contracts, which are secured by the construction equipment financed, and generally require a down payment up to 10% of the value of the financed piece of construction equipment, with the remaining balance being financed over a three to five-year period. The Company experiences no repossession loss on construction equipment financings because such financings are sold to third parties without recourse.</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December 31, 2006, the Company had approximately $434.0 million outstanding under its floor plan financing agreement with GE Capital.</w:t>
      </w:r>
    </w:p>
    <w:p>
      <w:pPr>
        <w:spacing w:after="0" w:line="179" w:lineRule="exact"/>
        <w:rPr>
          <w:sz w:val="20"/>
          <w:szCs w:val="20"/>
          <w:color w:val="auto"/>
        </w:rPr>
      </w:pPr>
    </w:p>
    <w:p>
      <w:pPr>
        <w:ind w:right="140" w:firstLine="648"/>
        <w:spacing w:after="0" w:line="280"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construction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 principal payments for sold inventory to CitiCapital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for sold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used construction equipment are made no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December 31, 2006, the Company’s floor plan arrangement with CitiCapital permits the financing of up to $13.5 million in construction equipment. On December 31, 2006, the Company had $1.2 million outstanding under its floor plan financing arrangements with John Deere and $11.2 million outstanding under its floor plan financing arrangement with CitiCapital.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A.C.T. Research, industry-wide domestic retail sales of Class 8 trucks in 2006 totaled approximately 291,000 units. A.C.T. Research currently forecasts U.S. heavy-duty new truck sales to decrease to approximately 176,000 units in 2007 and then increase to 214,000 units in 2008.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off-balance sheet arrangements as of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certain contractual obligations that will impact its short and long-term liquidity. At December 31, 2006, such obligations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0" w:type="dxa"/>
            <w:vAlign w:val="bottom"/>
          </w:tcPr>
          <w:p>
            <w:pPr>
              <w:spacing w:after="0"/>
              <w:rPr>
                <w:sz w:val="8"/>
                <w:szCs w:val="8"/>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79"/>
              <w:spacing w:after="0" w:line="102" w:lineRule="exact"/>
              <w:rPr>
                <w:sz w:val="20"/>
                <w:szCs w:val="20"/>
                <w:color w:val="auto"/>
              </w:rPr>
            </w:pPr>
            <w:r>
              <w:rPr>
                <w:rFonts w:ascii="Arial" w:cs="Arial" w:eastAsia="Arial" w:hAnsi="Arial"/>
                <w:sz w:val="11"/>
                <w:szCs w:val="11"/>
                <w:b w:val="1"/>
                <w:bCs w:val="1"/>
                <w:color w:val="auto"/>
              </w:rPr>
              <w:t>Less than 1</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317"/>
              <w:spacing w:after="0" w:line="102" w:lineRule="exact"/>
              <w:rPr>
                <w:sz w:val="20"/>
                <w:szCs w:val="20"/>
                <w:color w:val="auto"/>
              </w:rPr>
            </w:pPr>
            <w:r>
              <w:rPr>
                <w:rFonts w:ascii="Arial" w:cs="Arial" w:eastAsia="Arial" w:hAnsi="Arial"/>
                <w:sz w:val="11"/>
                <w:szCs w:val="11"/>
                <w:b w:val="1"/>
                <w:bCs w:val="1"/>
                <w:color w:val="auto"/>
              </w:rPr>
              <w:t>1-3</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ind w:right="297"/>
              <w:spacing w:after="0" w:line="102" w:lineRule="exact"/>
              <w:rPr>
                <w:sz w:val="20"/>
                <w:szCs w:val="20"/>
                <w:color w:val="auto"/>
              </w:rPr>
            </w:pPr>
            <w:r>
              <w:rPr>
                <w:rFonts w:ascii="Arial" w:cs="Arial" w:eastAsia="Arial" w:hAnsi="Arial"/>
                <w:sz w:val="11"/>
                <w:szCs w:val="11"/>
                <w:b w:val="1"/>
                <w:bCs w:val="1"/>
                <w:color w:val="auto"/>
              </w:rPr>
              <w:t>3-5</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center"/>
              <w:ind w:right="37"/>
              <w:spacing w:after="0" w:line="102" w:lineRule="exact"/>
              <w:rPr>
                <w:sz w:val="20"/>
                <w:szCs w:val="20"/>
                <w:color w:val="auto"/>
              </w:rPr>
            </w:pPr>
            <w:r>
              <w:rPr>
                <w:rFonts w:ascii="Arial" w:cs="Arial" w:eastAsia="Arial" w:hAnsi="Arial"/>
                <w:sz w:val="11"/>
                <w:szCs w:val="11"/>
                <w:b w:val="1"/>
                <w:bCs w:val="1"/>
                <w:color w:val="auto"/>
              </w:rPr>
              <w:t>More than 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29"/>
        </w:trPr>
        <w:tc>
          <w:tcPr>
            <w:tcW w:w="5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ind w:left="28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192,124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Capital lease obligations(2)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debt (3)</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5" w:name="page26"/>
    <w:bookmarkEnd w:id="25"/>
    <w:p>
      <w:pPr>
        <w:spacing w:after="0"/>
        <w:tabs>
          <w:tab w:leader="none" w:pos="5420" w:val="left"/>
          <w:tab w:leader="none" w:pos="5800" w:val="left"/>
          <w:tab w:leader="none" w:pos="6680" w:val="left"/>
          <w:tab w:leader="none" w:pos="7160" w:val="left"/>
          <w:tab w:leader="none" w:pos="7960" w:val="left"/>
          <w:tab w:leader="none" w:pos="8320" w:val="left"/>
          <w:tab w:leader="none" w:pos="9180" w:val="left"/>
          <w:tab w:leader="none" w:pos="9540" w:val="left"/>
          <w:tab w:leader="none" w:pos="10420" w:val="left"/>
          <w:tab w:leader="none" w:pos="108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302,736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55,964</w:t>
      </w:r>
      <w:r>
        <w:rPr>
          <w:sz w:val="20"/>
          <w:szCs w:val="20"/>
          <w:color w:val="auto"/>
        </w:rPr>
        <w:tab/>
      </w:r>
      <w:r>
        <w:rPr>
          <w:rFonts w:ascii="Arial" w:cs="Arial" w:eastAsia="Arial" w:hAnsi="Arial"/>
          <w:sz w:val="18"/>
          <w:szCs w:val="18"/>
          <w:u w:val="single" w:color="auto"/>
          <w:color w:val="auto"/>
        </w:rPr>
        <w:t>$</w:t>
        <w:tab/>
        <w:t>107,667</w:t>
        <w:tab/>
        <w:t>$</w:t>
        <w:tab/>
        <w:t>107,150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-121920</wp:posOffset>
            </wp:positionV>
            <wp:extent cx="378206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820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1389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3"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9 of Notes to Consolidated Financial Statements.</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12 of Notes to Consolidated Financial Statements.</w:t>
      </w:r>
    </w:p>
    <w:p>
      <w:pPr>
        <w:spacing w:after="0" w:line="225" w:lineRule="exact"/>
        <w:rPr>
          <w:rFonts w:ascii="Arial" w:cs="Arial" w:eastAsia="Arial" w:hAnsi="Arial"/>
          <w:sz w:val="18"/>
          <w:szCs w:val="18"/>
          <w:color w:val="auto"/>
        </w:rPr>
      </w:pPr>
    </w:p>
    <w:p>
      <w:pPr>
        <w:ind w:right="40" w:firstLine="8"/>
        <w:spacing w:after="0" w:line="277" w:lineRule="auto"/>
        <w:tabs>
          <w:tab w:leader="none" w:pos="67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computing interest expense, the Company used its weighted average interest rate outstanding on fixed rate debt to estimate its interest expense on fixed rate debt. The Company did not have variable rate debt as of December 31, 2006.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December 31, 2006, the Company had floor plan borrowings of </w:t>
      </w:r>
      <w:r>
        <w:rPr>
          <w:rFonts w:ascii="Arial" w:cs="Arial" w:eastAsia="Arial" w:hAnsi="Arial"/>
          <w:sz w:val="17"/>
          <w:szCs w:val="17"/>
          <w:color w:val="auto"/>
        </w:rPr>
        <w:t>approximately $446.4 million. Assuming an increase in the LIBOR rate of interest of 100 basis points, interest</w:t>
      </w:r>
      <w:r>
        <w:rPr>
          <w:rFonts w:ascii="Arial" w:cs="Arial" w:eastAsia="Arial" w:hAnsi="Arial"/>
          <w:sz w:val="18"/>
          <w:szCs w:val="18"/>
          <w:color w:val="auto"/>
        </w:rPr>
        <w:t xml:space="preserve"> </w:t>
      </w:r>
      <w:r>
        <w:rPr>
          <w:rFonts w:ascii="Arial" w:cs="Arial" w:eastAsia="Arial" w:hAnsi="Arial"/>
          <w:sz w:val="17"/>
          <w:szCs w:val="17"/>
          <w:color w:val="auto"/>
        </w:rPr>
        <w:t>expense could increase by approximately $4.5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9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of $161.6 million at December 31, 2006. These funds are generally invested in highly liquid money market accounts, government-sponsored enterprises and corporate bonds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w:t>
      </w:r>
    </w:p>
    <w:p>
      <w:pPr>
        <w:spacing w:after="0" w:line="2" w:lineRule="exact"/>
        <w:rPr>
          <w:sz w:val="20"/>
          <w:szCs w:val="20"/>
          <w:color w:val="auto"/>
        </w:rPr>
      </w:pPr>
    </w:p>
    <w:p>
      <w:pPr>
        <w:ind w:right="800"/>
        <w:spacing w:after="0" w:line="358" w:lineRule="auto"/>
        <w:rPr>
          <w:sz w:val="20"/>
          <w:szCs w:val="20"/>
          <w:color w:val="auto"/>
        </w:rPr>
      </w:pPr>
      <w:r>
        <w:rPr>
          <w:rFonts w:ascii="Arial" w:cs="Arial" w:eastAsia="Arial" w:hAnsi="Arial"/>
          <w:sz w:val="15"/>
          <w:szCs w:val="15"/>
          <w:color w:val="auto"/>
        </w:rPr>
        <w:t>investments. If market interest rates were to increase or decrease immediately and uniformly by 100 basis points, the Company’s interest income could correspondingly increase or decrease by approximately $1.6 million. We have not used derivative financial instruments in our investment portfolio.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60" w:type="dxa"/>
            <w:vAlign w:val="bottom"/>
          </w:tcPr>
          <w:p>
            <w:pPr>
              <w:spacing w:after="0"/>
              <w:rPr>
                <w:sz w:val="20"/>
                <w:szCs w:val="20"/>
                <w:color w:val="auto"/>
              </w:rPr>
            </w:pPr>
          </w:p>
        </w:tc>
      </w:tr>
      <w:tr>
        <w:trPr>
          <w:trHeight w:val="392"/>
        </w:trPr>
        <w:tc>
          <w:tcPr>
            <w:tcW w:w="94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Report of Independent Registered Public Accounting Firm</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Consolidated Balance Sheets as of December 31, 2006 and 2005</w:t>
              </w:r>
            </w:hyperlink>
          </w:p>
        </w:tc>
        <w:tc>
          <w:tcPr>
            <w:tcW w:w="478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2"/>
        </w:trPr>
        <w:tc>
          <w:tcPr>
            <w:tcW w:w="6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Operations for the Years Ended December 31, 2006, 2005 and 2004</w:t>
              </w:r>
            </w:hyperlink>
          </w:p>
        </w:tc>
        <w:tc>
          <w:tcPr>
            <w:tcW w:w="252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944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Consolidated Statements of Shareholders’ Equity for the Years Ended December 31, 2006, 2005 and 2004</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7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Cash Flows for the Years Ended December 31, 2006, 2005 and 2004.</w:t>
              </w:r>
            </w:hyperlink>
          </w:p>
        </w:tc>
        <w:tc>
          <w:tcPr>
            <w:tcW w:w="62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Consolidated Financial Statements</w:t>
              </w:r>
            </w:hyperlink>
          </w:p>
        </w:tc>
        <w:tc>
          <w:tcPr>
            <w:tcW w:w="628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885"/>
        </w:trPr>
        <w:tc>
          <w:tcPr>
            <w:tcW w:w="6920" w:type="dxa"/>
            <w:vAlign w:val="bottom"/>
            <w:gridSpan w:val="4"/>
          </w:tcPr>
          <w:p>
            <w:pPr>
              <w:ind w:left="56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Rush Enterprises,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2006 and 2005, and the related consolidated statements of operations, shareholders’ equity,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ectPr>
          <w:pgSz w:w="11900" w:h="16838" w:orient="portrait"/>
          <w:cols w:equalWidth="0" w:num="1">
            <w:col w:w="11400"/>
          </w:cols>
          <w:pgMar w:left="240" w:top="125" w:right="259" w:bottom="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2006 and 2005, and the consolidated results of their operations and their cash flows for each of the three years in the period ended December 31, 2006,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financial statements, in 2006 the Company changed its method of accounting for stock-based compensation.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Rush Enterprises, Inc. and subsidiaries’ internal control over financial reporting as of December 31, 2006, based on criteria established in Internal Control-Integrated Framework issued by the Committee of Sponsoring Organizations of the Treadway Commission and our report dated March 12, 2007 expressed an unqualified opinion thereon.</w:t>
      </w: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484,696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730,319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278,690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1,128,410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Floor plan notes payable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446,354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Trade accounts payable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37,449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574,022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Long-term debt, net of current maturities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166,125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33,856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Preferred stock, par value $.01 per share; 1,000,000 shares authorized; 0 shares outstanding in 2006 and 2005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3"/>
              </w:rPr>
              <w:t>Common stock, par value $.01 per share; 40,000,000 Class A shares and 10,000,000 Class B shares authorized;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w w:val="93"/>
              </w:rPr>
              <w:t>17,069,494 Class A shares and 8,072,226 Class B shares outstanding in 2006; 16,770,060 Class A shares and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3"/>
          </w:tcPr>
          <w:p>
            <w:pPr>
              <w:ind w:left="340"/>
              <w:spacing w:after="0"/>
              <w:rPr>
                <w:sz w:val="20"/>
                <w:szCs w:val="20"/>
                <w:color w:val="auto"/>
              </w:rPr>
            </w:pPr>
            <w:r>
              <w:rPr>
                <w:rFonts w:ascii="Arial" w:cs="Arial" w:eastAsia="Arial" w:hAnsi="Arial"/>
                <w:sz w:val="18"/>
                <w:szCs w:val="18"/>
                <w:color w:val="auto"/>
              </w:rPr>
              <w:t>7,895,863 Class B shares outstanding in 2005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169,556</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339,608</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1,128,410</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1,780,418</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1,400,736</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738,225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1,864,770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1,094,979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1,652,913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1,304,290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32,615</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1,997,856</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1,582,078</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35,272</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 — Diluted</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32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25"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4"/>
                <w:szCs w:val="14"/>
                <w:color w:val="auto"/>
              </w:rPr>
            </w:pPr>
          </w:p>
        </w:tc>
        <w:tc>
          <w:tcPr>
            <w:tcW w:w="7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7"/>
              </w:rPr>
              <w:t>$.01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32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Shares Issued and</w:t>
            </w: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Retained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320" w:type="dxa"/>
            <w:vAlign w:val="bottom"/>
            <w:gridSpan w:val="4"/>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700" w:type="dxa"/>
            <w:vAlign w:val="bottom"/>
          </w:tcPr>
          <w:p>
            <w:pPr>
              <w:jc w:val="center"/>
              <w:ind w:right="73"/>
              <w:spacing w:after="0" w:line="139" w:lineRule="exact"/>
              <w:rPr>
                <w:sz w:val="20"/>
                <w:szCs w:val="20"/>
                <w:color w:val="auto"/>
              </w:rPr>
            </w:pPr>
            <w:r>
              <w:rPr>
                <w:rFonts w:ascii="Arial" w:cs="Arial" w:eastAsia="Arial" w:hAnsi="Arial"/>
                <w:sz w:val="14"/>
                <w:szCs w:val="14"/>
                <w:b w:val="1"/>
                <w:bCs w:val="1"/>
                <w:color w:val="auto"/>
                <w:w w:val="97"/>
              </w:rPr>
              <w:t>Par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Earnings</w:t>
            </w: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16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Class B</w:t>
            </w:r>
          </w:p>
        </w:tc>
        <w:tc>
          <w:tcPr>
            <w:tcW w:w="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 of employee stock options (including tax benefit of</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$3,364)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Issuance of Class A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 of employee stock options (including tax benefit of</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Issuance cost of Class A common stock</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Balance, December 31, 2005</w:t>
            </w:r>
          </w:p>
        </w:tc>
        <w:tc>
          <w:tcPr>
            <w:tcW w:w="880" w:type="dxa"/>
            <w:vAlign w:val="bottom"/>
          </w:tcPr>
          <w:p>
            <w:pPr>
              <w:jc w:val="right"/>
              <w:spacing w:after="0"/>
              <w:rPr>
                <w:sz w:val="20"/>
                <w:szCs w:val="20"/>
                <w:color w:val="auto"/>
              </w:rPr>
            </w:pPr>
            <w:r>
              <w:rPr>
                <w:rFonts w:ascii="Arial" w:cs="Arial" w:eastAsia="Arial" w:hAnsi="Arial"/>
                <w:sz w:val="18"/>
                <w:szCs w:val="18"/>
                <w:color w:val="auto"/>
              </w:rPr>
              <w:t>16,770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9"/>
              </w:rPr>
              <w:t>Exercise of employee stock options (including tax benefit of</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$2,349)</w:t>
            </w: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compensation related to employee stock options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employee stock purchases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169,556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58,786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44,625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 net of acquisitions-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Stock-based compensation expense related to employee stock options and employee stock purchases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Provision for deferred income tax expense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Tax benefit realized from exercise of stock options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Excess tax benefits from stock-based compensation</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(2,349)</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charges related to discontinued operations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Change in accounts receivable, net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(10,133)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(32,844)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inventories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(114,380)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(102,308)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Change in prepaid expenses and other, net</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trade accounts payable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Change in accrued expenses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(6,862)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(52,160)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(116,105)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(65,801)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(66,026)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(145,195)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(123,509)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net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(Payments) borrowings on lines of credit, net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 plan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8,750,000 shares relating to the public offering, net of the related expenses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180,546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150,563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(25,106)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133,069</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158,175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161,558</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133,069</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158,175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20,761</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6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31,758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21,703</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Rush Enterprises, Inc. (the “Company”) was incorporated in 1965 under the laws of the State of Texas. The Company now operates a Truck segment and a Construction Equipment segment. The Truck segment operates a regional network of Rush Truck Centers. Rush Truck Centers sell trucks manufactured by Peterbilt, GMC, Hino, UD, Ford or Isuzu. Through its strategically located network of Rush Truck Centers, the Company provides one-stop service for the needs of its customers, including retail sales of new and used trucks, aftermarket parts sales, service and repair facilities, financing, leasing and rental, and Insurance products. The Company’s truck centers are located in areas on or near major highways in Alabama, Arizona, California, Colorado, Florida, Georgia, New Mexico, Oklahoma, Tennessee and Texas. The Construction Equipment segment, formed during 1997, operates a John Deere equipment center in Houston, Texas. Dealership operations include the retail sale of new and used construction equipment, aftermarket parts and service facilities, equipment rentals and the financing of new and used equipment (see Note 19).</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the Company’s corporate reorganization in connection with its initial public offering (“Offering”) in June 1996, the Company acquired, as a wholly owned subsidiary, a managing general agent (the “MGA”) to manage all of the operations of Associated Acceptance, Inc. (“AA”). W. Marvin Rush, the sole shareholder of AA, is prohibited from the sale or transfer of the capital stock of AA under the MGA agreement, except as designated by the Company. Therefore, the financial position and operations of AA have been included as part of the Company’s consolidated financial position and results of operations for all periods presented.</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Effective at the close of business on July 9, 2002 (the “Record Date”), pursuant to action taken by the shareholders at the Annual Meeting of the Company held July 9, 2002, and described in the Proxy Statement dated May 15, 2002, the Board of Directors of the Company reclassified the outstanding common stock, $0.01 par value per share (the “Old Common Stock”), as Class B Common Stock, $0.01 par value per share (the “Class B Common Stock”), and declared a stock dividend of one share of a new Class A Common Stock, $.01 par value per share (the “Class A Common Stock”), for each share of Class B Common Stock held by shareholders of record on the Record Date. Each share of Class A Common Stock ranks substantially equal to each share of Class B Common Stock with respect to receipt of any dividends or distributions declared on shares of common stock and the right to receive proceeds on liquidation or dissolution of the Company after payment of the Company’s indebtedness and liquidation preference payments to holders of preferred shares. However, holders of Class A Common Stock have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one vote per share on all matters requiring a shareholder vote, while holders of Class B Common Stock have one vote per share on all matters requiring a shareholder vote. The Company’s stock trades on The NASDAQ National Market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under the symbols RUSHA and RUSHB. Prior to the reclassification and stock dividend, the Company had 7,002,044 shares of Old Common Stock outstanding. The adjustment caused each option outstanding prior to July 9, 2002 to become an option to purchase Class A Common Stock and an option to purchase Class B Common Stock, each with an exercise price of 50% of the exercise price of the option originally granted.</w:t>
      </w:r>
    </w:p>
    <w:p>
      <w:pPr>
        <w:spacing w:after="0" w:line="183" w:lineRule="exact"/>
        <w:rPr>
          <w:sz w:val="20"/>
          <w:szCs w:val="20"/>
          <w:color w:val="auto"/>
        </w:rPr>
      </w:pPr>
    </w:p>
    <w:p>
      <w:pPr>
        <w:ind w:right="7720" w:firstLine="8"/>
        <w:spacing w:after="0" w:line="528"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sectPr>
          <w:pgSz w:w="11900" w:h="16838" w:orient="portrait"/>
          <w:cols w:equalWidth="0" w:num="1">
            <w:col w:w="11420"/>
          </w:cols>
          <w:pgMar w:left="240" w:top="125" w:right="239" w:bottom="0" w:gutter="0" w:footer="0" w:header="0"/>
        </w:sectPr>
      </w:pPr>
    </w:p>
    <w:bookmarkStart w:id="30" w:name="page31"/>
    <w:bookmarkEnd w:id="30"/>
    <w:p>
      <w:pPr>
        <w:spacing w:after="0" w:line="15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 of Rush Enterprises, Inc. together with our consolidated subsidiaries. All significant inter-company balances and transactions have been eliminated in consolidation.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did not incur any capitalized interest related to major capital projects in the periods presented. The cost, accumulated depreciation and amortization and estimated useful lives are summarized as follows (in thousands):</w:t>
      </w:r>
    </w:p>
    <w:p>
      <w:pPr>
        <w:spacing w:after="0" w:line="154"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Estimated Life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62,362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3 - 7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Leasing vehicles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2 - 8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(70,697)</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278,690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2006, the Company had $17.1 million (net of accumulated depreciation of $3.8 million) in leasing vehicles under various capital leases included in property and equipment. The charge to income resulting from amortization of these assets recorded under capital leases is included with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Goodwill related to acquisitions was approximately $117.1 million as of December 31, 2006 and $100.7 million as of December 31, 2005. Goodwill increased $16.3 million in 2006 and $57.1 million in 2005. Accumulated amortization of goodwill was approximately $3.8 million at December 31, 2006 and December 31, 2005.</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Goodwill represents the excess purchase price over the fair value of net assets acquired. The Company applies the provisions of Financial Accounting Standards Board (“FASB”) Statement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(“SFAS 142”), in our accounting for goodwill. SFAS 142 requires that goodwill and other intangible assets that have indefinite lives not be amortized but instead be tested at least annually by reporting unit for impairment, or more frequently when events or changes in circumstances indicate that the asset might be impaired. For indefinite lived intangible assets, impairment is tested by comparing the carrying value of the asset to the fair value of the reporting unit to which they are assigned. Goodwill was tested for impairment at December 31, 2006 and no impairment write down was required. However, the Company is exposed to the possibility that changes in market conditions could result in significant impairment charges in the future, thus resulting in a potential increase in earnings volatility.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assets include the long-term portion of notes receivable of $1.3 million at December 31, 2006 and $1.6 million at December 31, 2005. The Company recognizes interest income on notes receivable monthly as earned. Accumulated amortization of other assets was approximately $0.8 million at December 31,</w:t>
      </w:r>
    </w:p>
    <w:p>
      <w:pPr>
        <w:sectPr>
          <w:pgSz w:w="11900" w:h="16989" w:orient="portrait"/>
          <w:cols w:equalWidth="0" w:num="1">
            <w:col w:w="11400"/>
          </w:cols>
          <w:pgMar w:left="240" w:top="125" w:right="259" w:bottom="0" w:gutter="0" w:footer="0" w:header="0"/>
        </w:sectPr>
      </w:pPr>
    </w:p>
    <w:bookmarkStart w:id="31" w:name="page32"/>
    <w:bookmarkEnd w:id="31"/>
    <w:p>
      <w:pPr>
        <w:ind w:right="460"/>
        <w:spacing w:after="0" w:line="277" w:lineRule="auto"/>
        <w:rPr>
          <w:sz w:val="20"/>
          <w:szCs w:val="20"/>
          <w:color w:val="auto"/>
        </w:rPr>
      </w:pPr>
      <w:r>
        <w:rPr>
          <w:rFonts w:ascii="Arial" w:cs="Arial" w:eastAsia="Arial" w:hAnsi="Arial"/>
          <w:sz w:val="18"/>
          <w:szCs w:val="18"/>
          <w:color w:val="auto"/>
        </w:rPr>
        <w:t>2006 and $0.7 million at December 31, 2005. The Company annually assesses the appropriateness of the asset valuations of other assets and the related amortization period as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Income taxes are accounted for under the provisions of Statement of Financial Accounting Standards No. 109, “Accounting for Income Taxes” (“SFAS 109”). SFAS 109 requires recognition of deferred tax liabilities and assets for the expected future tax consequences of events that have been included in a company’s financial statements or tax returns. Under this method, deferred tax liabilities and assets are determined based on the differences between the financial statement and tax bases of assets and liabilities using currently enacted tax rates in effect for the years in which the differences are expected to reverse.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Income on the sale of a vehicle or a piece of construction equipment (each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2004, 2005 and 2006,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Company’s new and used truck and construction equipment operations and its parts operations, cost of sales consists primarily of the Company’s actual purchase price, less manufacturer’s incentives, for new and used trucks and construction equipment and parts. The Company is subject to a chargeback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manufacturer incentives for trucks that are not sold to the customer for which they were ordered. The Company records a liability for potential chargebacks of manufacturer incentives in its financial statements. For the Company’s service and body shop operations, technician labor cost is the primary component of cost of sales. For the Company’s rental and leasing operations, cost of sales consists primarily of depreciation,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 In March 2005, the SEC issued Staff Accounting Bulletin No. 107 (“SAB 107”) relating to SFAS 123(R).</w:t>
      </w:r>
    </w:p>
    <w:p>
      <w:pPr>
        <w:spacing w:after="0" w:line="158"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December 31, 2006 reflect the impact of SFAS 123(R). In accordance with the modified prospective transition method, the Company’s Consolidated Financial Statements for prior periods have not been restated to reflect, and do not include, the impact of SFAS 123(R). As a result of adopting SFAS 123(R), the Company’s income before income taxes is $2.6 million lower for the year ended December 31, 2006 and net income is $1.7 million lower for the year ended December 31, 2006, than if it had continued to account for share-based compensation under APB 25. Basic and diluted earnings per share for the year ended December 31, 2006 are each $0.7 lower than if the Company had continued to account for share-based compensation under APB 25.</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Stock-based compensation expense recognized during the year ended December 31, 2006 is based on the fair value of the portion of share-based payment awards that is ultimately expected to vest during the period. Stock-based compensation expense recognized in the Company’s Consolidated Statement of Operations for the year ended December 31,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w:t>
      </w:r>
    </w:p>
    <w:p>
      <w:pPr>
        <w:sectPr>
          <w:pgSz w:w="11900" w:h="16838" w:orient="portrait"/>
          <w:cols w:equalWidth="0" w:num="1">
            <w:col w:w="11420"/>
          </w:cols>
          <w:pgMar w:left="240" w:top="125"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single-option method. As stock-based compensation expense recognized in the Consolidated Statement of Operations for the year ended December 31,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Upon adoption of SFAS 123(R), the Company continues to use the Black-Scholes option-pricing model which was previously used for the Company’s pro forma information required under SFAS 123. For additional information, see Note 13.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using an option-pricing model, that value may not be indicative of the fair value observed in a market transaction between a willing buyer and a willing seller.</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49"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294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Borders>
              <w:bottom w:val="single" w:sz="8" w:color="CCEEFF"/>
            </w:tcBorders>
          </w:tcPr>
          <w:p>
            <w:pPr>
              <w:spacing w:after="0"/>
              <w:rPr>
                <w:sz w:val="14"/>
                <w:szCs w:val="14"/>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25.5%-32.2%</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22.5%-34.5%</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29.9%-49.9%</w:t>
            </w:r>
          </w:p>
        </w:tc>
        <w:tc>
          <w:tcPr>
            <w:tcW w:w="2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26.86%</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31.89%</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44.49%</w:t>
            </w:r>
          </w:p>
        </w:tc>
        <w:tc>
          <w:tcPr>
            <w:tcW w:w="2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28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4.69%</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4.03%</w:t>
            </w: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3.21%</w:t>
            </w:r>
          </w:p>
        </w:tc>
        <w:tc>
          <w:tcPr>
            <w:tcW w:w="28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5.0 - 7.0</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280" w:type="dxa"/>
            <w:vAlign w:val="bottom"/>
            <w:shd w:val="clear" w:color="auto" w:fill="CCEEFF"/>
          </w:tcPr>
          <w:p>
            <w:pPr>
              <w:spacing w:after="0"/>
              <w:rPr>
                <w:sz w:val="18"/>
                <w:szCs w:val="18"/>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w w:val="99"/>
              </w:rPr>
              <w:t>Weighted-average fair value of stock</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$7.42</w:t>
            </w:r>
          </w:p>
        </w:tc>
        <w:tc>
          <w:tcPr>
            <w:tcW w:w="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$6.53</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$6.01</w:t>
            </w:r>
          </w:p>
        </w:tc>
        <w:tc>
          <w:tcPr>
            <w:tcW w:w="280" w:type="dxa"/>
            <w:vAlign w:val="bottom"/>
          </w:tcPr>
          <w:p>
            <w:pPr>
              <w:spacing w:after="0"/>
              <w:rPr>
                <w:sz w:val="20"/>
                <w:szCs w:val="20"/>
                <w:color w:val="auto"/>
              </w:rPr>
            </w:pPr>
          </w:p>
        </w:tc>
      </w:tr>
    </w:tbl>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Prior to January 1, 2006, as permitted by Statement of Financial Accounting Standards No. 123, “Accounting for Stock-Based Compensation” (“SFAS 123”), the Company measured compensation costs for employee stock compensation plans using the intrinsic value method of accounting prescribed by APB Opinion No. 25, “Accounting for Stock Issued to Employees” (“APB 25”). Because the Company elected to continue to follow APB 25, SFAS 123 required disclosure of pro forma net income and earnings per share as if the new fair value accounting method were adopted.</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If the Company had adopted the fair value accounting method under SFAS 123, the Company’s income from continuing operations, net income and earnings per share would have been reduced to the pro forma amounts indicated below for the years ended December 31, 2005 and December 31, 2004 (in thousands, except per share amounts):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from continuing operations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Arial" w:cs="Arial" w:eastAsia="Arial" w:hAnsi="Arial"/>
                <w:sz w:val="18"/>
                <w:szCs w:val="18"/>
                <w:color w:val="auto"/>
              </w:rPr>
              <w:t>Income from continuing operations as reported for the prior period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Tax benefit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 related to stock options and employee stock purchases, net of tax</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income from continuing operations, including the effect of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43,572</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 — as reported for the prior period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Arial" w:cs="Arial" w:eastAsia="Arial" w:hAnsi="Arial"/>
                <w:sz w:val="18"/>
                <w:szCs w:val="18"/>
                <w:color w:val="auto"/>
              </w:rPr>
              <w:t>Pro forma basic earnings per share, including the effect of stock-based compensation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Arial" w:cs="Arial" w:eastAsia="Arial" w:hAnsi="Arial"/>
                <w:sz w:val="18"/>
                <w:szCs w:val="18"/>
                <w:color w:val="auto"/>
              </w:rPr>
              <w:t>Diluted earnings per share — as reported for the prior period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diluted earnings per share, including the effect of stock-based compensation expense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Arial" w:cs="Arial" w:eastAsia="Arial" w:hAnsi="Arial"/>
                <w:sz w:val="18"/>
                <w:szCs w:val="18"/>
                <w:color w:val="auto"/>
              </w:rPr>
              <w:t>Net income as reported for the prior period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44,625</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Tax benefit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 related to stock options and employee stock purchases, net of tax</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 net income, including the effect of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43,572</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6229350</wp:posOffset>
            </wp:positionH>
            <wp:positionV relativeFrom="page">
              <wp:posOffset>88900</wp:posOffset>
            </wp:positionV>
            <wp:extent cx="1132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share — as reported for the prior period (1)</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Pro forma basic earnings per share, including the effect of stock-based compensation expense</w:t>
            </w:r>
          </w:p>
        </w:tc>
        <w:tc>
          <w:tcPr>
            <w:tcW w:w="15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20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180"/>
              <w:spacing w:after="0"/>
              <w:rPr>
                <w:sz w:val="20"/>
                <w:szCs w:val="20"/>
                <w:color w:val="auto"/>
              </w:rPr>
            </w:pPr>
            <w:r>
              <w:rPr>
                <w:rFonts w:ascii="Arial" w:cs="Arial" w:eastAsia="Arial" w:hAnsi="Arial"/>
                <w:sz w:val="18"/>
                <w:szCs w:val="18"/>
                <w:color w:val="auto"/>
              </w:rPr>
              <w:t>Diluted earnings per share — as reported for the prior period (1)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 forma diluted earnings per share, including the effect of stock-based compensation expense</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108"/>
        </w:trPr>
        <w:tc>
          <w:tcPr>
            <w:tcW w:w="220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94"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(1)Net income and net income per share prior to 2006 did not include stock-based compensation expense for stock options and employee stock purchases under SFAS 123(R) because the Company did not adopt the recognition provisions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Advertising costs are expensed as incurred. Advertising and marketing expense related to operations was $3.1 million for 2006, $2.5 million for 2005 and $1.5 million for 2004. Advertising and marketing expense is included in selling,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The Company is required to adopt the provisions of FIN 48 during the first fiscal year beginning after December 15, 2006. The Company does not expect that the adoption of FIN 48 will have a significant impact on its consolidated results of operations and financial position.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 September 2006, the FASB issued SFAS No. 157, “Fair Value Measurement” (“SFAS No. 157”). SFAS No.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No. 157 is effective for financial statements issued for fiscal years beginning after November 15, 2007, and interim periods within those fiscal years. Early adoption is permitted. The Company does not expect that the adoption of SFAS No. 157 will have a significant impact on its consolidated results of operations and financial position.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2006, the FASB ratified EITF Issue No. 06-3, “How Taxes Collected from Customers and Remitted to Governmental Authorities Should Be Presented in the Income Statement (That Is, Gross versus Net Presentation)” (“EITF 06-3”). EITF 06-3 is applicable for any tax assessed by a governmental authority that is both imposed on and concurrent with a specific revenue-producing transaction between a seller and a customer, and may include, but is not limited to, sales, use, value added, and some excise taxes. EITF 06-3 requires companies to disclose whether they present such taxes on a gross basis (included in revenues and costs) or a net basis. In addition, for any such taxes that are reported on a gross basis, companies are required to disclose the amounts of those taxes in interim and annual financial statements for each period for which an income statement is presented if those amounts are significant. The Company is required to adopt the provisions of EITF Issue No. 06-3 during the first fiscal year beginning after December 15, 2006. The Company does not expect that the adoption of EITF Issue No. 06-3 will have a significant impact on its consolidated results of operations and financial position.</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12, 2002 the Company decided to discontinue its Retail segment,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the Hockley real estate in the fourth quarter of 2004. As a result of these actions, the Retail segment will no longer be reported as a separate business segment.</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results of operations of these businesses have been classified as discontinued operations in the Company’s consolidated statements of income for all periods presented. Net sales and income (loss) before income taxes related to the discontinued businesses were as follows (in thousands):</w:t>
      </w:r>
    </w:p>
    <w:p>
      <w:pPr>
        <w:spacing w:after="0" w:line="102"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46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Retail Segment Stores (D&amp;D)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11,746</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Earnings (loss) before income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Results of operations from discontinued operations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Charges related to discontinued operations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23"/>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related to these discontinued operations in 2006 and 2005.</w:t>
      </w:r>
    </w:p>
    <w:p>
      <w:pPr>
        <w:sectPr>
          <w:pgSz w:w="11900" w:h="16838" w:orient="portrait"/>
          <w:cols w:equalWidth="0" w:num="1">
            <w:col w:w="11420"/>
          </w:cols>
          <w:pgMar w:left="240" w:top="369" w:right="239" w:bottom="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040" w:firstLine="8"/>
        <w:spacing w:after="0" w:line="530" w:lineRule="auto"/>
        <w:tabs>
          <w:tab w:leader="none" w:pos="45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SUPPLIER AND CUSTOMER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entered into dealership agreements with various companies (“Manufacturers”). These agreements are nonexclusive agreements that allow the Company to stock, sell at retail and service trucks, equipment and products of the Manufacturers in the Company’s defined market. The agreements allow the Company to use the Manufacturers’ names, trade symbols and intellectual property and expire as follows:</w:t>
      </w:r>
    </w:p>
    <w:p>
      <w:pPr>
        <w:spacing w:after="0" w:line="144"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Distributor</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Expiration Dates</w:t>
            </w:r>
          </w:p>
        </w:tc>
      </w:tr>
      <w:tr>
        <w:trPr>
          <w:trHeight w:val="210"/>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Peterbilt</w:t>
            </w:r>
          </w:p>
        </w:tc>
        <w:tc>
          <w:tcPr>
            <w:tcW w:w="46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2008 through January 2010</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Volvo</w:t>
            </w: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August 2010</w:t>
            </w: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Motors Corporation</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2010</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Isuzu</w:t>
            </w:r>
          </w:p>
        </w:tc>
        <w:tc>
          <w:tcPr>
            <w:tcW w:w="37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Hino</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2007 through December 2008</w:t>
            </w: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UD</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September 2008 through indefinite</w:t>
            </w: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Ford</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John Deere</w:t>
            </w:r>
          </w:p>
        </w:tc>
        <w:tc>
          <w:tcPr>
            <w:tcW w:w="37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24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purchases its new Peterbilt vehicles and most of its parts from PACCAR, the maker of Peterbilt trucks and parts, at prevailing prices charged to all franchised dealers. Sales of new Peterbilt trucks accounted for 90% of the Company’s new vehicle sales for the year ended December 31, 2006 and 93% of the Company’s new vehicle sales for the year ended December 31, 2005.</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Company purchases most of its new construction equipment and parts from John Deere at prevailing prices charged to all franchised dealers. Sales of new John Deere equipment accounted for 91% of the Company’s new equipment sales for the year ended December 31, 2006, 92% of the Company’s new equipment sales for the year ended December 31, 2005 and 94% of the Company’s new equipment sales for the year ended December 31, 2004.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Company purchases its new and used truck and construction equipment inventories with the assistance of floor plan financing programs offered by various financial institutions and John Deere. The floor plan agreement with one of the financial institutions used for construction equipment purchases expires in January 2008. Additional floor plan financing is provided by John Deere pursuant to the Company’s equipment dealership agreement. These agreements provide that the occurrence of certain events will be considered events of default. There were no known events of default as of December 31, 2006. In the event that the Company’s financing becomes insufficient, or its relationship with the current primary lenders terminates, the Company would need to obtain similar financing from other sources. Management believes it can obtain additional floor plan financing or alternative financing if necessary.</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debt agreements include certain restrictive covenants. The Company was in compliance with these and all debt covenants as of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cash equivalents with what it considers to be quality financial institutions. As of December 31, 2006, the Company had deposits in excess of federal insurance protection totaling approximately $185.0 million.</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medium-duty and heavy-duty trucking and construction equipment markets and related aftermarkets. The Company controls credit risk through credit approvals and by selling certain trade receivables without recourse. After the Company enters into a finance contract, the Company generally sells the contracts to a third party.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future losses.</w:t>
      </w:r>
    </w:p>
    <w:p>
      <w:pPr>
        <w:spacing w:after="0" w:line="19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03"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-3175</wp:posOffset>
            </wp:positionV>
            <wp:extent cx="1149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6050915</wp:posOffset>
            </wp:positionH>
            <wp:positionV relativeFrom="paragraph">
              <wp:posOffset>-97155</wp:posOffset>
            </wp:positionV>
            <wp:extent cx="1149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10" w:lineRule="exact"/>
        <w:rPr>
          <w:sz w:val="20"/>
          <w:szCs w:val="20"/>
          <w:color w:val="auto"/>
        </w:rPr>
      </w:pPr>
    </w:p>
    <w:p>
      <w:pPr>
        <w:spacing w:after="0"/>
        <w:tabs>
          <w:tab w:leader="none" w:pos="9500" w:val="left"/>
          <w:tab w:leader="none" w:pos="9780" w:val="left"/>
          <w:tab w:leader="none" w:pos="10560" w:val="left"/>
          <w:tab w:leader="none" w:pos="10820" w:val="left"/>
        </w:tabs>
        <w:rPr>
          <w:sz w:val="20"/>
          <w:szCs w:val="20"/>
          <w:color w:val="auto"/>
        </w:rPr>
      </w:pPr>
      <w:r>
        <w:rPr>
          <w:rFonts w:ascii="Arial" w:cs="Arial" w:eastAsia="Arial" w:hAnsi="Arial"/>
          <w:sz w:val="18"/>
          <w:szCs w:val="18"/>
          <w:color w:val="auto"/>
        </w:rPr>
        <w:t>Trade accounts receivable from sale of vehicles and construction equipment</w:t>
      </w:r>
      <w:r>
        <w:rPr>
          <w:sz w:val="20"/>
          <w:szCs w:val="20"/>
          <w:color w:val="auto"/>
        </w:rPr>
        <w:tab/>
      </w:r>
      <w:r>
        <w:rPr>
          <w:rFonts w:ascii="Arial" w:cs="Arial" w:eastAsia="Arial" w:hAnsi="Arial"/>
          <w:sz w:val="18"/>
          <w:szCs w:val="18"/>
          <w:color w:val="auto"/>
        </w:rPr>
        <w:t>$</w:t>
        <w:tab/>
        <w:t>52,157</w:t>
        <w:tab/>
        <w:t>$</w:t>
      </w:r>
      <w:r>
        <w:rPr>
          <w:sz w:val="20"/>
          <w:szCs w:val="20"/>
          <w:color w:val="auto"/>
        </w:rPr>
        <w:tab/>
      </w:r>
      <w:r>
        <w:rPr>
          <w:rFonts w:ascii="Arial" w:cs="Arial" w:eastAsia="Arial" w:hAnsi="Arial"/>
          <w:sz w:val="15"/>
          <w:szCs w:val="15"/>
          <w:color w:val="auto"/>
        </w:rPr>
        <w:t>46,293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5" w:name="page36"/>
    <w:bookmarkEnd w:id="35"/>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5"/>
          </w:tcPr>
          <w:p>
            <w:pPr>
              <w:spacing w:after="0"/>
              <w:rPr>
                <w:sz w:val="20"/>
                <w:szCs w:val="20"/>
                <w:color w:val="auto"/>
              </w:rPr>
            </w:pPr>
            <w:r>
              <w:rPr>
                <w:rFonts w:ascii="Arial" w:cs="Arial" w:eastAsia="Arial" w:hAnsi="Arial"/>
                <w:sz w:val="18"/>
                <w:szCs w:val="18"/>
                <w:color w:val="auto"/>
              </w:rPr>
              <w:t>Other trade receivables</w:t>
            </w:r>
          </w:p>
        </w:tc>
        <w:tc>
          <w:tcPr>
            <w:tcW w:w="1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tcPr>
          <w:p>
            <w:pPr>
              <w:spacing w:after="0"/>
              <w:rPr>
                <w:sz w:val="20"/>
                <w:szCs w:val="20"/>
                <w:color w:val="auto"/>
              </w:rPr>
            </w:pPr>
            <w:r>
              <w:rPr>
                <w:rFonts w:ascii="Arial" w:cs="Arial" w:eastAsia="Arial" w:hAnsi="Arial"/>
                <w:sz w:val="18"/>
                <w:szCs w:val="18"/>
                <w:color w:val="auto"/>
              </w:rPr>
              <w:t>Other accounts receivable</w:t>
            </w: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warranty receivable</w:t>
            </w:r>
          </w:p>
        </w:tc>
        <w:tc>
          <w:tcPr>
            <w:tcW w:w="1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3"/>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63,473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6.</w:t>
            </w:r>
          </w:p>
        </w:tc>
        <w:tc>
          <w:tcPr>
            <w:tcW w:w="4880" w:type="dxa"/>
            <w:vAlign w:val="bottom"/>
            <w:gridSpan w:val="3"/>
            <w:vMerge w:val="restart"/>
          </w:tcPr>
          <w:p>
            <w:pPr>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 w:type="dxa"/>
            <w:vAlign w:val="bottom"/>
            <w:gridSpan w:val="2"/>
            <w:vMerge w:val="continue"/>
          </w:tcPr>
          <w:p>
            <w:pPr>
              <w:spacing w:after="0"/>
              <w:rPr>
                <w:sz w:val="24"/>
                <w:szCs w:val="24"/>
                <w:color w:val="auto"/>
              </w:rPr>
            </w:pPr>
          </w:p>
        </w:tc>
        <w:tc>
          <w:tcPr>
            <w:tcW w:w="488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40" w:type="dxa"/>
            <w:vAlign w:val="bottom"/>
            <w:gridSpan w:val="5"/>
          </w:tcPr>
          <w:p>
            <w:pPr>
              <w:spacing w:after="0"/>
              <w:rPr>
                <w:sz w:val="20"/>
                <w:szCs w:val="20"/>
                <w:color w:val="auto"/>
              </w:rPr>
            </w:pPr>
            <w:r>
              <w:rPr>
                <w:rFonts w:ascii="Arial" w:cs="Arial" w:eastAsia="Arial" w:hAnsi="Arial"/>
                <w:sz w:val="18"/>
                <w:szCs w:val="18"/>
                <w:color w:val="auto"/>
                <w:w w:val="97"/>
              </w:rPr>
              <w:t>The Company’s inventories consisted of the following (in thousands):</w:t>
            </w: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40" w:type="dxa"/>
            <w:vAlign w:val="bottom"/>
            <w:gridSpan w:val="6"/>
          </w:tcPr>
          <w:p>
            <w:pPr>
              <w:jc w:val="right"/>
              <w:ind w:right="129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vehicles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$ 362,881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$ 242,469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Used vehicles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33,979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21,010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construction equipment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Used construction equipment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74,832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3,652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(3,039)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$ 484,696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$ 338,212</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51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VALUATION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Charged to</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Beginning</w:t>
            </w: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Costs and</w:t>
            </w: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 Write-Offs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Year</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118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Reserve for truck inventory</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3,223</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(2,359)</w:t>
            </w:r>
          </w:p>
        </w:tc>
        <w:tc>
          <w:tcPr>
            <w:tcW w:w="1180" w:type="dxa"/>
            <w:vAlign w:val="bottom"/>
          </w:tcPr>
          <w:p>
            <w:pPr>
              <w:jc w:val="right"/>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2005</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1180" w:type="dxa"/>
            <w:vAlign w:val="bottom"/>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Reserve for truck inventory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18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Reserve for truck inventory</w:t>
            </w:r>
          </w:p>
        </w:tc>
        <w:tc>
          <w:tcPr>
            <w:tcW w:w="118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 The Company sells a majority of its customer accounts receivable to a third party that is responsible for qualifying the customer for credit at the point of sale. All credit risk is assumed by the third party; therefore, the Company provides no allowance for customer accounts receivable.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valuation for new and used truck inventory is based on specific identification. A detail of new and used truck inventory is reviewed and, if necessary, adjustments to the value of specific units are made on a quarterly basis.</w:t>
      </w:r>
    </w:p>
    <w:p>
      <w:pPr>
        <w:spacing w:after="0" w:line="170" w:lineRule="exact"/>
        <w:rPr>
          <w:sz w:val="20"/>
          <w:szCs w:val="20"/>
          <w:color w:val="auto"/>
        </w:rPr>
      </w:pPr>
    </w:p>
    <w:p>
      <w:pPr>
        <w:ind w:right="6400" w:firstLine="8"/>
        <w:spacing w:after="0" w:line="501" w:lineRule="auto"/>
        <w:tabs>
          <w:tab w:leader="none" w:pos="45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ind w:right="180"/>
        <w:spacing w:after="0" w:line="312" w:lineRule="auto"/>
        <w:rPr>
          <w:sz w:val="20"/>
          <w:szCs w:val="20"/>
          <w:color w:val="auto"/>
        </w:rPr>
      </w:pPr>
      <w:r>
        <w:rPr>
          <w:rFonts w:ascii="Arial" w:cs="Arial" w:eastAsia="Arial" w:hAnsi="Arial"/>
          <w:sz w:val="16"/>
          <w:szCs w:val="16"/>
          <w:color w:val="auto"/>
        </w:rPr>
        <w:t>Floor plan notes are financing agreements to facilitate the Company’s purchase of new and used trucks and construction equipment. These notes are collateralized by the inventory purchased and accounts receivable arising from the sale thereof. The Company’s floor plan notes have interest rates based on the prime rate or LIBOR, as defined in the agreements. The interest rates applicable to these agreements ranged from approximately 7.03% to 9.75% as of</w:t>
      </w:r>
    </w:p>
    <w:p>
      <w:pPr>
        <w:sectPr>
          <w:pgSz w:w="11900" w:h="16952" w:orient="portrait"/>
          <w:cols w:equalWidth="0" w:num="1">
            <w:col w:w="11420"/>
          </w:cols>
          <w:pgMar w:left="240" w:top="125" w:right="239" w:bottom="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color w:val="auto"/>
        </w:rPr>
        <w:t>December 31, 2006. Amounts borrowed under these agreements are due when the related truck or construction equipment inventory (collateral) is sold and the sales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are collected by the Company, or in the case of construction equipment rentals, when the carrying value of the equipment is reduced. These agreements may be modified, suspended or terminated by the lender as described in Note 4.</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finances substantially all of the purchase price of its new truck inventory, and the loan value of its used truck inventory under a floor plan financing agreement with GE Capital, under which GE Capital pays the manufacturer directly with respect to new trucks. The Company’s floor plan agreement with GE Capital expires in September 2008. On December 31, 2006, the Company had approximately $434.0 million outstanding under its floor plan financing agreement with GE Capital.</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floor plan agreement with CitiCapital is based on the book value of the Company’s construction equipment inventory. As of December 31, 2006, the aggregate amount of borrowing capacity with this lender was $13.5 million, with approximately $11.2 million outstanding. Additional amounts are available under the Company’s John Deere dealership agreement. At December 31, 2006, approximately $1.2 million was outstanding pursuant to the John Deere dealership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pledged as collateral as of December 31, 2006 and 2005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new and used trucks and construction equipment at cost based on specific identification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Truck and construction equipment sale related accounts receivable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52,157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9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461,408</w:t>
            </w:r>
          </w:p>
        </w:tc>
        <w:tc>
          <w:tcPr>
            <w:tcW w:w="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323,278</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446,354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truck manufacturer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Total borrowings related to truck and construction equipment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453,933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owed to GE Capital. There were no working capital advances outstanding under this agreement at December 31,</w:t>
      </w:r>
    </w:p>
    <w:p>
      <w:pPr>
        <w:ind w:right="200"/>
        <w:spacing w:after="0" w:line="255" w:lineRule="auto"/>
        <w:rPr>
          <w:sz w:val="20"/>
          <w:szCs w:val="20"/>
          <w:color w:val="auto"/>
        </w:rPr>
      </w:pPr>
      <w:r>
        <w:rPr>
          <w:rFonts w:ascii="Arial" w:cs="Arial" w:eastAsia="Arial" w:hAnsi="Arial"/>
          <w:sz w:val="18"/>
          <w:szCs w:val="18"/>
          <w:color w:val="auto"/>
        </w:rPr>
        <w:t>2006. The Company has a secured line of credit that provides for a maximum borrowing of $8.0 million. There were no advances outstanding under this secured line of credit at December 31, 2006, however, $6.3 million was pledged to secure various letters of credit related to self-insurance products, leaving $1.7 million available for future borrowings as of December 31, 2006.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Fixed interest rate term notes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192,124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120,777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192,124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133,152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(25,999)</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(18,807)</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$ 166,125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114,345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jc w:val="right"/>
              <w:ind w:right="570"/>
              <w:spacing w:after="0"/>
              <w:rPr>
                <w:sz w:val="20"/>
                <w:szCs w:val="20"/>
                <w:color w:val="auto"/>
              </w:rPr>
            </w:pPr>
            <w:r>
              <w:rPr>
                <w:rFonts w:ascii="Arial" w:cs="Arial" w:eastAsia="Arial" w:hAnsi="Arial"/>
                <w:sz w:val="18"/>
                <w:szCs w:val="18"/>
                <w:color w:val="auto"/>
                <w:w w:val="90"/>
              </w:rPr>
              <w:t>As of December 31, 2006, debt maturities were as follows (in thousands):</w:t>
            </w: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98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000" w:type="dxa"/>
            <w:vAlign w:val="bottom"/>
            <w:gridSpan w:val="2"/>
            <w:vMerge w:val="restart"/>
          </w:tcPr>
          <w:p>
            <w:pPr>
              <w:spacing w:after="0"/>
              <w:rPr>
                <w:sz w:val="24"/>
                <w:szCs w:val="24"/>
                <w:color w:val="auto"/>
              </w:rPr>
            </w:pPr>
          </w:p>
        </w:tc>
        <w:tc>
          <w:tcPr>
            <w:tcW w:w="1980" w:type="dxa"/>
            <w:vAlign w:val="bottom"/>
          </w:tcPr>
          <w:p>
            <w:pPr>
              <w:spacing w:after="0"/>
              <w:rPr>
                <w:sz w:val="24"/>
                <w:szCs w:val="24"/>
                <w:color w:val="auto"/>
              </w:rPr>
            </w:pPr>
          </w:p>
        </w:tc>
        <w:tc>
          <w:tcPr>
            <w:tcW w:w="144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98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w w:val="84"/>
              </w:rPr>
              <w:t>2007</w:t>
            </w:r>
          </w:p>
        </w:tc>
        <w:tc>
          <w:tcPr>
            <w:tcW w:w="144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  25,999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p>
        </w:tc>
        <w:tc>
          <w:tcPr>
            <w:tcW w:w="1980" w:type="dxa"/>
            <w:vAlign w:val="bottom"/>
          </w:tcPr>
          <w:p>
            <w:pPr>
              <w:jc w:val="right"/>
              <w:ind w:right="1530"/>
              <w:spacing w:after="0"/>
              <w:rPr>
                <w:sz w:val="20"/>
                <w:szCs w:val="20"/>
                <w:color w:val="auto"/>
              </w:rPr>
            </w:pPr>
            <w:r>
              <w:rPr>
                <w:rFonts w:ascii="Arial" w:cs="Arial" w:eastAsia="Arial" w:hAnsi="Arial"/>
                <w:sz w:val="18"/>
                <w:szCs w:val="18"/>
                <w:color w:val="auto"/>
                <w:w w:val="84"/>
              </w:rPr>
              <w:t>2008</w:t>
            </w:r>
          </w:p>
        </w:tc>
        <w:tc>
          <w:tcPr>
            <w:tcW w:w="1440" w:type="dxa"/>
            <w:vAlign w:val="bottom"/>
            <w:gridSpan w:val="3"/>
          </w:tcPr>
          <w:p>
            <w:pPr>
              <w:jc w:val="right"/>
              <w:ind w:right="17"/>
              <w:spacing w:after="0"/>
              <w:rPr>
                <w:sz w:val="20"/>
                <w:szCs w:val="20"/>
                <w:color w:val="auto"/>
              </w:rPr>
            </w:pPr>
            <w:r>
              <w:rPr>
                <w:rFonts w:ascii="Arial" w:cs="Arial" w:eastAsia="Arial" w:hAnsi="Arial"/>
                <w:sz w:val="18"/>
                <w:szCs w:val="18"/>
                <w:color w:val="auto"/>
              </w:rPr>
              <w:t>31,952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7" w:name="page38"/>
    <w:bookmarkEnd w:id="37"/>
    <w:p>
      <w:pPr>
        <w:spacing w:after="0" w:line="1"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33,502</w:t>
            </w:r>
          </w:p>
        </w:tc>
        <w:tc>
          <w:tcPr>
            <w:tcW w:w="8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2010</w:t>
            </w:r>
          </w:p>
        </w:tc>
        <w:tc>
          <w:tcPr>
            <w:tcW w:w="720" w:type="dxa"/>
            <w:vAlign w:val="bottom"/>
          </w:tcPr>
          <w:p>
            <w:pPr>
              <w:jc w:val="right"/>
              <w:spacing w:after="0"/>
              <w:rPr>
                <w:sz w:val="20"/>
                <w:szCs w:val="20"/>
                <w:color w:val="auto"/>
              </w:rPr>
            </w:pPr>
            <w:r>
              <w:rPr>
                <w:rFonts w:ascii="Arial" w:cs="Arial" w:eastAsia="Arial" w:hAnsi="Arial"/>
                <w:sz w:val="18"/>
                <w:szCs w:val="18"/>
                <w:color w:val="auto"/>
              </w:rPr>
              <w:t>46,544</w:t>
            </w:r>
          </w:p>
        </w:tc>
        <w:tc>
          <w:tcPr>
            <w:tcW w:w="8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80" w:type="dxa"/>
            <w:vAlign w:val="bottom"/>
            <w:shd w:val="clear" w:color="auto" w:fill="CCEEFF"/>
          </w:tcPr>
          <w:p>
            <w:pPr>
              <w:spacing w:after="0"/>
              <w:rPr>
                <w:sz w:val="18"/>
                <w:szCs w:val="18"/>
                <w:color w:val="auto"/>
              </w:rPr>
            </w:pPr>
          </w:p>
        </w:tc>
      </w:tr>
      <w:tr>
        <w:trPr>
          <w:trHeight w:val="216"/>
        </w:trPr>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w:t>
            </w:r>
          </w:p>
        </w:tc>
        <w:tc>
          <w:tcPr>
            <w:tcW w:w="80" w:type="dxa"/>
            <w:vAlign w:val="bottom"/>
            <w:tcBorders>
              <w:bottom w:val="single" w:sz="8" w:color="CCEEFF"/>
            </w:tcBorders>
          </w:tcPr>
          <w:p>
            <w:pPr>
              <w:spacing w:after="0"/>
              <w:rPr>
                <w:sz w:val="18"/>
                <w:szCs w:val="18"/>
                <w:color w:val="auto"/>
              </w:rPr>
            </w:pPr>
          </w:p>
        </w:tc>
      </w:tr>
      <w:tr>
        <w:trPr>
          <w:trHeight w:val="210"/>
        </w:trPr>
        <w:tc>
          <w:tcPr>
            <w:tcW w:w="2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$ 192,124</w:t>
            </w:r>
          </w:p>
        </w:tc>
        <w:tc>
          <w:tcPr>
            <w:tcW w:w="80" w:type="dxa"/>
            <w:vAlign w:val="bottom"/>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variable interest rate term notes as of December 31, 2006.</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fixed interest rate notes are primarily with financial institutions and had interest rates that range from approximately 4.01% to 9.68% on December 31, 2006. Payments on the notes range from $219 to $76,196 per month, plus interest. Maturities of these notes range from January 2007 to January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secured by the assets acquired with the proceeds of such notes.</w:t>
      </w:r>
    </w:p>
    <w:p>
      <w:pPr>
        <w:spacing w:after="0" w:line="21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DISCLOSURES ABOUT FAIR VALUE OF FINANCIAL INSTRUMENTS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held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Current assets and current liabilities</w:t>
      </w:r>
      <w:r>
        <w:rPr>
          <w:rFonts w:ascii="Arial" w:cs="Arial" w:eastAsia="Arial" w:hAnsi="Arial"/>
          <w:sz w:val="18"/>
          <w:szCs w:val="18"/>
          <w:color w:val="auto"/>
        </w:rPr>
        <w:t xml:space="preserve"> — The carrying value approximates fair value due to the short maturity of these items.</w:t>
      </w:r>
    </w:p>
    <w:p>
      <w:pPr>
        <w:spacing w:after="0" w:line="225" w:lineRule="exact"/>
        <w:rPr>
          <w:sz w:val="20"/>
          <w:szCs w:val="20"/>
          <w:color w:val="auto"/>
        </w:rPr>
      </w:pPr>
    </w:p>
    <w:p>
      <w:pPr>
        <w:ind w:left="820" w:right="60" w:hanging="161"/>
        <w:spacing w:after="0" w:line="264" w:lineRule="auto"/>
        <w:rPr>
          <w:sz w:val="20"/>
          <w:szCs w:val="20"/>
          <w:color w:val="auto"/>
        </w:rPr>
      </w:pPr>
      <w:r>
        <w:rPr>
          <w:rFonts w:ascii="Arial" w:cs="Arial" w:eastAsia="Arial" w:hAnsi="Arial"/>
          <w:sz w:val="18"/>
          <w:szCs w:val="18"/>
          <w:u w:val="single" w:color="auto"/>
          <w:color w:val="auto"/>
        </w:rPr>
        <w:t>Long-term debt</w:t>
      </w:r>
      <w:r>
        <w:rPr>
          <w:rFonts w:ascii="Arial" w:cs="Arial" w:eastAsia="Arial" w:hAnsi="Arial"/>
          <w:sz w:val="18"/>
          <w:szCs w:val="18"/>
          <w:color w:val="auto"/>
        </w:rPr>
        <w:t xml:space="preserve"> — 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8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DEFINED CONTRIBUTION PLAN: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defined contribution plan (the “Rush Plan”), which is available to all Company employees and the employees of certain affiliates. Each employee who has completed 90 days of continuous service is entitled to enter the Rush Plan on the first day of the following month. Participating employees may contribute from 1% to 50% of total gross compensation. However, certain higher paid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employees are limited to a maximum contribution of 15% of total gross compensation. For the first 10% of an employee’s contribution, the Company, at its discretion, may contribute an amount equal to 25% of the employees’ contributions for those employees with less than five years of service and an amount equal to 50% of the employees’ contributions for those employees with more than five years of service. The Company incurred expenses related to the Rush Plan of approximately $3.1 million during the year ended December 31, 2006, $2.6 million during the year ended December 31, 2005, and $1.8 million during the year ended December 31,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 employment benefits.</w:t>
      </w:r>
    </w:p>
    <w:p>
      <w:pPr>
        <w:spacing w:after="0" w:line="225" w:lineRule="exact"/>
        <w:rPr>
          <w:sz w:val="20"/>
          <w:szCs w:val="20"/>
          <w:color w:val="auto"/>
        </w:rPr>
      </w:pPr>
    </w:p>
    <w:p>
      <w:pPr>
        <w:ind w:right="10220" w:firstLine="8"/>
        <w:spacing w:after="0" w:line="530" w:lineRule="auto"/>
        <w:tabs>
          <w:tab w:leader="none" w:pos="45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Vehicle Leases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leases vehicles primarily over periods ranging from one to ten years under operating lease and capital lease arrangements. These vehicles are subleased by the Company to customers under various agreements. Future minimum sublease rentals to be received by the Company under non-cancelable subleases for operating leases are $21.3 million and for capital leases are $16.0 million. Generally, the Company is required to incur all operating costs and pay a minimum rental and an excess mileage charge based on maximum mileage over the term of the lease. The Company guarantees the residual value of vehicles under operating lease and capital lease arrangements. At December 31, 2006, the Company guaranteed vehicle residual values of $6.7 million under operating lease arrangements and $6.1 million under capital lease arrangements. Historically, the Company purchases these vehicles at the end of the lease term and recognizes a gain on the sale of the vehicle. The residual values are not reflected in the future minimum lease payments for operating leases. Vehicle lease expenses were approximately $4.8 million for the year ended December 31, 2006, $5.5 million for the year ended December 31, 2005, and $6.0 million for the year ended December 31, 2004.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and non-cancelable vehicle leases as of December 31, 2006,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2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Borders>
              <w:bottom w:val="single" w:sz="8" w:color="CCEEFF"/>
            </w:tcBorders>
          </w:tcPr>
          <w:p>
            <w:pPr>
              <w:spacing w:after="0"/>
              <w:rPr>
                <w:sz w:val="18"/>
                <w:szCs w:val="18"/>
                <w:color w:val="auto"/>
              </w:rPr>
            </w:pPr>
          </w:p>
        </w:tc>
      </w:tr>
      <w:tr>
        <w:trPr>
          <w:trHeight w:val="210"/>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5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8"/>
              </w:rPr>
              <w:t>21,706</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15,721</w:t>
            </w:r>
          </w:p>
        </w:tc>
        <w:tc>
          <w:tcPr>
            <w:tcW w:w="220" w:type="dxa"/>
            <w:vAlign w:val="bottom"/>
            <w:tcBorders>
              <w:bottom w:val="single" w:sz="8" w:color="CCEEFF"/>
            </w:tcBorders>
          </w:tcPr>
          <w:p>
            <w:pPr>
              <w:spacing w:after="0"/>
              <w:rPr>
                <w:sz w:val="22"/>
                <w:szCs w:val="22"/>
                <w:color w:val="auto"/>
              </w:rPr>
            </w:pPr>
          </w:p>
        </w:tc>
      </w:tr>
      <w:tr>
        <w:trPr>
          <w:trHeight w:val="170"/>
        </w:trPr>
        <w:tc>
          <w:tcPr>
            <w:tcW w:w="5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Less amount representing interest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70" w:lineRule="exact"/>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24"/>
        </w:trPr>
        <w:tc>
          <w:tcPr>
            <w:tcW w:w="5960" w:type="dxa"/>
            <w:vAlign w:val="bottom"/>
          </w:tcPr>
          <w:p>
            <w:pPr>
              <w:spacing w:after="0"/>
              <w:rPr>
                <w:sz w:val="20"/>
                <w:szCs w:val="20"/>
                <w:color w:val="auto"/>
              </w:rPr>
            </w:pPr>
            <w:r>
              <w:rPr>
                <w:rFonts w:ascii="Arial" w:cs="Arial" w:eastAsia="Arial" w:hAnsi="Arial"/>
                <w:sz w:val="18"/>
                <w:szCs w:val="18"/>
                <w:color w:val="auto"/>
              </w:rPr>
              <w:t>Present value of net minimum capital lease payments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17,732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ectPr>
          <w:pgSz w:w="11900" w:h="16838" w:orient="portrait"/>
          <w:cols w:equalWidth="0" w:num="1">
            <w:col w:w="11380"/>
          </w:cols>
          <w:pgMar w:left="240" w:top="140" w:right="279" w:bottom="0" w:gutter="0" w:footer="0" w:header="0"/>
        </w:sectPr>
      </w:pPr>
    </w:p>
    <w:bookmarkStart w:id="38" w:name="page39"/>
    <w:bookmarkEnd w:id="38"/>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7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(2,933)</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$ 14,799</w:t>
            </w:r>
          </w:p>
        </w:tc>
        <w:tc>
          <w:tcPr>
            <w:tcW w:w="112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Vehicle Leases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 division of the Company leases both owned and leased vehicles to customers primarily over periods of two to eight years under operating lease arrangements. These leases require a minimum rental payment and a contingent rental payment based on mileage. Rental income during the year ended December 31, 2006 consisted of minimum rental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payments of approximately $24.7 million and contingent rental payments of $4.1 million. Rental income during the year ended December 31, 2005 consisted of minimum rental payments of approximately $20.6 million and contingent rentals payments of approximately $3.5 million. Rental income during the year ended December 31, 2004 consisted of minimum rental payments of approximately $15.4 million and contingent rental payments of $2.9 million. Minimum lease payments to be received for non-cancelable leases and subleases in effect at December 31, 2006,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December 31, 2006, the Company had $125.6 million (net of accumulated depreciation of $28.9 million) of lease vehicles included in property and equipment. As of December 31, 2005, the Company had $75.8 million (net of accumulated depreciation of $23.2 million) of lease vehicles included in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leases various assets under operating leases with expiration dates ranging from March 2007 through December 2026. Monthly rental payments range from approximately $802 per month to $36,048 per month. Rental expense was $4.2 million for the year ended December 31, 2006, $3.2 million for the year ended December 31, 2005, and $2.6 million for the year ended December 31, 2004. Future minimum lease payments under non-cancelable leases at December 31, 2006,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10,061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STOCK OPTIONS AND STOCK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has implemented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National Market</w:t>
      </w:r>
      <w:r>
        <w:rPr>
          <w:rFonts w:ascii="Arial" w:cs="Arial" w:eastAsia="Arial" w:hAnsi="Arial"/>
          <w:sz w:val="22"/>
          <w:szCs w:val="22"/>
          <w:color w:val="auto"/>
          <w:vertAlign w:val="superscript"/>
        </w:rPr>
        <w:t>®</w:t>
      </w:r>
      <w:r>
        <w:rPr>
          <w:rFonts w:ascii="Arial" w:cs="Arial" w:eastAsia="Arial" w:hAnsi="Arial"/>
          <w:sz w:val="17"/>
          <w:szCs w:val="17"/>
          <w:color w:val="auto"/>
        </w:rPr>
        <w:t>. Employees may purchase shares having a fair market value of up to $25,000 (measured as of the first day of each semi-annual offering period) for each calendar year. Under the Employee Stock Purchase Plan, 600,000 shares of the Company’s Class A Common Stock have been reserved for issuance. During the year ended December 31, 2006, the Company issued 38,031 shares under the Employee Stock Purchase Plan. During the year ended December 31, 2005, the Company issued 29,926 shares under the Employee Stock Purchase Plan. Of the 2,912 employees eligible to participate, 231 were participants in the plan as of December 31, 2006.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Non-Employee Director Stock Option Plan</w:t>
      </w:r>
    </w:p>
    <w:p>
      <w:pPr>
        <w:sectPr>
          <w:pgSz w:w="11900" w:h="16838" w:orient="portrait"/>
          <w:cols w:equalWidth="0" w:num="1">
            <w:col w:w="11400"/>
          </w:cols>
          <w:pgMar w:left="240" w:top="140" w:right="259" w:bottom="0" w:gutter="0" w:footer="0" w:header="0"/>
          <w:type w:val="continuous"/>
        </w:sectPr>
      </w:pPr>
    </w:p>
    <w:bookmarkStart w:id="39" w:name="page40"/>
    <w:bookmarkEnd w:id="39"/>
    <w:p>
      <w:pPr>
        <w:ind w:right="40"/>
        <w:spacing w:after="0" w:line="291" w:lineRule="auto"/>
        <w:rPr>
          <w:sz w:val="20"/>
          <w:szCs w:val="20"/>
          <w:color w:val="auto"/>
        </w:rPr>
      </w:pPr>
      <w:r>
        <w:rPr>
          <w:rFonts w:ascii="Arial" w:cs="Arial" w:eastAsia="Arial" w:hAnsi="Arial"/>
          <w:sz w:val="16"/>
          <w:szCs w:val="16"/>
          <w:color w:val="auto"/>
        </w:rPr>
        <w:t>The Board of Directors and shareholders adopted the Rush Enterprises, Inc. 2006 Non-Employee Director Stock Option Plan (the “Director Plan”), reserving 1,000,000 shares of Class A Common Stock for issuance upon exercise of any awards granted under the Plan. This Director Plan replaced the Company’s Amended and Restated 1997 Non-Employee Director Stock Option Plan (the “1997 Director Plan”) effective May 17, 2006. The Director Plan is designed to attract and retain highly qualified non-employee directors. Each non-employee director receives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vests immediately. During each of the years ended December 31, 2006 and December 31, 2005, the Company granted 80,000 options of Class A Common Stock under the 1997 Director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April 1996, the Board of Directors and shareholders adopted the Rush Enterprises, Inc. Long-Term Incentive Plan (the “Incentive Plan”). The Incentive Plan provides for the grant of stock options (which may be nonqualified stock options or incentive stock options for tax purposes), stock appreciation rights issued independent of or in tandem with such options (“SARs”), restricted stock awards and performance awards.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aggregate number of shares of common stock subject to stock options or SARs that may be granted to any one participant in any year under the Incentive Plan is 100,000 shares of Class A Common Stock and 100,000 shares of Class B Common Stock. Each option has a ten year term from the grant date and vests in three equal annual installments beginning on the third anniversary of the grant date. The Company has 2,600,000 shares of Class A Common Stock and 1,400,000 shares of Class B Common Stock reserved for issuance upon exercise of any awards granted under the Company’s Incentive Plan. During the year ended December 31, 2006, the Company granted 319,125 options under the Incentive Plan. During the year ended December 31, 2005, the Company granted 288,325 options under the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January 1, 2006, the Company adopted SFAS 123(R), which requires the measurement and recognition of compensation expense for all share-based payment awards made to the Company’s employees and directors including stock options and employee stock purchases related to the Employee Stock Purchase Plan based on estimated fair values. Stock-based compensation expense related to stock options and employee stock purchases under SFAS 123(R) for the year ended December 31, 2006 was $2.6 million. There was no stock-based compensation expense related to stock options and employee stock purchases recognized during the years ended December 31, 2005 and December 31, 2004.</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 For the year ended December 31, 2006, the $2.3 million excess tax benefit classified as a financing cash inflow would have been classified as an operating cash inflow if the Company had not adopted SFAS 123(R). Cash received from options exercised and shares purchased under all share-based payment arrangements for the year ended December 31, 2006 was $2.2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 ended December 31, 2006 follows: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600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399,125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(437,850)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(38,850)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Balance at December 31, 2006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1,642,245</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9,619,494</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Vested and exercisable at December 31, 2006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406,688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3,083,143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aggregate intrinsic value in the preceding table represents the total pretax intrinsic value, based on an average of the closing price as of December 31, 2006 of the Company’s Class A and Class B Common Stock of $16.35. The total intrinsic value of options exercised was $6.3 million during the year ended December 31, 2006, $8.3 million during the year ended December 31, 2005 and $8.7 million during the year ended December 31, 2004.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shares as of December 31, 2006 and changes during the year ended December 31, 2006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45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1,365,950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399,125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(490,668)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0" w:name="page41"/>
    <w:bookmarkEnd w:id="40"/>
    <w:p>
      <w:pPr>
        <w:ind w:left="2560"/>
        <w:spacing w:after="0"/>
        <w:tabs>
          <w:tab w:leader="none" w:pos="7060" w:val="left"/>
          <w:tab w:leader="none" w:pos="8020" w:val="left"/>
          <w:tab w:leader="none" w:pos="8440" w:val="left"/>
        </w:tabs>
        <w:rPr>
          <w:sz w:val="20"/>
          <w:szCs w:val="20"/>
          <w:color w:val="auto"/>
        </w:rPr>
      </w:pPr>
      <w:r>
        <w:rPr>
          <w:rFonts w:ascii="Arial" w:cs="Arial" w:eastAsia="Arial" w:hAnsi="Arial"/>
          <w:sz w:val="18"/>
          <w:szCs w:val="18"/>
          <w:color w:val="auto"/>
        </w:rPr>
        <w:t>Non-vested at December 31, 2006</w:t>
      </w:r>
      <w:r>
        <w:rPr>
          <w:sz w:val="20"/>
          <w:szCs w:val="20"/>
          <w:color w:val="auto"/>
        </w:rPr>
        <w:tab/>
      </w:r>
      <w:r>
        <w:rPr>
          <w:rFonts w:ascii="Arial" w:cs="Arial" w:eastAsia="Arial" w:hAnsi="Arial"/>
          <w:sz w:val="18"/>
          <w:szCs w:val="18"/>
          <w:u w:val="single" w:color="auto"/>
          <w:color w:val="auto"/>
        </w:rPr>
        <w:t>1,235,557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4800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2006, there was $3.2 million of total unrecognized compensation cost related to non-vested share-based compensation arrangements granted under the Incentive Plan. That cost is expected to be recognized over a weighted-average period of 3.2 years. The total fair value of options vested was $1.6 million during the year ended December 31, 2006, $1.3 million during the year ended December 31, 2005, and $1.6 million during the year ended December 31, 2004.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Earnings per share for all periods reflects the adoption of Statement of Financial Accounting Standards No. 128, “Earnings Per Share” (“SFAS 128”), which established standards for computing and presenting earnings per share (“EPS”) for entities with publicly held common stock or potential common stock. This statement requires dual presentation of basic and diluted EPS on the face of the income statement for all entities with complex capital structures. Basic EPS were computed by dividing net income by the weighted average number of shares of common stock outstanding during the period. Diluted EPS differs from basic EPS due to the assumed conversions of potentially dilutive options and warrants that were outstanding during the period. The Company’s Class A and Class B Common Stock have equal claims on earnings of the Company. The following is a reconciliation of the numerators and the denominators of the basic and diluted per share computations for net income.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58,786,000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44,625,000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Denominator for basic earnings per share, weighted average shares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24,983,617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24,202,008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15,683,763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275,936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754,565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Denominator for diluted earnings per share, adjusted weighted average shares and assumed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25,259,553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24,956,573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16,607,169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conversions</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2006, 2005 and 2004 that were not included in the computation of diluted earnings per share because the exercise prices were greater than the average market prices of the common shares are as follows:</w:t>
      </w:r>
    </w:p>
    <w:p>
      <w:pPr>
        <w:spacing w:after="0" w:line="200" w:lineRule="exact"/>
        <w:rPr>
          <w:sz w:val="20"/>
          <w:szCs w:val="20"/>
          <w:color w:val="auto"/>
        </w:rPr>
      </w:pPr>
    </w:p>
    <w:p>
      <w:pPr>
        <w:spacing w:after="0" w:line="392" w:lineRule="exact"/>
        <w:rPr>
          <w:sz w:val="20"/>
          <w:szCs w:val="20"/>
          <w:color w:val="auto"/>
        </w:rPr>
      </w:pPr>
    </w:p>
    <w:tbl>
      <w:tblPr>
        <w:tblLayout w:type="fixed"/>
        <w:tblInd w:w="2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393,925</w:t>
            </w: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288,325</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393,925</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288,325</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9420" w:firstLine="8"/>
        <w:spacing w:after="0" w:line="563" w:lineRule="auto"/>
        <w:tabs>
          <w:tab w:leader="none" w:pos="45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tax provisions are summarized as follows (in thousands):</w:t>
      </w:r>
    </w:p>
    <w:p>
      <w:pPr>
        <w:sectPr>
          <w:pgSz w:w="11900" w:h="16838" w:orient="portrait"/>
          <w:cols w:equalWidth="0" w:num="1">
            <w:col w:w="11420"/>
          </w:cols>
          <w:pgMar w:left="240" w:top="125" w:right="239" w:bottom="262" w:gutter="0" w:footer="0" w:header="0"/>
        </w:sectPr>
      </w:pPr>
    </w:p>
    <w:bookmarkStart w:id="41" w:name="page42"/>
    <w:bookmarkEnd w:id="41"/>
    <w:tbl>
      <w:tblPr>
        <w:tblLayout w:type="fixed"/>
        <w:tblInd w:w="18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20" w:type="dxa"/>
            <w:vAlign w:val="bottom"/>
            <w:gridSpan w:val="7"/>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5380" w:type="dxa"/>
            <w:vAlign w:val="bottom"/>
          </w:tcPr>
          <w:p>
            <w:pPr>
              <w:spacing w:after="0"/>
              <w:rPr>
                <w:sz w:val="11"/>
                <w:szCs w:val="11"/>
                <w:color w:val="auto"/>
              </w:rPr>
            </w:pPr>
          </w:p>
        </w:tc>
        <w:tc>
          <w:tcPr>
            <w:tcW w:w="62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2006</w:t>
            </w:r>
          </w:p>
        </w:tc>
        <w:tc>
          <w:tcPr>
            <w:tcW w:w="8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r>
      <w:tr>
        <w:trPr>
          <w:trHeight w:val="210"/>
        </w:trPr>
        <w:tc>
          <w:tcPr>
            <w:tcW w:w="5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$ 26,189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$ 23,349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620" w:type="dxa"/>
            <w:vAlign w:val="bottom"/>
          </w:tcPr>
          <w:p>
            <w:pPr>
              <w:jc w:val="right"/>
              <w:spacing w:after="0"/>
              <w:rPr>
                <w:sz w:val="20"/>
                <w:szCs w:val="20"/>
                <w:color w:val="auto"/>
              </w:rPr>
            </w:pPr>
            <w:r>
              <w:rPr>
                <w:rFonts w:ascii="Arial" w:cs="Arial" w:eastAsia="Arial" w:hAnsi="Arial"/>
                <w:sz w:val="18"/>
                <w:szCs w:val="18"/>
                <w:color w:val="auto"/>
              </w:rPr>
              <w:t>6,173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$ 35,272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$ 26,513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11,985</w:t>
            </w:r>
          </w:p>
        </w:tc>
        <w:tc>
          <w:tcPr>
            <w:tcW w:w="100" w:type="dxa"/>
            <w:vAlign w:val="bottom"/>
            <w:shd w:val="clear" w:color="auto" w:fill="CCEEFF"/>
          </w:tcPr>
          <w:p>
            <w:pPr>
              <w:spacing w:after="0"/>
              <w:rPr>
                <w:sz w:val="18"/>
                <w:szCs w:val="18"/>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summarizes the tax effect of significant cumulative temporary differences that are included in the net deferred income tax liability (in thousands):</w:t>
      </w:r>
    </w:p>
    <w:p>
      <w:pPr>
        <w:spacing w:after="0" w:line="200" w:lineRule="exact"/>
        <w:rPr>
          <w:sz w:val="20"/>
          <w:szCs w:val="20"/>
          <w:color w:val="auto"/>
        </w:rPr>
      </w:pPr>
    </w:p>
    <w:p>
      <w:pPr>
        <w:spacing w:after="0" w:line="38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depreciation and amortization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$ 39,626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$ 28,199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5"/>
              </w:rPr>
              <w:t>Deferred tax asset related to state net operating loss carry forwards (net of a</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7"/>
              </w:rPr>
              <w:t>valuation allowance of $468,000 at December 31, 2006 and $541,000 at</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December 31, 2005)</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related to capital lease obligations, non-current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(4,987)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tax asset related to capital lease obligations, current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(1,662)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related to stock options, non-current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tax asset related to stock options, current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(190)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 not deducted for tax purposes until paid</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(5,603)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net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$ 26,360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5"/>
              </w:rPr>
              <w:t>$ 19,483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various state net operating loss carry forwards expire from 2007 through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taxes based on the federal statutory rates and the provisions for income taxes are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$ 32,920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$ 24,898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tax valuation allowance</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(73)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$ 35,272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$ 26,513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$ 11,985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3800"/>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820" w:type="dxa"/>
            <w:vAlign w:val="bottom"/>
            <w:vMerge w:val="continue"/>
          </w:tcPr>
          <w:p>
            <w:pPr>
              <w:spacing w:after="0"/>
              <w:rPr>
                <w:sz w:val="24"/>
                <w:szCs w:val="24"/>
                <w:color w:val="auto"/>
              </w:rPr>
            </w:pPr>
          </w:p>
        </w:tc>
        <w:tc>
          <w:tcPr>
            <w:tcW w:w="5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200" w:type="dxa"/>
            <w:vAlign w:val="bottom"/>
            <w:tcBorders>
              <w:bottom w:val="single" w:sz="8" w:color="010101"/>
            </w:tcBorders>
            <w:gridSpan w:val="2"/>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7200" w:type="dxa"/>
            <w:vAlign w:val="bottom"/>
            <w:gridSpan w:val="2"/>
          </w:tcPr>
          <w:p>
            <w:pPr>
              <w:spacing w:after="0"/>
              <w:rPr>
                <w:sz w:val="20"/>
                <w:szCs w:val="20"/>
                <w:color w:val="auto"/>
              </w:rPr>
            </w:pPr>
            <w:r>
              <w:rPr>
                <w:rFonts w:ascii="Arial" w:cs="Arial" w:eastAsia="Arial" w:hAnsi="Arial"/>
                <w:sz w:val="18"/>
                <w:szCs w:val="18"/>
                <w:color w:val="auto"/>
              </w:rPr>
              <w:t>Following is a summary of the Company’s income tax provision (in thousands):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8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84"/>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on 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$ 35,272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$ 26,513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$ 11,574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 expense from discontinued operations</w:t>
            </w:r>
          </w:p>
        </w:tc>
        <w:tc>
          <w:tcPr>
            <w:tcW w:w="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$ 35,272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6"/>
              </w:rPr>
              <w:t>$ 26,513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$ 11,985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-1708150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the Company had provided for tax contingencies of approximately $1.4 million.</w:t>
      </w:r>
    </w:p>
    <w:p>
      <w:pPr>
        <w:sectPr>
          <w:pgSz w:w="11900" w:h="16838" w:orient="portrait"/>
          <w:cols w:equalWidth="0" w:num="1">
            <w:col w:w="11460"/>
          </w:cols>
          <w:pgMar w:left="240" w:top="104" w:right="199" w:bottom="0" w:gutter="0" w:footer="0" w:header="0"/>
          <w:type w:val="continuous"/>
        </w:sectPr>
      </w:pPr>
    </w:p>
    <w:bookmarkStart w:id="42" w:name="page43"/>
    <w:bookmarkEnd w:id="42"/>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Company signed an agreement with Titan Technology Partners to implement SAP enterprise software and a new SAP dealership management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SAP software and implementation is estimated at $10.0 million.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November 2006, the Company acquired Fouts Bros. UD-GMC, Inc., a GMC, UD, Hino and Isuzu medium-duty truck dealer in Smyrna, Georgia. The Company is operating the facility as a full-service Rush Medium Duty Truck Center offering medium-duty GMC, UD, Hino and Isuzu trucks, parts, and service. The transaction was valued at approximately $9.2 million, with the purchase price paid in cash.</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Fouts Bros. UD-GMC, Inc. acquisition was accounted for as a purchase; operations of the business acquired are included in the accompanying consolidated financial statements from the date of the acquisition. Pro forma information is not included because Fouts Bros. UD-GMC, Inc.’s results of operations would not have a material effect on the Company’s financial statements. The purchase price was allocated based on the fair values of the assets and liabilities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959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Inventories</w:t>
            </w:r>
          </w:p>
        </w:tc>
        <w:tc>
          <w:tcPr>
            <w:tcW w:w="600" w:type="dxa"/>
            <w:vAlign w:val="bottom"/>
          </w:tcPr>
          <w:p>
            <w:pPr>
              <w:jc w:val="right"/>
              <w:spacing w:after="0"/>
              <w:rPr>
                <w:sz w:val="20"/>
                <w:szCs w:val="20"/>
                <w:color w:val="auto"/>
              </w:rPr>
            </w:pPr>
            <w:r>
              <w:rPr>
                <w:rFonts w:ascii="Arial" w:cs="Arial" w:eastAsia="Arial" w:hAnsi="Arial"/>
                <w:sz w:val="18"/>
                <w:szCs w:val="18"/>
                <w:color w:val="auto"/>
              </w:rPr>
              <w:t>10,813</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Floor plan notes payable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(10,366)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Notes payable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80" w:type="dxa"/>
            <w:vAlign w:val="bottom"/>
            <w:shd w:val="clear" w:color="auto" w:fill="CCEEFF"/>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$ 9,239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$5.1 million of the goodwill acquired in the Fouts Bros. UD-GMC, Inc. acquisition will be amortized over 15 years for tax purposes.</w:t>
      </w:r>
    </w:p>
    <w:p>
      <w:pPr>
        <w:spacing w:after="0" w:line="2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September 2006, the Company purchased certain assets of Mountain State Ford Truck Sales, Inc. which consisted of a Ford and Isuzu truck dealership in Denver, Colorado. The Company is operating the facility as a full-service Rush Medium-Duty Truck Center offering medium-duty trucks, parts and service. The transaction was valued at approximately $5.3 million, with the purchase price paid in cash.</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Mountain State Ford Truck Sales, Inc. acquisition was accounted for as a purchase; operations of the business acquired are included in the accompanying consolidated financial statements from the date of the acquisition. Pro forma information is not included because Mountain State Ford Truck Sales, Inc.’s results of operations would not have a material effect on the Company’s financial statements.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$ 4,051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3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5,328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204"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All of the goodwill acquired in the Mountain State Ford Truck Sales, Inc. acquisition will be amortized over 15 years for tax purposes.</w:t>
      </w:r>
    </w:p>
    <w:p>
      <w:pPr>
        <w:sectPr>
          <w:pgSz w:w="11900" w:h="16838" w:orient="portrait"/>
          <w:cols w:equalWidth="0" w:num="1">
            <w:col w:w="11400"/>
          </w:cols>
          <w:pgMar w:left="240" w:top="125" w:right="259" w:bottom="204" w:gutter="0" w:footer="0" w:header="0"/>
          <w:type w:val="continuous"/>
        </w:sectPr>
      </w:pPr>
    </w:p>
    <w:bookmarkStart w:id="43" w:name="page44"/>
    <w:bookmarkEnd w:id="43"/>
    <w:p>
      <w:pPr>
        <w:ind w:right="360"/>
        <w:spacing w:after="0" w:line="264"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The Company is operating the facility as a full-service Rush Truck Center offering heavy-duty and medium-duty trucks, parts and service. The transaction was valued at approximately $22.0 million, with the purchase price paid in cash.</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Great Southern Peterbilt, Inc. acquisition was accounted for as a purchase; operations of the business acquired are included in the accompanying consolidated financial statements from the date of the acquisition. Pro forma information is not included because Great Southern Peterbilt’s results of operations would not have a material effect on the Company’s financial statements.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$ 10,525</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100" w:type="dxa"/>
            <w:vAlign w:val="bottom"/>
            <w:tcBorders>
              <w:bottom w:val="single" w:sz="8" w:color="CCEEFF"/>
            </w:tcBorders>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90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$ 21,983</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Great Southern Peterbilt, Inc. acquisition will be amortized over 15 years for tax purposes.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October 2005, the Company purchased certain assets of TEC of California, Inc., which consisted of GMC, Isuzu and Hino medium-duty franchises. The newly acquired lines were added to its existing medium-duty truck store in Fontana, California. The transaction was valued at approximately $3.4 million, with the purchase price paid in cash.</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TEC of California,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$ 1,847</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Goodwill</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r>
      <w:tr>
        <w:trPr>
          <w:trHeight w:val="210"/>
        </w:trPr>
        <w:tc>
          <w:tcPr>
            <w:tcW w:w="5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ind w:left="9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3,366</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TEC of California, Inc. acquisition will be amortized over 15 years for tax purposes.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September 2005, the Company purchased certain assets of Barrett Trucks, LLC, which consisted of a GMC and Isuzu medium-duty dealership in Texarkana, Texas. The Company added Peterbilt trucks to the dealership and is operating the facility as a full-service Rush Truck Center offering heavy-duty and medium-duty trucks, parts and service. The transaction was valued at approximately $626,000, with the purchase price paid in cash.</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Barrett Trucks LLC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$ 375</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9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626</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Barrett Trucks LLC acquisition will be amortized over 15 years for tax purposes.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2005, the Company purchased certain assets of Hayes Leasing Company, Inc., which consisted of GMC and UD medium-duty franchises. The newly acquired lines were added to its existing medium-duty truck store in Dallas, Texas. The transaction was valued at approximately $3.4 million, with the purchase price paid in cash.</w:t>
      </w:r>
    </w:p>
    <w:p>
      <w:pPr>
        <w:sectPr>
          <w:pgSz w:w="11900" w:h="16838" w:orient="portrait"/>
          <w:cols w:equalWidth="0" w:num="1">
            <w:col w:w="11360"/>
          </w:cols>
          <w:pgMar w:left="240" w:top="125" w:right="299" w:bottom="0" w:gutter="0" w:footer="0" w:header="0"/>
        </w:sectPr>
      </w:pPr>
    </w:p>
    <w:bookmarkStart w:id="44" w:name="page45"/>
    <w:bookmarkEnd w:id="44"/>
    <w:p>
      <w:pPr>
        <w:jc w:val="both"/>
        <w:ind w:right="580"/>
        <w:spacing w:after="0" w:line="264" w:lineRule="auto"/>
        <w:rPr>
          <w:sz w:val="20"/>
          <w:szCs w:val="20"/>
          <w:color w:val="auto"/>
        </w:rPr>
      </w:pPr>
      <w:r>
        <w:rPr>
          <w:rFonts w:ascii="Arial" w:cs="Arial" w:eastAsia="Arial" w:hAnsi="Arial"/>
          <w:sz w:val="18"/>
          <w:szCs w:val="18"/>
          <w:color w:val="auto"/>
        </w:rPr>
        <w:t>The Hayes Leasing Company,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$ 2,058</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9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3,362</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Hayes Leasing Company, Inc. acquisition will be amortized over 15 years for tax purposes.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July 2005, the Company purchased certain assets of Fountain Motor Co., Inc., which consisted of a GMC and Isuzu medium-duty dealership in Orlando, Florida. The Company added Peterbilt trucks and UD products to the new dealership and is operating the facility as a full-service Rush Truck Center offering heavy-duty and medium-duty trucks, parts and service. The transaction was valued at approximately $2.8 million, with the purchase price paid in cash.</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Fountain Motor Co.,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$ 1,341</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Accrued expenses</w:t>
            </w:r>
          </w:p>
        </w:tc>
        <w:tc>
          <w:tcPr>
            <w:tcW w:w="26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2,794</w:t>
            </w:r>
          </w:p>
        </w:tc>
        <w:tc>
          <w:tcPr>
            <w:tcW w:w="100" w:type="dxa"/>
            <w:vAlign w:val="bottom"/>
            <w:shd w:val="clear" w:color="auto" w:fill="CCEEFF"/>
          </w:tcPr>
          <w:p>
            <w:pPr>
              <w:spacing w:after="0"/>
              <w:rPr>
                <w:sz w:val="18"/>
                <w:szCs w:val="18"/>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Fountain Motor Co., Inc. acquisition will be amortized over 15 years for tax purposes.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2005, the Company acquired certain assets of ATS,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 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ATS acquisition was accounted for as a purchase. The purchase price was allocated based on the fair values of the assets at the date of acquisition as follows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Notes &amp; leases receivable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goodwill acquired in the ATS acquisition is included in the “other assets” line item of the Rush Enterprises, Inc. and Subsidiaries Consolidated Balance Sheet for the period ended December 31, 2005 and the period ended December 31, 2006. All of the goodwill acquired in the ATS acquisition will be amortized over 15 years for tax purposes.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unaudited pro forma summary presents information as if the ATS acquisition had taken place at the beginning of 2004. The pro forma information is provided for informational purposes only. It is based on historical information and does not necessarily reflect the actual results that would have occurred nor is it necessarily indicative of future results of operations of the Company. The following summary is for the year ended December 31, 2004 (unaudited) (in thousands, except per share amounts):</w:t>
      </w:r>
    </w:p>
    <w:p>
      <w:pPr>
        <w:sectPr>
          <w:pgSz w:w="11900" w:h="16838" w:orient="portrait"/>
          <w:cols w:equalWidth="0" w:num="1">
            <w:col w:w="11400"/>
          </w:cols>
          <w:pgMar w:left="240" w:top="125" w:right="259" w:bottom="304" w:gutter="0" w:footer="0" w:header="0"/>
        </w:sectPr>
      </w:pPr>
    </w:p>
    <w:bookmarkStart w:id="45" w:name="page46"/>
    <w:bookmarkEnd w:id="45"/>
    <w:p>
      <w:pPr>
        <w:spacing w:after="0" w:line="90"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1,438,609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Income from continuing operations after pro forma provision for</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vMerge w:val="continue"/>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24,571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gridSpan w:val="2"/>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income from continuing operations per share</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spacing w:after="0"/>
              <w:rPr>
                <w:sz w:val="20"/>
                <w:szCs w:val="20"/>
                <w:color w:val="auto"/>
              </w:rPr>
            </w:pPr>
            <w:r>
              <w:rPr>
                <w:rFonts w:ascii="Arial" w:cs="Arial" w:eastAsia="Arial" w:hAnsi="Arial"/>
                <w:sz w:val="18"/>
                <w:szCs w:val="18"/>
                <w:color w:val="auto"/>
              </w:rPr>
              <w:t>Diluted income from continuing operations per share</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220" w:firstLine="8"/>
        <w:spacing w:after="0" w:line="488"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UNAUDITED QUARTERLY FINANCIAL DATA</w:t>
      </w:r>
      <w:r>
        <w:rPr>
          <w:rFonts w:ascii="Arial" w:cs="Arial" w:eastAsia="Arial" w:hAnsi="Arial"/>
          <w:sz w:val="18"/>
          <w:szCs w:val="18"/>
          <w:color w:val="auto"/>
        </w:rPr>
        <w:t>: (In thousands, except per share amounts.)</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2"/>
              <w:spacing w:after="0" w:line="145" w:lineRule="exact"/>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2"/>
              <w:spacing w:after="0" w:line="145" w:lineRule="exact"/>
              <w:rPr>
                <w:sz w:val="20"/>
                <w:szCs w:val="20"/>
                <w:color w:val="auto"/>
              </w:rPr>
            </w:pPr>
            <w:r>
              <w:rPr>
                <w:rFonts w:ascii="Arial" w:cs="Arial" w:eastAsia="Arial" w:hAnsi="Arial"/>
                <w:sz w:val="14"/>
                <w:szCs w:val="14"/>
                <w:b w:val="1"/>
                <w:bCs w:val="1"/>
                <w:color w:val="auto"/>
                <w:w w:val="98"/>
              </w:rPr>
              <w:t>Second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72"/>
              <w:spacing w:after="0" w:line="145"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2006</w:t>
            </w:r>
          </w:p>
        </w:tc>
        <w:tc>
          <w:tcPr>
            <w:tcW w:w="67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497,885</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569,187</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651,321</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632,130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Earning per share: Basic</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 per share: 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2005</w:t>
            </w:r>
          </w:p>
        </w:tc>
        <w:tc>
          <w:tcPr>
            <w:tcW w:w="6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402,043</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461,817</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485,427</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515,483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Earning per share: Basic</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 per share: 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Financial Accounting Standards Board issued Statement of Financial Accounting Standards No. 131, “Disclosures about Segments of an Enterprise and Related Information” (“SFAS 131”). This statement requires that public business enterprises report certain information about operating segments in complete sets of financial statements of the enterprise and in condensed financial statements of interim periods issued to shareholders. It also requires that public business enterprises report certain information about their products and services, the geographic areas in which they operate, and their major customers.</w:t>
      </w:r>
    </w:p>
    <w:p>
      <w:pPr>
        <w:spacing w:after="0" w:line="15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previously mentioned, in November 2002 the Company announced its decision to discontinue its D&amp;D operations. In connection with this decision, financial information related to D&amp;D in 2004 is no longer presented as a separate operating segment. Since the disposal of D&amp;D was completed in 2004, there is no related financial activity in 2005 and 2006.</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regional network of truck centers that provide an integrated one-stop source for the trucking needs of its customers, including retail sales of new and used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heavy-duty and medium-duty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area. Dealership operations include the retail sale of new and used construction equipment, aftermarket parts and service facilities, equipment rentals, and the financing of new and used construction equipment.</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ectPr>
          <w:pgSz w:w="11900" w:h="16929" w:orient="portrait"/>
          <w:cols w:equalWidth="0" w:num="1">
            <w:col w:w="11420"/>
          </w:cols>
          <w:pgMar w:left="240" w:top="104" w:right="239" w:bottom="0" w:gutter="0" w:footer="0" w:header="0"/>
        </w:sectPr>
      </w:pPr>
    </w:p>
    <w:bookmarkStart w:id="46" w:name="page47"/>
    <w:bookmarkEnd w:id="46"/>
    <w:p>
      <w:pPr>
        <w:ind w:right="360"/>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2006, 2005 and 2004.</w:t>
      </w:r>
    </w:p>
    <w:p>
      <w:pPr>
        <w:spacing w:after="0" w:line="170" w:lineRule="exact"/>
        <w:rPr>
          <w:sz w:val="20"/>
          <w:szCs w:val="20"/>
          <w:color w:val="auto"/>
        </w:rPr>
      </w:pPr>
    </w:p>
    <w:p>
      <w:pPr>
        <w:jc w:val="both"/>
        <w:ind w:right="40"/>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years ended December 31, 2006, 2005 and 2004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Truck</w:t>
            </w:r>
          </w:p>
        </w:tc>
        <w:tc>
          <w:tcPr>
            <w:tcW w:w="100" w:type="dxa"/>
            <w:vAlign w:val="bottom"/>
          </w:tcPr>
          <w:p>
            <w:pPr>
              <w:spacing w:after="0"/>
              <w:rPr>
                <w:sz w:val="14"/>
                <w:szCs w:val="1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Construction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96"/>
              </w:rPr>
              <w:t>Equipment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92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2006</w:t>
            </w:r>
          </w:p>
        </w:tc>
        <w:tc>
          <w:tcPr>
            <w:tcW w:w="47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2,254,123</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77,816</w:t>
            </w:r>
          </w:p>
        </w:tc>
        <w:tc>
          <w:tcPr>
            <w:tcW w:w="4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18,584</w:t>
            </w: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2,350,523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Segment income from continuing operations before income tax</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1,128,410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2005</w:t>
            </w:r>
          </w:p>
        </w:tc>
        <w:tc>
          <w:tcPr>
            <w:tcW w:w="47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1,795,441</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57,731</w:t>
            </w:r>
          </w:p>
        </w:tc>
        <w:tc>
          <w:tcPr>
            <w:tcW w:w="4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11,598</w:t>
            </w: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1,864,770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Segment income from continuing operations before income tax</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474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Truck</w:t>
            </w: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Construction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All</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6"/>
              </w:rPr>
              <w:t>Equipment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2004</w:t>
            </w:r>
          </w:p>
        </w:tc>
        <w:tc>
          <w:tcPr>
            <w:tcW w:w="5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19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1,040,648</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46,154</w:t>
            </w:r>
          </w:p>
        </w:tc>
        <w:tc>
          <w:tcPr>
            <w:tcW w:w="4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8,177</w:t>
            </w: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5"/>
              </w:rPr>
              <w:t>$   1,094,979</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6,164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Segment income from continuing operations before income tax</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26,606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534,504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39,406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company, an insurance company and a hunting lease operation. None of those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There were no changes or disagreements on any matters of accounting principles or financial statement disclosure between the Company and its independent auditors during the two most recent fiscal years or any subsequent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2006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December 31, 2006 that have materially affected, or are reasonably likely to materially affect, the Company’s internal control over financial reporting.</w:t>
      </w:r>
    </w:p>
    <w:p>
      <w:pPr>
        <w:sectPr>
          <w:pgSz w:w="11900" w:h="16838" w:orient="portrait"/>
          <w:cols w:equalWidth="0" w:num="1">
            <w:col w:w="11460"/>
          </w:cols>
          <w:pgMar w:left="240" w:top="125" w:right="199" w:bottom="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2006,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Based on the assessment, management determined that the Company maintained effective internal control over financial reporting as of December 31, 2006, based on those criteria.</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on Form 10-K, has issued an attestation report on management’s assessment of the effectiveness of the Company’s internal control over financial reporting as of December 31, 2006. The report, which expresses unqualified opinions on management’s assessment and on the effectiveness of the Company’s internal control over financial reporting as of December 31, 2006, is included in this Item 9A under the heading “Attestation 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Rush Enterprises, Inc.</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audited management’s assessment, included in the accompanying Management’s Report on Internal Control Over Financial Reporting, that Rush Enterprises, Inc. and subsidiaries maintained effective internal control over financial reporting as of December 31, 2006, based on criteria established in Internal Control—Integrated Framework issued by the Committee of Sponsoring Organizations of the Treadway Commission (the COSO criteria). Rush Enterprises, Inc. and subsidiaries’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our opinion, management’s assessment that Rush Enterprises, Inc. and subsidiaries maintained effective internal control over financial reporting as of December 31, 2006, is fairly stated, in all material respects, based on the COSO criteria. Also, in our opinion, Rush Enterprises, Inc. and subsidiaries maintained, in all material respects, effective internal control over financial reporting as of December 31, 2006, based on the COSO criteria</w:t>
      </w:r>
      <w:r>
        <w:rPr>
          <w:rFonts w:ascii="Arial" w:cs="Arial" w:eastAsia="Arial" w:hAnsi="Arial"/>
          <w:sz w:val="16"/>
          <w:szCs w:val="16"/>
          <w:b w:val="1"/>
          <w:bCs w:val="1"/>
          <w:color w:val="auto"/>
        </w:rPr>
        <w: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as of December 31, 2006 and 2005 and the related consolidated statements of operations, changes in shareholders’ equity, and cash flows for each of the three years in the period ended December 31, 2006 of Rush Enterprises, Inc. and subsidiaries and our report dated March 12, 2007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83360"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83360" cy="39433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San Antonio, Texas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ectPr>
          <w:pgSz w:w="11900" w:h="16838" w:orient="portrait"/>
          <w:cols w:equalWidth="0" w:num="1">
            <w:col w:w="11400"/>
          </w:cols>
          <w:pgMar w:left="240" w:top="125" w:right="259" w:bottom="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2007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Arial" w:cs="Arial" w:eastAsia="Arial" w:hAnsi="Arial"/>
          <w:sz w:val="18"/>
          <w:szCs w:val="18"/>
          <w:u w:val="single" w:color="auto"/>
          <w:color w:val="auto"/>
        </w:rPr>
        <w:t>www.rushenterprises.com</w:t>
      </w:r>
      <w:r>
        <w:rPr>
          <w:rFonts w:ascii="Arial" w:cs="Arial" w:eastAsia="Arial" w:hAnsi="Arial"/>
          <w:sz w:val="18"/>
          <w:szCs w:val="18"/>
          <w:color w:val="auto"/>
        </w:rPr>
        <w:t xml:space="preserve">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2007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information called for by Item 12 of Form 10-K, other than the equity compensation plan information set forth below, is incorporated herein by reference to such information included in the Company’s Proxy Statement for the 2007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Number of securities to be</w:t>
            </w:r>
          </w:p>
        </w:tc>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Weighted-average exercise</w:t>
            </w:r>
          </w:p>
        </w:tc>
        <w:tc>
          <w:tcPr>
            <w:tcW w:w="28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available for issuance under equity</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16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28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compensation plans as of</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outstanding options as of</w:t>
            </w:r>
          </w:p>
        </w:tc>
        <w:tc>
          <w:tcPr>
            <w:tcW w:w="160" w:type="dxa"/>
            <w:vAlign w:val="bottom"/>
          </w:tcPr>
          <w:p>
            <w:pPr>
              <w:spacing w:after="0"/>
              <w:rPr>
                <w:sz w:val="11"/>
                <w:szCs w:val="11"/>
                <w:color w:val="auto"/>
              </w:rPr>
            </w:pPr>
          </w:p>
        </w:tc>
        <w:tc>
          <w:tcPr>
            <w:tcW w:w="24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price of outstanding options</w:t>
            </w:r>
          </w:p>
        </w:tc>
        <w:tc>
          <w:tcPr>
            <w:tcW w:w="28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December 31, 2006 (excluding</w:t>
            </w:r>
          </w:p>
        </w:tc>
        <w:tc>
          <w:tcPr>
            <w:tcW w:w="0" w:type="dxa"/>
            <w:vAlign w:val="bottom"/>
          </w:tcPr>
          <w:p>
            <w:pPr>
              <w:spacing w:after="0"/>
              <w:rPr>
                <w:sz w:val="1"/>
                <w:szCs w:val="1"/>
                <w:color w:val="auto"/>
              </w:rPr>
            </w:pPr>
          </w:p>
        </w:tc>
      </w:tr>
      <w:tr>
        <w:trPr>
          <w:trHeight w:val="135"/>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December 31, 2006</w:t>
            </w:r>
          </w:p>
        </w:tc>
        <w:tc>
          <w:tcPr>
            <w:tcW w:w="160" w:type="dxa"/>
            <w:vAlign w:val="bottom"/>
          </w:tcPr>
          <w:p>
            <w:pPr>
              <w:spacing w:after="0"/>
              <w:rPr>
                <w:sz w:val="11"/>
                <w:szCs w:val="11"/>
                <w:color w:val="auto"/>
              </w:rPr>
            </w:pPr>
          </w:p>
        </w:tc>
        <w:tc>
          <w:tcPr>
            <w:tcW w:w="24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as of December 31, 2006</w:t>
            </w:r>
          </w:p>
        </w:tc>
        <w:tc>
          <w:tcPr>
            <w:tcW w:w="280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162"/>
        </w:trPr>
        <w:tc>
          <w:tcPr>
            <w:tcW w:w="3620" w:type="dxa"/>
            <w:vAlign w:val="bottom"/>
            <w:gridSpan w:val="3"/>
            <w:vMerge w:val="continue"/>
          </w:tcPr>
          <w:p>
            <w:pPr>
              <w:spacing w:after="0"/>
              <w:rPr>
                <w:sz w:val="14"/>
                <w:szCs w:val="14"/>
                <w:color w:val="auto"/>
              </w:rPr>
            </w:pPr>
          </w:p>
        </w:tc>
        <w:tc>
          <w:tcPr>
            <w:tcW w:w="2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4"/>
                <w:szCs w:val="14"/>
                <w:color w:val="auto"/>
              </w:rPr>
            </w:pPr>
          </w:p>
        </w:tc>
        <w:tc>
          <w:tcPr>
            <w:tcW w:w="2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(b)</w:t>
            </w:r>
          </w:p>
        </w:tc>
        <w:tc>
          <w:tcPr>
            <w:tcW w:w="2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8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1,376,724</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4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1,570,994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ind w:left="180"/>
              <w:spacing w:after="0"/>
              <w:rPr>
                <w:sz w:val="20"/>
                <w:szCs w:val="20"/>
                <w:color w:val="auto"/>
              </w:rPr>
            </w:pPr>
            <w:r>
              <w:rPr>
                <w:rFonts w:ascii="Arial" w:cs="Arial" w:eastAsia="Arial" w:hAnsi="Arial"/>
                <w:sz w:val="18"/>
                <w:szCs w:val="18"/>
                <w:color w:val="auto"/>
              </w:rPr>
              <w:t>security holders (1)</w:t>
            </w:r>
          </w:p>
        </w:tc>
        <w:tc>
          <w:tcPr>
            <w:tcW w:w="2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3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1,376,724</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40" w:type="dxa"/>
            <w:vAlign w:val="bottom"/>
            <w:tcBorders>
              <w:top w:val="single" w:sz="8" w:color="CCEEFF"/>
              <w:bottom w:val="single" w:sz="8" w:color="CCEEFF"/>
            </w:tcBorders>
            <w:shd w:val="clear" w:color="auto" w:fill="CCEEFF"/>
          </w:tcPr>
          <w:p>
            <w:pPr>
              <w:spacing w:after="0"/>
              <w:rPr>
                <w:sz w:val="24"/>
                <w:szCs w:val="24"/>
                <w:color w:val="auto"/>
              </w:rPr>
            </w:pPr>
          </w:p>
        </w:tc>
        <w:tc>
          <w:tcPr>
            <w:tcW w:w="2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1,570,994</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20" w:right="4060" w:hanging="5612"/>
        <w:spacing w:after="0" w:line="778" w:lineRule="auto"/>
        <w:tabs>
          <w:tab w:leader="none" w:pos="3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one time options granted to certain employees and directors outside any Company plan.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Weighted-average exercise</w:t>
            </w:r>
          </w:p>
        </w:tc>
        <w:tc>
          <w:tcPr>
            <w:tcW w:w="26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available for issuance under</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issued upon exercise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26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equity compensation plans as of</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outstanding options as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price of outstanding options</w:t>
            </w:r>
          </w:p>
        </w:tc>
        <w:tc>
          <w:tcPr>
            <w:tcW w:w="26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December 31, 2006 (excluding</w:t>
            </w:r>
          </w:p>
        </w:tc>
        <w:tc>
          <w:tcPr>
            <w:tcW w:w="0" w:type="dxa"/>
            <w:vAlign w:val="bottom"/>
          </w:tcPr>
          <w:p>
            <w:pPr>
              <w:spacing w:after="0"/>
              <w:rPr>
                <w:sz w:val="1"/>
                <w:szCs w:val="1"/>
                <w:color w:val="auto"/>
              </w:rPr>
            </w:pPr>
          </w:p>
        </w:tc>
      </w:tr>
      <w:tr>
        <w:trPr>
          <w:trHeight w:val="135"/>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December 31, 2006</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as of December 31, 2006</w:t>
            </w:r>
          </w:p>
        </w:tc>
        <w:tc>
          <w:tcPr>
            <w:tcW w:w="26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(b)</w:t>
            </w:r>
          </w:p>
        </w:tc>
        <w:tc>
          <w:tcPr>
            <w:tcW w:w="2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2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approvedby</w:t>
            </w:r>
          </w:p>
        </w:tc>
        <w:tc>
          <w:tcPr>
            <w:tcW w:w="1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245,521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CEEFF"/>
          </w:tcPr>
          <w:p>
            <w:pPr>
              <w:spacing w:after="0"/>
              <w:rPr>
                <w:sz w:val="20"/>
                <w:szCs w:val="20"/>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361,594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20" w:type="dxa"/>
            <w:vAlign w:val="bottom"/>
            <w:gridSpan w:val="3"/>
          </w:tcPr>
          <w:p>
            <w:pPr>
              <w:spacing w:after="0"/>
              <w:rPr>
                <w:sz w:val="20"/>
                <w:szCs w:val="20"/>
                <w:color w:val="auto"/>
              </w:rPr>
            </w:pPr>
            <w:r>
              <w:rPr>
                <w:rFonts w:ascii="Arial" w:cs="Arial" w:eastAsia="Arial" w:hAnsi="Arial"/>
                <w:sz w:val="18"/>
                <w:szCs w:val="18"/>
                <w:color w:val="auto"/>
                <w:w w:val="97"/>
              </w:rPr>
              <w:t>Equity compensation plans not approved by</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security holders (1)</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265,521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24"/>
                <w:szCs w:val="24"/>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361,594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one time options granted to certain employees and directors outside any Company plan.</w:t>
      </w:r>
    </w:p>
    <w:p>
      <w:pPr>
        <w:sectPr>
          <w:pgSz w:w="11900" w:h="16838" w:orient="portrait"/>
          <w:cols w:equalWidth="0" w:num="1">
            <w:col w:w="11420"/>
          </w:cols>
          <w:pgMar w:left="240" w:top="121" w:right="239" w:bottom="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2007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2007 Annual Meeting of Shareholders.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Included in Item 8 of Part II of this annual report on Form 10-K are the following: Report of Independent Registered Public Accounting Firm; Consolidated Balance Sheets as of December 31, 2005 and 2006; Consolidated Statements of Operations for the years ended December 31, 2004, 2005 and 2006; Consolidated Statements of Shareholders’ Equity for the years ended December 31, 2004, 2005 and 2006; Consolidated Statements of Cash Flows for the years ended December 31, 2004, 2005 and 2006; and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860" w:type="dxa"/>
            <w:vAlign w:val="bottom"/>
            <w:gridSpan w:val="3"/>
          </w:tcPr>
          <w:p>
            <w:pPr>
              <w:jc w:val="right"/>
              <w:ind w:right="5548"/>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920" w:type="dxa"/>
            <w:vAlign w:val="bottom"/>
            <w:tcBorders>
              <w:bottom w:val="single" w:sz="8" w:color="010101"/>
            </w:tcBorders>
            <w:gridSpan w:val="2"/>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9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1460" w:type="dxa"/>
            <w:vAlign w:val="bottom"/>
            <w:gridSpan w:val="5"/>
          </w:tcPr>
          <w:p>
            <w:pPr>
              <w:spacing w:after="0"/>
              <w:rPr>
                <w:sz w:val="20"/>
                <w:szCs w:val="20"/>
                <w:color w:val="auto"/>
              </w:rPr>
            </w:pPr>
            <w:r>
              <w:rPr>
                <w:rFonts w:ascii="Arial" w:cs="Arial" w:eastAsia="Arial" w:hAnsi="Arial"/>
                <w:sz w:val="18"/>
                <w:szCs w:val="18"/>
                <w:b w:val="1"/>
                <w:bCs w:val="1"/>
                <w:color w:val="auto"/>
              </w:rPr>
              <w:t>(a)(3) Exhibits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0900" w:type="dxa"/>
            <w:vAlign w:val="bottom"/>
            <w:gridSpan w:val="4"/>
          </w:tcPr>
          <w:p>
            <w:pPr>
              <w:ind w:left="1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20" w:type="dxa"/>
            <w:vAlign w:val="bottom"/>
            <w:vMerge w:val="restart"/>
          </w:tcPr>
          <w:p>
            <w:pPr>
              <w:jc w:val="right"/>
              <w:ind w:right="4108"/>
              <w:spacing w:after="0"/>
              <w:rPr>
                <w:sz w:val="20"/>
                <w:szCs w:val="20"/>
                <w:color w:val="auto"/>
              </w:rPr>
            </w:pPr>
            <w:r>
              <w:rPr>
                <w:rFonts w:ascii="Arial" w:cs="Arial" w:eastAsia="Arial" w:hAnsi="Arial"/>
                <w:sz w:val="14"/>
                <w:szCs w:val="14"/>
                <w:b w:val="1"/>
                <w:bCs w:val="1"/>
                <w:color w:val="auto"/>
              </w:rPr>
              <w:t>Identification of Exhibit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98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0"/>
              </w:rPr>
              <w:t>Asset Purchase Agreement between Rush Enterprises, Inc. and certain of its subsidiaries, American Truck Source, Inc. and certain of its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4"/>
              </w:rPr>
              <w:t>subsidiaries, John D. Moore, Jesse T. Kirk and Milo Kirk (incorporated by reference herein from Exhibit 2.1 the Company’s Current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Report on Form 8-K (File No. 000-20797) dated September 16, 2004)</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4"/>
              </w:rPr>
              <w:t>First Amendment to the Asset Purchase Agreement between Rush Enterprises, Inc. and certain of its subsidiaries, American Truck</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3"/>
              </w:rPr>
              <w:t>Source, Inc. and certain of its subsidiaries, John D. Moore, Jesse T. Kirk and Milo Kirk (incorporated by reference herein from Exhibit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2.1 to the Company’s Current Report on Form 8-K (File No. 000-20797) dated November 9, 2004)</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2"/>
              </w:rPr>
              <w:t>Second Amendment to the Asset Purchase Agreement between Rush Enterprises, Inc. and certain of its subsidiaries, American Truck</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3"/>
              </w:rPr>
              <w:t>Source, Inc. and certain of its subsidiaries, John D. Moore, Jesse T. Kirk and Milo Kirk (incorporated by reference herein from Exhibit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2.1 to the Company’s Current Report on Form 8-K (File No. 000-20797) dated December 3, 2004)</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3"/>
              </w:rPr>
              <w:t>Restated Articles of Incorporation of the Registrant (incorporated herein by reference to Exhibit 3.1 of the Company’s Annual Report</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on Form 10-K (File No. 000-20797) for the year ended December 31, 2004)</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2"/>
              </w:rPr>
              <w:t>Amended and Restated Bylaws of the Registrant (incorporated herein by reference to Exhibit 3.1 of the Company’s Current Report on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Form 8-K (File No. 000-20797) dated May 16, 2006)</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1"/>
              </w:rPr>
              <w:t>Specimen of certificate representing Old Common Stock (now Class B Common Stock), $.01 par value, of the Registrant (incorporated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9"/>
              </w:rPr>
              <w:t>herein by reference to Exhibit 4.1 of the Company’s Registration Statement No. 333-03346 on Form S-1 filed April 10, 1996)</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4"/>
              </w:rPr>
              <w:t>Specimen of certificate representing Class A Common Stock, $.01 par value, of the Registrant (incorporated herein by reference to</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Exhibit 4.4 of the Company’s Registration Statement on Form 8-A filed July 9, 2002)</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2"/>
              </w:rPr>
              <w:t>Right of First Refusal dated April 1, 1996 between Peterbilt Motors Company and W. Marvin Rush (incorporated herein by reference to</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Exhibit 10.76 of the Company’s Registration Statement No. 333-03346 on Form S-1 filed April 10, 1996)</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w w:val="93"/>
              </w:rPr>
              <w:t>Right of First Refusal dated April 1, 1996 between Peterbilt Motors Company and Barbara Rush (incorporated herein by reference to</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3"/>
          </w:tcPr>
          <w:p>
            <w:pPr>
              <w:ind w:left="680"/>
              <w:spacing w:after="0"/>
              <w:rPr>
                <w:sz w:val="20"/>
                <w:szCs w:val="20"/>
                <w:color w:val="auto"/>
              </w:rPr>
            </w:pPr>
            <w:r>
              <w:rPr>
                <w:rFonts w:ascii="Arial" w:cs="Arial" w:eastAsia="Arial" w:hAnsi="Arial"/>
                <w:sz w:val="18"/>
                <w:szCs w:val="18"/>
                <w:color w:val="auto"/>
              </w:rPr>
              <w:t>Exhibit 10.77 of the Company’s Registration Statement No. 333-03346 on Form S-1 filed April 10, 1996)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-5095240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-5095240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03"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540"/>
              <w:spacing w:after="0"/>
              <w:rPr>
                <w:sz w:val="20"/>
                <w:szCs w:val="20"/>
                <w:color w:val="auto"/>
              </w:rPr>
            </w:pPr>
            <w:r>
              <w:rPr>
                <w:rFonts w:ascii="Arial" w:cs="Arial" w:eastAsia="Arial" w:hAnsi="Arial"/>
                <w:sz w:val="18"/>
                <w:szCs w:val="18"/>
                <w:color w:val="auto"/>
                <w:w w:val="99"/>
              </w:rPr>
              <w:t>Right of First Refusal dated April 1, 1996 between Peterbilt Motors Company and W.M. “Rusty” Rush (incorporated herein by</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reference to Exhibit 10.78 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540"/>
              <w:spacing w:after="0"/>
              <w:rPr>
                <w:sz w:val="20"/>
                <w:szCs w:val="20"/>
                <w:color w:val="auto"/>
              </w:rPr>
            </w:pPr>
            <w:r>
              <w:rPr>
                <w:rFonts w:ascii="Arial" w:cs="Arial" w:eastAsia="Arial" w:hAnsi="Arial"/>
                <w:sz w:val="18"/>
                <w:szCs w:val="18"/>
                <w:color w:val="auto"/>
                <w:w w:val="95"/>
              </w:rPr>
              <w:t>Right of First Refusal dated April 1, 1996 between Peterbilt Motors Company and Robin Rush (incorporated herein by reference to</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Exhibit 10.79 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540"/>
              <w:spacing w:after="0"/>
              <w:rPr>
                <w:sz w:val="20"/>
                <w:szCs w:val="20"/>
                <w:color w:val="auto"/>
              </w:rPr>
            </w:pPr>
            <w:r>
              <w:rPr>
                <w:rFonts w:ascii="Arial" w:cs="Arial" w:eastAsia="Arial" w:hAnsi="Arial"/>
                <w:sz w:val="18"/>
                <w:szCs w:val="18"/>
                <w:color w:val="auto"/>
                <w:w w:val="96"/>
              </w:rPr>
              <w:t>Form of Indemnity Agreement between Rush Enterprises, Inc. and the members of its Board of Directors (incorporated herein by</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reference to Exhibit 10.80 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540"/>
              <w:spacing w:after="0"/>
              <w:rPr>
                <w:sz w:val="20"/>
                <w:szCs w:val="20"/>
                <w:color w:val="auto"/>
              </w:rPr>
            </w:pPr>
            <w:r>
              <w:rPr>
                <w:rFonts w:ascii="Arial" w:cs="Arial" w:eastAsia="Arial" w:hAnsi="Arial"/>
                <w:sz w:val="18"/>
                <w:szCs w:val="18"/>
                <w:color w:val="auto"/>
                <w:w w:val="92"/>
              </w:rPr>
              <w:t>Form of Employment Agreement between W. Marvin Rush and W.M. “Rusty” Rush (incorporated herein by reference to Exhibit 10.81</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of the Company’s Registration Statement No. 333-03346 on Form S-1 filed April 10, 1996)</w:t>
            </w:r>
          </w:p>
        </w:tc>
      </w:tr>
      <w:tr>
        <w:trPr>
          <w:trHeight w:val="864"/>
        </w:trPr>
        <w:tc>
          <w:tcPr>
            <w:tcW w:w="106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74</w:t>
            </w:r>
          </w:p>
        </w:tc>
      </w:tr>
      <w:tr>
        <w:trPr>
          <w:trHeight w:val="375"/>
        </w:trPr>
        <w:tc>
          <w:tcPr>
            <w:tcW w:w="1060" w:type="dxa"/>
            <w:vAlign w:val="bottom"/>
            <w:tcBorders>
              <w:bottom w:val="single" w:sz="8" w:color="010101"/>
            </w:tcBorders>
          </w:tcPr>
          <w:p>
            <w:pPr>
              <w:spacing w:after="0"/>
              <w:rPr>
                <w:sz w:val="24"/>
                <w:szCs w:val="24"/>
                <w:color w:val="auto"/>
              </w:rPr>
            </w:pPr>
          </w:p>
        </w:tc>
        <w:tc>
          <w:tcPr>
            <w:tcW w:w="10400" w:type="dxa"/>
            <w:vAlign w:val="bottom"/>
            <w:tcBorders>
              <w:bottom w:val="single" w:sz="8" w:color="010101"/>
            </w:tcBorders>
          </w:tcPr>
          <w:p>
            <w:pPr>
              <w:spacing w:after="0"/>
              <w:rPr>
                <w:sz w:val="24"/>
                <w:szCs w:val="24"/>
                <w:color w:val="auto"/>
              </w:rPr>
            </w:pPr>
          </w:p>
        </w:tc>
      </w:tr>
      <w:tr>
        <w:trPr>
          <w:trHeight w:val="766"/>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Form of Employment Agreement between Rush Enterprises, Inc., and certain of its Vice Presidents (incorporated herein by reference to</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Exhibit 10.82 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Tax Indemnification Agreement between Rush Enterprises, Inc., Associated Acceptance, Inc. and W. Marvin Rush (incorporated herein</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by reference to Exhibit 10.83 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540"/>
              <w:spacing w:after="0"/>
              <w:rPr>
                <w:sz w:val="20"/>
                <w:szCs w:val="20"/>
                <w:color w:val="auto"/>
              </w:rPr>
            </w:pPr>
            <w:r>
              <w:rPr>
                <w:rFonts w:ascii="Arial" w:cs="Arial" w:eastAsia="Arial" w:hAnsi="Arial"/>
                <w:sz w:val="18"/>
                <w:szCs w:val="18"/>
                <w:color w:val="auto"/>
                <w:w w:val="96"/>
              </w:rPr>
              <w:t>Rush Enterprises, Inc. Long-Term Incentive Plan, as amended (incorporated herein by reference to Exhibit 4.1 of the Company’s</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Registration Statement No. 333-117305 on Form S-8 filed July 12,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Form of Rush Enterprises, Inc. Long-Term Incentive Plan Stock Option Agreement (incorporated herein by reference to Exhibit 10.85</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of the Company’s Registration Statement No. 333-03346 on Form S-1 filed April 10, 1996)</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Rush Enterprises, Inc. Amended and Restated 1997 Non-Employee Director Stock Option Plan, as amended (incorporated herein by</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reference to Exhibit 4.3 of the Company’s Registration Statement No. 333-117305 on Form S-8 filed July 12,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540"/>
              <w:spacing w:after="0"/>
              <w:rPr>
                <w:sz w:val="20"/>
                <w:szCs w:val="20"/>
                <w:color w:val="auto"/>
              </w:rPr>
            </w:pPr>
            <w:r>
              <w:rPr>
                <w:rFonts w:ascii="Arial" w:cs="Arial" w:eastAsia="Arial" w:hAnsi="Arial"/>
                <w:sz w:val="18"/>
                <w:szCs w:val="18"/>
                <w:color w:val="auto"/>
                <w:w w:val="92"/>
              </w:rPr>
              <w:t>Form of Rush Enterprises, Inc. 1997 Non-Employee Director Stock Option Agreement (incorporated herein by reference to Exhibit 4.4</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of the Company’s Registration Statement No. 333-117305 on Form S-8 filed July 12,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540"/>
              <w:spacing w:after="0"/>
              <w:rPr>
                <w:sz w:val="20"/>
                <w:szCs w:val="20"/>
                <w:color w:val="auto"/>
              </w:rPr>
            </w:pPr>
            <w:r>
              <w:rPr>
                <w:rFonts w:ascii="Arial" w:cs="Arial" w:eastAsia="Arial" w:hAnsi="Arial"/>
                <w:sz w:val="18"/>
                <w:szCs w:val="18"/>
                <w:color w:val="auto"/>
                <w:w w:val="92"/>
              </w:rPr>
              <w:t>Non-Qualified Stock Option Agreement between Rush Enterprises, Inc. and J.M. Lowe, Jr. (incorporated herein by reference to Exhibit</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4.5 of the Company’s Registration Statement No. 333-117305 on Form S-8 filed July 12,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Non-Qualified Stock Option Agreement between Rush Enterprises, Inc. and Ronald J. Krause, John D. Rock and Harold D. Marshall</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(incorporated herein by reference to Exhibit 4.2 of the Company’s Registration Statement No. 333-121355 on Form S-8 filed December</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17, 2004)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The Rush Enterprises, Inc. 2004 Employee Stock Purchase Plan, as amended (incorporated herein by reference to Exhibit 4.1 of the</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Company’s Registration Statement No. 333-121355 on Form S-8 filed December 17, 2004)</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540"/>
              <w:spacing w:after="0"/>
              <w:rPr>
                <w:sz w:val="20"/>
                <w:szCs w:val="20"/>
                <w:color w:val="auto"/>
              </w:rPr>
            </w:pPr>
            <w:r>
              <w:rPr>
                <w:rFonts w:ascii="Arial" w:cs="Arial" w:eastAsia="Arial" w:hAnsi="Arial"/>
                <w:sz w:val="18"/>
                <w:szCs w:val="18"/>
                <w:color w:val="auto"/>
                <w:w w:val="94"/>
              </w:rPr>
              <w:t>Form of dealer agreement between Peterbilt Motors Company and Rush Truck Centers (incorporated herein by reference to Exhibit</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10.18 of the Company’s Form 10-K (File No. 000-20797) for the year ended December 31, 1999)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540"/>
              <w:spacing w:after="0"/>
              <w:rPr>
                <w:sz w:val="20"/>
                <w:szCs w:val="20"/>
                <w:color w:val="auto"/>
              </w:rPr>
            </w:pPr>
            <w:r>
              <w:rPr>
                <w:rFonts w:ascii="Arial" w:cs="Arial" w:eastAsia="Arial" w:hAnsi="Arial"/>
                <w:sz w:val="18"/>
                <w:szCs w:val="18"/>
                <w:color w:val="auto"/>
                <w:w w:val="96"/>
              </w:rPr>
              <w:t>Wholesale Security Agreement, dated September 20, 2005, by and among General Electric Capital Corporation and Rush Truck</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9"/>
              </w:rPr>
              <w:t>Centers of Alabama, Inc., Rush Truck Centers of Arizona, Inc., Rush Truck Centers of California, Inc., Rush Truck Centers of</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Colorado, Inc., Rush Truck Centers of Florida, Inc., Rush Truck Centers of New Mexico, Inc., Rush Truck Centers of Oklahoma, Inc.,</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Rush Truck Centers of Tennessee, Inc., and Rush Truck Centers of Texas, L.P. (incorporated herein by reference to Exhibit 10.1 of the</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Company’s Current Report on Form 8-K (File No. 000-20797) filed September 23, 2005).</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540"/>
              <w:spacing w:after="0"/>
              <w:rPr>
                <w:sz w:val="20"/>
                <w:szCs w:val="20"/>
                <w:color w:val="auto"/>
              </w:rPr>
            </w:pPr>
            <w:r>
              <w:rPr>
                <w:rFonts w:ascii="Arial" w:cs="Arial" w:eastAsia="Arial" w:hAnsi="Arial"/>
                <w:sz w:val="18"/>
                <w:szCs w:val="18"/>
                <w:color w:val="auto"/>
                <w:w w:val="90"/>
              </w:rPr>
              <w:t>Addendum to Wholesale Security Agreement, dated September 20, 2005, by and among General Electric Capital Corporation and Rush</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4"/>
              </w:rPr>
              <w:t>Truck Centers of Alabama, Inc., Rush Truck Centers of Arizona, Inc., Rush Truck Centers of California, Inc., Rush Truck Centers of</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3"/>
              </w:rPr>
              <w:t>Colorado, Inc., Rush Truck Centers of Florida, Inc., Rush Truck Centers of New Mexico, Inc., Rush Truck Centers of Oklahoma, Inc.,</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Rush Truck Centers of Tennessee, Inc., and Rush Truck Centers of Texas, L.P. (incorporated herein by reference to Exhibit 10.2 of the</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Company’s Current Report on Form 8-K (File No. 000-20797) filed September 23, 2005).</w:t>
            </w:r>
          </w:p>
        </w:tc>
      </w:tr>
      <w:tr>
        <w:trPr>
          <w:trHeight w:val="864"/>
        </w:trPr>
        <w:tc>
          <w:tcPr>
            <w:tcW w:w="106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75</w:t>
            </w:r>
          </w:p>
        </w:tc>
      </w:tr>
      <w:tr>
        <w:trPr>
          <w:trHeight w:val="375"/>
        </w:trPr>
        <w:tc>
          <w:tcPr>
            <w:tcW w:w="1060" w:type="dxa"/>
            <w:vAlign w:val="bottom"/>
            <w:tcBorders>
              <w:bottom w:val="single" w:sz="8" w:color="010101"/>
            </w:tcBorders>
          </w:tcPr>
          <w:p>
            <w:pPr>
              <w:spacing w:after="0"/>
              <w:rPr>
                <w:sz w:val="24"/>
                <w:szCs w:val="24"/>
                <w:color w:val="auto"/>
              </w:rPr>
            </w:pPr>
          </w:p>
        </w:tc>
        <w:tc>
          <w:tcPr>
            <w:tcW w:w="10400" w:type="dxa"/>
            <w:vAlign w:val="bottom"/>
            <w:tcBorders>
              <w:bottom w:val="single" w:sz="8" w:color="010101"/>
            </w:tcBorders>
          </w:tcPr>
          <w:p>
            <w:pPr>
              <w:spacing w:after="0"/>
              <w:rPr>
                <w:sz w:val="24"/>
                <w:szCs w:val="24"/>
                <w:color w:val="auto"/>
              </w:rPr>
            </w:pPr>
          </w:p>
        </w:tc>
      </w:tr>
      <w:tr>
        <w:trPr>
          <w:trHeight w:val="766"/>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540"/>
              <w:spacing w:after="0"/>
              <w:rPr>
                <w:sz w:val="20"/>
                <w:szCs w:val="20"/>
                <w:color w:val="auto"/>
              </w:rPr>
            </w:pPr>
            <w:r>
              <w:rPr>
                <w:rFonts w:ascii="Arial" w:cs="Arial" w:eastAsia="Arial" w:hAnsi="Arial"/>
                <w:sz w:val="18"/>
                <w:szCs w:val="18"/>
                <w:color w:val="auto"/>
                <w:w w:val="95"/>
              </w:rPr>
              <w:t>Agreement Amending the Wholesale Security Agreement and Conditionally the Sale of Collateral on a Delayed Payment Privilege</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Basis, dated September 20, 2005, by and among General Electric Capital Corporation and Rush Truck Centers of Alabama, Inc., Rush</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4"/>
              </w:rPr>
              <w:t>Truck Centers of Arizona, Inc., Rush Truck Centers of California, Inc., Rush Truck Centers of Colorado, Inc., Rush Truck Centers of</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Florida, Inc., Rush Truck Centers of New Mexico, Inc., Rush Truck Centers of Oklahoma, Inc., Rush Truck Centers of Tennessee, Inc.,</w:t>
            </w:r>
          </w:p>
        </w:tc>
      </w:tr>
      <w:tr>
        <w:trPr>
          <w:trHeight w:val="216"/>
        </w:trPr>
        <w:tc>
          <w:tcPr>
            <w:tcW w:w="1060" w:type="dxa"/>
            <w:vAlign w:val="bottom"/>
          </w:tcPr>
          <w:p>
            <w:pPr>
              <w:spacing w:after="0"/>
              <w:rPr>
                <w:sz w:val="18"/>
                <w:szCs w:val="18"/>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w w:val="91"/>
              </w:rPr>
              <w:t>and Rush Truck Centers of Texas, L.P. (incorporated herein by reference to Exhibit 10.3 of the Company’s Current Report on Form 8-K</w:t>
            </w:r>
          </w:p>
        </w:tc>
      </w:tr>
      <w:tr>
        <w:trPr>
          <w:trHeight w:val="230"/>
        </w:trPr>
        <w:tc>
          <w:tcPr>
            <w:tcW w:w="106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(File No. 000-20797) filed September 23,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-8131175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-8131175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tcPr>
          <w:p>
            <w:pPr>
              <w:ind w:left="500"/>
              <w:spacing w:after="0"/>
              <w:rPr>
                <w:sz w:val="20"/>
                <w:szCs w:val="20"/>
                <w:color w:val="auto"/>
              </w:rPr>
            </w:pPr>
            <w:r>
              <w:rPr>
                <w:rFonts w:ascii="Arial" w:cs="Arial" w:eastAsia="Arial" w:hAnsi="Arial"/>
                <w:sz w:val="18"/>
                <w:szCs w:val="18"/>
                <w:color w:val="auto"/>
                <w:w w:val="95"/>
              </w:rPr>
              <w:t>Continuing Guaranty, dated September 20, 2005, by and among General Electric Capital Corporation and Rush Enterprises, Inc.</w:t>
            </w:r>
          </w:p>
        </w:tc>
      </w:tr>
      <w:tr>
        <w:trPr>
          <w:trHeight w:val="216"/>
        </w:trPr>
        <w:tc>
          <w:tcPr>
            <w:tcW w:w="1100" w:type="dxa"/>
            <w:vAlign w:val="bottom"/>
          </w:tcPr>
          <w:p>
            <w:pPr>
              <w:spacing w:after="0"/>
              <w:rPr>
                <w:sz w:val="18"/>
                <w:szCs w:val="18"/>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w w:val="91"/>
              </w:rPr>
              <w:t>(incorporated herein by reference to Exhibit 10.4 of the Company’s Current Report on Form 8-K (File No. 000-20797) filed September</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23, 2005).</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10240" w:type="dxa"/>
            <w:vAlign w:val="bottom"/>
          </w:tcPr>
          <w:p>
            <w:pPr>
              <w:ind w:left="500"/>
              <w:spacing w:after="0"/>
              <w:rPr>
                <w:sz w:val="20"/>
                <w:szCs w:val="20"/>
                <w:color w:val="auto"/>
              </w:rPr>
            </w:pPr>
            <w:r>
              <w:rPr>
                <w:rFonts w:ascii="Arial" w:cs="Arial" w:eastAsia="Arial" w:hAnsi="Arial"/>
                <w:sz w:val="18"/>
                <w:szCs w:val="18"/>
                <w:color w:val="auto"/>
                <w:w w:val="99"/>
              </w:rPr>
              <w:t>Amendment to Continuing Guaranty, dated March 6, 2006, by and between General Electric Capital Corporation and Rush</w:t>
            </w:r>
          </w:p>
        </w:tc>
      </w:tr>
      <w:tr>
        <w:trPr>
          <w:trHeight w:val="216"/>
        </w:trPr>
        <w:tc>
          <w:tcPr>
            <w:tcW w:w="1100" w:type="dxa"/>
            <w:vAlign w:val="bottom"/>
          </w:tcPr>
          <w:p>
            <w:pPr>
              <w:spacing w:after="0"/>
              <w:rPr>
                <w:sz w:val="18"/>
                <w:szCs w:val="18"/>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w w:val="93"/>
              </w:rPr>
              <w:t>Enterprises, Inc. (incorporated herein by reference to Exhibit 10.1 of the Company’s Current Report on Form 8-K (File No. 0-20797)</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filed April 28, 2006).</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10240" w:type="dxa"/>
            <w:vAlign w:val="bottom"/>
          </w:tcPr>
          <w:p>
            <w:pPr>
              <w:ind w:left="500"/>
              <w:spacing w:after="0"/>
              <w:rPr>
                <w:sz w:val="20"/>
                <w:szCs w:val="20"/>
                <w:color w:val="auto"/>
              </w:rPr>
            </w:pPr>
            <w:r>
              <w:rPr>
                <w:rFonts w:ascii="Arial" w:cs="Arial" w:eastAsia="Arial" w:hAnsi="Arial"/>
                <w:sz w:val="18"/>
                <w:szCs w:val="18"/>
                <w:color w:val="auto"/>
                <w:w w:val="92"/>
              </w:rPr>
              <w:t>Amended and Restated Amendment to Dealer Sales and Service Agreements, dated June 15, 2006, by and among Peterbilt Motors</w:t>
            </w:r>
          </w:p>
        </w:tc>
      </w:tr>
      <w:tr>
        <w:trPr>
          <w:trHeight w:val="216"/>
        </w:trPr>
        <w:tc>
          <w:tcPr>
            <w:tcW w:w="1100" w:type="dxa"/>
            <w:vAlign w:val="bottom"/>
          </w:tcPr>
          <w:p>
            <w:pPr>
              <w:spacing w:after="0"/>
              <w:rPr>
                <w:sz w:val="18"/>
                <w:szCs w:val="18"/>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w w:val="98"/>
              </w:rPr>
              <w:t>Company, a division of PACCAR, Inc., Rush Enterprises, Inc. and the subsidiaries of Rush Enterprises, Inc. set forth therein</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(incorporated herein by reference to Exhibit 10.2 of the Company’s Form 8-K (File No. 000-20797) filed June 16, 2006).</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10240" w:type="dxa"/>
            <w:vAlign w:val="bottom"/>
          </w:tcPr>
          <w:p>
            <w:pPr>
              <w:ind w:left="500"/>
              <w:spacing w:after="0"/>
              <w:rPr>
                <w:sz w:val="20"/>
                <w:szCs w:val="20"/>
                <w:color w:val="auto"/>
              </w:rPr>
            </w:pPr>
            <w:r>
              <w:rPr>
                <w:rFonts w:ascii="Arial" w:cs="Arial" w:eastAsia="Arial" w:hAnsi="Arial"/>
                <w:sz w:val="18"/>
                <w:szCs w:val="18"/>
                <w:color w:val="auto"/>
                <w:w w:val="90"/>
              </w:rPr>
              <w:t>Second Amendment to Addendum to Wholesale Security Agreement, dated January 22, 2007, by and between General Electric Capital</w:t>
            </w:r>
          </w:p>
        </w:tc>
      </w:tr>
      <w:tr>
        <w:trPr>
          <w:trHeight w:val="216"/>
        </w:trPr>
        <w:tc>
          <w:tcPr>
            <w:tcW w:w="1100" w:type="dxa"/>
            <w:vAlign w:val="bottom"/>
          </w:tcPr>
          <w:p>
            <w:pPr>
              <w:spacing w:after="0"/>
              <w:rPr>
                <w:sz w:val="18"/>
                <w:szCs w:val="18"/>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w w:val="91"/>
              </w:rPr>
              <w:t>Corporation and Rush Enterprises, Inc. (incorporated herein by reference to Exhibit 10.4 of the Company’s Current Report on Form 8-</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K (File No. 0-20797) filed January 23, 2007).</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10.24</w:t>
            </w:r>
          </w:p>
        </w:tc>
        <w:tc>
          <w:tcPr>
            <w:tcW w:w="10240" w:type="dxa"/>
            <w:vAlign w:val="bottom"/>
          </w:tcPr>
          <w:p>
            <w:pPr>
              <w:ind w:left="500"/>
              <w:spacing w:after="0"/>
              <w:rPr>
                <w:sz w:val="20"/>
                <w:szCs w:val="20"/>
                <w:color w:val="auto"/>
              </w:rPr>
            </w:pPr>
            <w:r>
              <w:rPr>
                <w:rFonts w:ascii="Arial" w:cs="Arial" w:eastAsia="Arial" w:hAnsi="Arial"/>
                <w:sz w:val="18"/>
                <w:szCs w:val="18"/>
                <w:color w:val="auto"/>
                <w:w w:val="91"/>
              </w:rPr>
              <w:t>Form of Rush Enterprises, Inc. 2006 Non-Employee Director Stock Option Agreement (incorporated herein by reference to Exhibit 4.4</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of the Company’s Registration Statement No. 333-138556 on Form S-8 filed November 9, 2006)</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10240" w:type="dxa"/>
            <w:vAlign w:val="bottom"/>
          </w:tcPr>
          <w:p>
            <w:pPr>
              <w:ind w:left="50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tcPr>
          <w:p>
            <w:pPr>
              <w:ind w:left="50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500"/>
              <w:spacing w:after="0"/>
              <w:rPr>
                <w:sz w:val="20"/>
                <w:szCs w:val="20"/>
                <w:color w:val="auto"/>
              </w:rPr>
            </w:pPr>
            <w:r>
              <w:rPr>
                <w:rFonts w:ascii="Arial" w:cs="Arial" w:eastAsia="Arial" w:hAnsi="Arial"/>
                <w:sz w:val="18"/>
                <w:szCs w:val="18"/>
                <w:color w:val="auto"/>
                <w:w w:val="91"/>
              </w:rPr>
              <w:t>Certification of Chairman and Chief Executive Officer pursuant to Rules 13a-14(a) and 15d-14(a), as adopted pursuant to Section 302</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500"/>
              <w:spacing w:after="0"/>
              <w:rPr>
                <w:sz w:val="20"/>
                <w:szCs w:val="20"/>
                <w:color w:val="auto"/>
              </w:rPr>
            </w:pPr>
            <w:r>
              <w:rPr>
                <w:rFonts w:ascii="Arial" w:cs="Arial" w:eastAsia="Arial" w:hAnsi="Arial"/>
                <w:sz w:val="18"/>
                <w:szCs w:val="18"/>
                <w:color w:val="auto"/>
                <w:w w:val="92"/>
              </w:rPr>
              <w:t>Certification of Senior Vice President and Chief Financial Officer pursuant to Rules 13a-14(a) and 15d-14(a), as adopted pursuant to</w:t>
            </w:r>
          </w:p>
        </w:tc>
      </w:tr>
      <w:tr>
        <w:trPr>
          <w:trHeight w:val="230"/>
        </w:trPr>
        <w:tc>
          <w:tcPr>
            <w:tcW w:w="1100" w:type="dxa"/>
            <w:vAlign w:val="bottom"/>
          </w:tcPr>
          <w:p>
            <w:pPr>
              <w:spacing w:after="0"/>
              <w:rPr>
                <w:sz w:val="20"/>
                <w:szCs w:val="20"/>
                <w:color w:val="auto"/>
              </w:rPr>
            </w:pPr>
          </w:p>
        </w:tc>
        <w:tc>
          <w:tcPr>
            <w:tcW w:w="10240" w:type="dxa"/>
            <w:vAlign w:val="bottom"/>
          </w:tcPr>
          <w:p>
            <w:pPr>
              <w:ind w:left="500"/>
              <w:spacing w:after="0"/>
              <w:rPr>
                <w:sz w:val="20"/>
                <w:szCs w:val="20"/>
                <w:color w:val="auto"/>
              </w:rPr>
            </w:pPr>
            <w:r>
              <w:rPr>
                <w:rFonts w:ascii="Arial" w:cs="Arial" w:eastAsia="Arial" w:hAnsi="Arial"/>
                <w:sz w:val="18"/>
                <w:szCs w:val="18"/>
                <w:color w:val="auto"/>
              </w:rPr>
              <w:t>Section 302 of the Sarbanes-Oxley Act of 2002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5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5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660" w:right="180" w:hanging="652"/>
        <w:spacing w:after="0" w:line="381" w:lineRule="auto"/>
        <w:tabs>
          <w:tab w:leader="none" w:pos="57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RUSH ENTERPRISES, INC.</w:t>
            </w:r>
          </w:p>
        </w:tc>
        <w:tc>
          <w:tcPr>
            <w:tcW w:w="1920" w:type="dxa"/>
            <w:vAlign w:val="bottom"/>
          </w:tcPr>
          <w:p>
            <w:pPr>
              <w:spacing w:after="0"/>
              <w:rPr>
                <w:sz w:val="20"/>
                <w:szCs w:val="20"/>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By:   /s/ W. M.”RUSTY” RUSH</w:t>
            </w:r>
          </w:p>
        </w:tc>
        <w:tc>
          <w:tcPr>
            <w:tcW w:w="1920" w:type="dxa"/>
            <w:vAlign w:val="bottom"/>
          </w:tcPr>
          <w:p>
            <w:pPr>
              <w:ind w:left="340"/>
              <w:spacing w:after="0"/>
              <w:rPr>
                <w:sz w:val="20"/>
                <w:szCs w:val="20"/>
                <w:color w:val="auto"/>
              </w:rPr>
            </w:pPr>
            <w:r>
              <w:rPr>
                <w:rFonts w:ascii="Arial" w:cs="Arial" w:eastAsia="Arial" w:hAnsi="Arial"/>
                <w:sz w:val="18"/>
                <w:szCs w:val="18"/>
                <w:color w:val="auto"/>
                <w:w w:val="90"/>
              </w:rPr>
              <w:t>Date: March 15, 2007</w:t>
            </w:r>
          </w:p>
        </w:tc>
      </w:tr>
      <w:tr>
        <w:trPr>
          <w:trHeight w:val="195"/>
        </w:trPr>
        <w:tc>
          <w:tcPr>
            <w:tcW w:w="340" w:type="dxa"/>
            <w:vAlign w:val="bottom"/>
          </w:tcPr>
          <w:p>
            <w:pPr>
              <w:spacing w:after="0"/>
              <w:rPr>
                <w:sz w:val="16"/>
                <w:szCs w:val="16"/>
                <w:color w:val="auto"/>
              </w:rPr>
            </w:pPr>
          </w:p>
        </w:tc>
        <w:tc>
          <w:tcPr>
            <w:tcW w:w="39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W. M. “Rusty” Rush</w:t>
            </w:r>
          </w:p>
        </w:tc>
        <w:tc>
          <w:tcPr>
            <w:tcW w:w="192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920" w:type="dxa"/>
            <w:vAlign w:val="bottom"/>
          </w:tcPr>
          <w:p>
            <w:pPr>
              <w:spacing w:after="0"/>
              <w:rPr>
                <w:sz w:val="20"/>
                <w:szCs w:val="20"/>
                <w:color w:val="auto"/>
              </w:rPr>
            </w:pPr>
          </w:p>
        </w:tc>
      </w:tr>
    </w:tbl>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440" w:type="dxa"/>
            <w:vAlign w:val="bottom"/>
          </w:tcPr>
          <w:p>
            <w:pPr>
              <w:spacing w:after="0"/>
              <w:rPr>
                <w:sz w:val="14"/>
                <w:szCs w:val="14"/>
                <w:color w:val="auto"/>
              </w:rPr>
            </w:pPr>
          </w:p>
        </w:tc>
        <w:tc>
          <w:tcPr>
            <w:tcW w:w="510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Capacity</w:t>
            </w:r>
          </w:p>
        </w:tc>
        <w:tc>
          <w:tcPr>
            <w:tcW w:w="420" w:type="dxa"/>
            <w:vAlign w:val="bottom"/>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42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MARVIN RUSH</w:t>
            </w:r>
          </w:p>
        </w:tc>
        <w:tc>
          <w:tcPr>
            <w:tcW w:w="4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1600" w:type="dxa"/>
            <w:vAlign w:val="bottom"/>
          </w:tcPr>
          <w:p>
            <w:pPr>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W. Marvin Rush</w:t>
            </w:r>
          </w:p>
        </w:tc>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 “RUSTY” RUSH</w:t>
            </w:r>
          </w:p>
        </w:tc>
        <w:tc>
          <w:tcPr>
            <w:tcW w:w="4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600" w:type="dxa"/>
            <w:vAlign w:val="bottom"/>
          </w:tcPr>
          <w:p>
            <w:pPr>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W. M. “Rusty” Rush</w:t>
            </w:r>
          </w:p>
        </w:tc>
        <w:tc>
          <w:tcPr>
            <w:tcW w:w="4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160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4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600" w:type="dxa"/>
            <w:vAlign w:val="bottom"/>
          </w:tcPr>
          <w:p>
            <w:pPr>
              <w:spacing w:after="0"/>
              <w:rPr>
                <w:sz w:val="20"/>
                <w:szCs w:val="20"/>
                <w:color w:val="auto"/>
              </w:rPr>
            </w:pPr>
            <w:r>
              <w:rPr>
                <w:rFonts w:ascii="Arial" w:cs="Arial" w:eastAsia="Arial" w:hAnsi="Arial"/>
                <w:sz w:val="18"/>
                <w:szCs w:val="18"/>
                <w:color w:val="auto"/>
              </w:rPr>
              <w:t>March 15, 2007</w:t>
            </w:r>
          </w:p>
        </w:tc>
      </w:tr>
      <w:tr>
        <w:trPr>
          <w:trHeight w:val="195"/>
        </w:trPr>
        <w:tc>
          <w:tcPr>
            <w:tcW w:w="38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440" w:type="dxa"/>
            <w:vAlign w:val="bottom"/>
          </w:tcPr>
          <w:p>
            <w:pPr>
              <w:spacing w:after="0"/>
              <w:rPr>
                <w:sz w:val="16"/>
                <w:szCs w:val="16"/>
                <w:color w:val="auto"/>
              </w:rPr>
            </w:pPr>
          </w:p>
        </w:tc>
        <w:tc>
          <w:tcPr>
            <w:tcW w:w="5520" w:type="dxa"/>
            <w:vAlign w:val="bottom"/>
            <w:gridSpan w:val="2"/>
          </w:tcPr>
          <w:p>
            <w:pPr>
              <w:spacing w:after="0" w:line="195" w:lineRule="exact"/>
              <w:rPr>
                <w:sz w:val="20"/>
                <w:szCs w:val="20"/>
                <w:color w:val="auto"/>
              </w:rPr>
            </w:pPr>
            <w:r>
              <w:rPr>
                <w:rFonts w:ascii="Arial" w:cs="Arial" w:eastAsia="Arial" w:hAnsi="Arial"/>
                <w:sz w:val="18"/>
                <w:szCs w:val="18"/>
                <w:color w:val="auto"/>
              </w:rPr>
              <w:t>Chief Financial Officer</w:t>
            </w:r>
          </w:p>
        </w:tc>
        <w:tc>
          <w:tcPr>
            <w:tcW w:w="1600" w:type="dxa"/>
            <w:vAlign w:val="bottom"/>
          </w:tcPr>
          <w:p>
            <w:pPr>
              <w:spacing w:after="0"/>
              <w:rPr>
                <w:sz w:val="16"/>
                <w:szCs w:val="16"/>
                <w:color w:val="auto"/>
              </w:rPr>
            </w:pPr>
          </w:p>
        </w:tc>
      </w:tr>
      <w:tr>
        <w:trPr>
          <w:trHeight w:val="230"/>
        </w:trPr>
        <w:tc>
          <w:tcPr>
            <w:tcW w:w="3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(Principal Financial Accounting Officer)</w:t>
            </w:r>
          </w:p>
        </w:tc>
        <w:tc>
          <w:tcPr>
            <w:tcW w:w="1600" w:type="dxa"/>
            <w:vAlign w:val="bottom"/>
          </w:tcPr>
          <w:p>
            <w:pPr>
              <w:spacing w:after="0"/>
              <w:rPr>
                <w:sz w:val="20"/>
                <w:szCs w:val="20"/>
                <w:color w:val="auto"/>
              </w:rPr>
            </w:pPr>
          </w:p>
        </w:tc>
      </w:tr>
      <w:tr>
        <w:trPr>
          <w:trHeight w:val="43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A. AKIN</w:t>
            </w:r>
          </w:p>
        </w:tc>
        <w:tc>
          <w:tcPr>
            <w:tcW w:w="4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Thomas A. Akin</w:t>
            </w:r>
          </w:p>
        </w:tc>
        <w:tc>
          <w:tcPr>
            <w:tcW w:w="4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ectPr>
          <w:pgSz w:w="11900" w:h="16838" w:orient="portrait"/>
          <w:cols w:equalWidth="0" w:num="1">
            <w:col w:w="11420"/>
          </w:cols>
          <w:pgMar w:left="240" w:top="341"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KRAUSE</w:t>
            </w:r>
          </w:p>
        </w:tc>
        <w:tc>
          <w:tcPr>
            <w:tcW w:w="14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6200" w:type="dxa"/>
            <w:vAlign w:val="bottom"/>
          </w:tcPr>
          <w:p>
            <w:pPr>
              <w:ind w:left="4560"/>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Ronald J. Krause</w:t>
            </w:r>
          </w:p>
        </w:tc>
        <w:tc>
          <w:tcPr>
            <w:tcW w:w="1400" w:type="dxa"/>
            <w:vAlign w:val="bottom"/>
          </w:tcPr>
          <w:p>
            <w:pPr>
              <w:spacing w:after="0"/>
              <w:rPr>
                <w:sz w:val="19"/>
                <w:szCs w:val="19"/>
                <w:color w:val="auto"/>
              </w:rPr>
            </w:pPr>
          </w:p>
        </w:tc>
        <w:tc>
          <w:tcPr>
            <w:tcW w:w="620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D. MARSHALL</w:t>
            </w:r>
          </w:p>
        </w:tc>
        <w:tc>
          <w:tcPr>
            <w:tcW w:w="14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6200" w:type="dxa"/>
            <w:vAlign w:val="bottom"/>
          </w:tcPr>
          <w:p>
            <w:pPr>
              <w:ind w:left="4560"/>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Harold D. Marshall</w:t>
            </w:r>
          </w:p>
        </w:tc>
        <w:tc>
          <w:tcPr>
            <w:tcW w:w="1400" w:type="dxa"/>
            <w:vAlign w:val="bottom"/>
          </w:tcPr>
          <w:p>
            <w:pPr>
              <w:spacing w:after="0"/>
              <w:rPr>
                <w:sz w:val="19"/>
                <w:szCs w:val="19"/>
                <w:color w:val="auto"/>
              </w:rPr>
            </w:pPr>
          </w:p>
        </w:tc>
        <w:tc>
          <w:tcPr>
            <w:tcW w:w="6200" w:type="dxa"/>
            <w:vAlign w:val="bottom"/>
          </w:tcPr>
          <w:p>
            <w:pPr>
              <w:spacing w:after="0"/>
              <w:rPr>
                <w:sz w:val="19"/>
                <w:szCs w:val="19"/>
                <w:color w:val="auto"/>
              </w:rPr>
            </w:pPr>
          </w:p>
        </w:tc>
      </w:tr>
      <w:tr>
        <w:trPr>
          <w:trHeight w:val="41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ROCK</w:t>
            </w:r>
          </w:p>
        </w:tc>
        <w:tc>
          <w:tcPr>
            <w:tcW w:w="1400" w:type="dxa"/>
            <w:vAlign w:val="bottom"/>
          </w:tcPr>
          <w:p>
            <w:pPr>
              <w:ind w:left="440"/>
              <w:spacing w:after="0"/>
              <w:rPr>
                <w:sz w:val="20"/>
                <w:szCs w:val="20"/>
                <w:color w:val="auto"/>
              </w:rPr>
            </w:pPr>
            <w:r>
              <w:rPr>
                <w:rFonts w:ascii="Arial" w:cs="Arial" w:eastAsia="Arial" w:hAnsi="Arial"/>
                <w:sz w:val="18"/>
                <w:szCs w:val="18"/>
                <w:color w:val="auto"/>
              </w:rPr>
              <w:t>Director</w:t>
            </w:r>
          </w:p>
        </w:tc>
        <w:tc>
          <w:tcPr>
            <w:tcW w:w="6200" w:type="dxa"/>
            <w:vAlign w:val="bottom"/>
          </w:tcPr>
          <w:p>
            <w:pPr>
              <w:ind w:left="4560"/>
              <w:spacing w:after="0"/>
              <w:rPr>
                <w:sz w:val="20"/>
                <w:szCs w:val="20"/>
                <w:color w:val="auto"/>
              </w:rPr>
            </w:pPr>
            <w:r>
              <w:rPr>
                <w:rFonts w:ascii="Arial" w:cs="Arial" w:eastAsia="Arial" w:hAnsi="Arial"/>
                <w:sz w:val="18"/>
                <w:szCs w:val="18"/>
                <w:color w:val="auto"/>
              </w:rPr>
              <w:t>March 15, 2007</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John D. Rock</w:t>
            </w:r>
          </w:p>
        </w:tc>
        <w:tc>
          <w:tcPr>
            <w:tcW w:w="1400" w:type="dxa"/>
            <w:vAlign w:val="bottom"/>
          </w:tcPr>
          <w:p>
            <w:pPr>
              <w:spacing w:after="0"/>
              <w:rPr>
                <w:sz w:val="19"/>
                <w:szCs w:val="19"/>
                <w:color w:val="auto"/>
              </w:rPr>
            </w:pPr>
          </w:p>
        </w:tc>
        <w:tc>
          <w:tcPr>
            <w:tcW w:w="6200" w:type="dxa"/>
            <w:vAlign w:val="bottom"/>
          </w:tcPr>
          <w:p>
            <w:pPr>
              <w:spacing w:after="0"/>
              <w:rPr>
                <w:sz w:val="19"/>
                <w:szCs w:val="19"/>
                <w:color w:val="auto"/>
              </w:rPr>
            </w:pPr>
          </w:p>
        </w:tc>
      </w:tr>
      <w:tr>
        <w:trPr>
          <w:trHeight w:val="688"/>
        </w:trPr>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0" w:type="dxa"/>
            <w:vAlign w:val="bottom"/>
          </w:tcPr>
          <w:p>
            <w:pPr>
              <w:jc w:val="right"/>
              <w:ind w:right="5570"/>
              <w:spacing w:after="0"/>
              <w:rPr>
                <w:sz w:val="20"/>
                <w:szCs w:val="20"/>
                <w:color w:val="auto"/>
              </w:rPr>
            </w:pPr>
            <w:r>
              <w:rPr>
                <w:rFonts w:ascii="Arial" w:cs="Arial" w:eastAsia="Arial" w:hAnsi="Arial"/>
                <w:sz w:val="18"/>
                <w:szCs w:val="18"/>
                <w:color w:val="auto"/>
              </w:rPr>
              <w:t>77</w:t>
            </w:r>
          </w:p>
        </w:tc>
      </w:tr>
      <w:tr>
        <w:trPr>
          <w:trHeight w:val="375"/>
        </w:trPr>
        <w:tc>
          <w:tcPr>
            <w:tcW w:w="38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6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COMPANY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 of Incorporation</w:t>
            </w:r>
          </w:p>
        </w:tc>
        <w:tc>
          <w:tcPr>
            <w:tcW w:w="5340" w:type="dxa"/>
            <w:vAlign w:val="bottom"/>
          </w:tcPr>
          <w:p>
            <w:pPr>
              <w:ind w:left="1340"/>
              <w:spacing w:after="0"/>
              <w:rPr>
                <w:sz w:val="20"/>
                <w:szCs w:val="20"/>
                <w:color w:val="auto"/>
              </w:rPr>
            </w:pPr>
            <w:r>
              <w:rPr>
                <w:rFonts w:ascii="Arial" w:cs="Arial" w:eastAsia="Arial" w:hAnsi="Arial"/>
                <w:sz w:val="14"/>
                <w:szCs w:val="14"/>
                <w:b w:val="1"/>
                <w:bCs w:val="1"/>
                <w:color w:val="auto"/>
              </w:rPr>
              <w:t>Names Under Which SubsidiaryDoes Business</w:t>
            </w:r>
          </w:p>
        </w:tc>
        <w:tc>
          <w:tcPr>
            <w:tcW w:w="40" w:type="dxa"/>
            <w:vAlign w:val="bottom"/>
          </w:tcPr>
          <w:p>
            <w:pPr>
              <w:spacing w:after="0"/>
              <w:rPr>
                <w:sz w:val="14"/>
                <w:szCs w:val="14"/>
                <w:color w:val="auto"/>
              </w:rPr>
            </w:pPr>
          </w:p>
        </w:tc>
      </w:tr>
      <w:tr>
        <w:trPr>
          <w:trHeight w:val="195"/>
        </w:trPr>
        <w:tc>
          <w:tcPr>
            <w:tcW w:w="40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Truck Centers of Alabama, Inc.</w:t>
            </w:r>
          </w:p>
        </w:tc>
        <w:tc>
          <w:tcPr>
            <w:tcW w:w="2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Delaware</w:t>
            </w:r>
          </w:p>
        </w:tc>
        <w:tc>
          <w:tcPr>
            <w:tcW w:w="260" w:type="dxa"/>
            <w:vAlign w:val="bottom"/>
            <w:tcBorders>
              <w:top w:val="single" w:sz="8" w:color="CCEEFF"/>
            </w:tcBorders>
            <w:shd w:val="clear" w:color="auto" w:fill="CCEEFF"/>
          </w:tcPr>
          <w:p>
            <w:pPr>
              <w:spacing w:after="0"/>
              <w:rPr>
                <w:sz w:val="16"/>
                <w:szCs w:val="16"/>
                <w:color w:val="auto"/>
              </w:rPr>
            </w:pPr>
          </w:p>
        </w:tc>
        <w:tc>
          <w:tcPr>
            <w:tcW w:w="5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Truck Center, Mobile</w:t>
            </w:r>
          </w:p>
        </w:tc>
        <w:tc>
          <w:tcPr>
            <w:tcW w:w="40" w:type="dxa"/>
            <w:vAlign w:val="bottom"/>
          </w:tcPr>
          <w:p>
            <w:pPr>
              <w:spacing w:after="0"/>
              <w:rPr>
                <w:sz w:val="16"/>
                <w:szCs w:val="16"/>
                <w:color w:val="auto"/>
              </w:rPr>
            </w:pPr>
          </w:p>
        </w:tc>
      </w:tr>
      <w:tr>
        <w:trPr>
          <w:trHeight w:val="230"/>
        </w:trPr>
        <w:tc>
          <w:tcPr>
            <w:tcW w:w="4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Mobile</w:t>
            </w:r>
          </w:p>
        </w:tc>
        <w:tc>
          <w:tcPr>
            <w:tcW w:w="40" w:type="dxa"/>
            <w:vAlign w:val="bottom"/>
          </w:tcPr>
          <w:p>
            <w:pPr>
              <w:spacing w:after="0"/>
              <w:rPr>
                <w:sz w:val="20"/>
                <w:szCs w:val="20"/>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Rush Truck Centers of Arizona, Inc.</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tcPr>
          <w:p>
            <w:pPr>
              <w:spacing w:after="0" w:line="201" w:lineRule="exact"/>
              <w:rPr>
                <w:sz w:val="20"/>
                <w:szCs w:val="20"/>
                <w:color w:val="auto"/>
              </w:rPr>
            </w:pPr>
            <w:r>
              <w:rPr>
                <w:rFonts w:ascii="Arial" w:cs="Arial" w:eastAsia="Arial" w:hAnsi="Arial"/>
                <w:sz w:val="18"/>
                <w:szCs w:val="18"/>
                <w:color w:val="auto"/>
              </w:rPr>
              <w:t>Rush Truck Center, Phoenix</w:t>
            </w:r>
          </w:p>
        </w:tc>
        <w:tc>
          <w:tcPr>
            <w:tcW w:w="4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Phoenix</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Chandler</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Chandler</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Flagstaff</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Flagstaff</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Tucson</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Tucson</w:t>
            </w:r>
          </w:p>
        </w:tc>
        <w:tc>
          <w:tcPr>
            <w:tcW w:w="40" w:type="dxa"/>
            <w:vAlign w:val="bottom"/>
          </w:tcPr>
          <w:p>
            <w:pPr>
              <w:spacing w:after="0"/>
              <w:rPr>
                <w:sz w:val="20"/>
                <w:szCs w:val="20"/>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California, Inc.</w:t>
            </w: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Complete Rush Truck Centers</w:t>
            </w:r>
          </w:p>
        </w:tc>
        <w:tc>
          <w:tcPr>
            <w:tcW w:w="4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Fontana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Fontana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Pico Rivera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Pico Rivera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Fontana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Medium Duty Truck Center, Fontana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Fontana</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Sylmar</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Sylmar</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Escondido</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Escondido</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El Centro</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El Centro</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San Diego</w:t>
            </w:r>
          </w:p>
        </w:tc>
        <w:tc>
          <w:tcPr>
            <w:tcW w:w="4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San Diego</w:t>
            </w:r>
          </w:p>
        </w:tc>
        <w:tc>
          <w:tcPr>
            <w:tcW w:w="40" w:type="dxa"/>
            <w:vAlign w:val="bottom"/>
          </w:tcPr>
          <w:p>
            <w:pPr>
              <w:spacing w:after="0"/>
              <w:rPr>
                <w:sz w:val="20"/>
                <w:szCs w:val="20"/>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Rush Medium Duty Truck Centers of Colorado, Inc.</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tcPr>
          <w:p>
            <w:pPr>
              <w:spacing w:after="0" w:line="201" w:lineRule="exact"/>
              <w:rPr>
                <w:sz w:val="20"/>
                <w:szCs w:val="20"/>
                <w:color w:val="auto"/>
              </w:rPr>
            </w:pPr>
            <w:r>
              <w:rPr>
                <w:rFonts w:ascii="Arial" w:cs="Arial" w:eastAsia="Arial" w:hAnsi="Arial"/>
                <w:sz w:val="18"/>
                <w:szCs w:val="18"/>
                <w:color w:val="auto"/>
              </w:rPr>
              <w:t>Rush Medium Duty Truck Center, Denver</w:t>
            </w:r>
          </w:p>
        </w:tc>
        <w:tc>
          <w:tcPr>
            <w:tcW w:w="4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Medium Duty Ford Trucks, Denver</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Isuzu Trucks, Denver</w:t>
            </w:r>
          </w:p>
        </w:tc>
        <w:tc>
          <w:tcPr>
            <w:tcW w:w="40" w:type="dxa"/>
            <w:vAlign w:val="bottom"/>
          </w:tcPr>
          <w:p>
            <w:pPr>
              <w:spacing w:after="0"/>
              <w:rPr>
                <w:sz w:val="20"/>
                <w:szCs w:val="20"/>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Colorado, Inc.</w:t>
            </w: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Inc.</w:t>
            </w:r>
          </w:p>
        </w:tc>
        <w:tc>
          <w:tcPr>
            <w:tcW w:w="4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Denver</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Denver</w:t>
            </w:r>
          </w:p>
        </w:tc>
        <w:tc>
          <w:tcPr>
            <w:tcW w:w="4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Greeley</w:t>
            </w:r>
          </w:p>
        </w:tc>
        <w:tc>
          <w:tcPr>
            <w:tcW w:w="4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Greeley</w:t>
            </w:r>
          </w:p>
        </w:tc>
        <w:tc>
          <w:tcPr>
            <w:tcW w:w="40" w:type="dxa"/>
            <w:vAlign w:val="bottom"/>
          </w:tcPr>
          <w:p>
            <w:pPr>
              <w:spacing w:after="0"/>
              <w:rPr>
                <w:sz w:val="20"/>
                <w:szCs w:val="20"/>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Rush Truck Centers of Florida, Inc.</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tcPr>
          <w:p>
            <w:pPr>
              <w:spacing w:after="0" w:line="201" w:lineRule="exact"/>
              <w:rPr>
                <w:sz w:val="20"/>
                <w:szCs w:val="20"/>
                <w:color w:val="auto"/>
              </w:rPr>
            </w:pPr>
            <w:r>
              <w:rPr>
                <w:rFonts w:ascii="Arial" w:cs="Arial" w:eastAsia="Arial" w:hAnsi="Arial"/>
                <w:sz w:val="18"/>
                <w:szCs w:val="18"/>
                <w:color w:val="auto"/>
              </w:rPr>
              <w:t>Rush Isuzu Trucks, Orlando</w:t>
            </w:r>
          </w:p>
        </w:tc>
        <w:tc>
          <w:tcPr>
            <w:tcW w:w="4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Isuzu Trucks, Winter Garden</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Orlando</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Winter Garden</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Winter Garden</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Haines City</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Haines City</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Tampa</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Tampa</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Jacksonville</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Jacksonville</w:t>
            </w:r>
          </w:p>
        </w:tc>
        <w:tc>
          <w:tcPr>
            <w:tcW w:w="40" w:type="dxa"/>
            <w:vAlign w:val="bottom"/>
          </w:tcPr>
          <w:p>
            <w:pPr>
              <w:spacing w:after="0"/>
              <w:rPr>
                <w:sz w:val="20"/>
                <w:szCs w:val="20"/>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Georgia, Inc.</w:t>
            </w: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Medium Duty Truck Center, Atlanta</w:t>
            </w:r>
          </w:p>
        </w:tc>
        <w:tc>
          <w:tcPr>
            <w:tcW w:w="40" w:type="dxa"/>
            <w:vAlign w:val="bottom"/>
          </w:tcPr>
          <w:p>
            <w:pPr>
              <w:spacing w:after="0"/>
              <w:rPr>
                <w:sz w:val="17"/>
                <w:szCs w:val="17"/>
                <w:color w:val="auto"/>
              </w:rPr>
            </w:pPr>
          </w:p>
        </w:tc>
      </w:tr>
      <w:tr>
        <w:trPr>
          <w:trHeight w:val="230"/>
        </w:trPr>
        <w:tc>
          <w:tcPr>
            <w:tcW w:w="4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Atlanta</w:t>
            </w:r>
          </w:p>
        </w:tc>
        <w:tc>
          <w:tcPr>
            <w:tcW w:w="40" w:type="dxa"/>
            <w:vAlign w:val="bottom"/>
          </w:tcPr>
          <w:p>
            <w:pPr>
              <w:spacing w:after="0"/>
              <w:rPr>
                <w:sz w:val="20"/>
                <w:szCs w:val="20"/>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Rush Truck Centers of New Mexico, Inc.</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Delaware</w:t>
            </w:r>
          </w:p>
        </w:tc>
        <w:tc>
          <w:tcPr>
            <w:tcW w:w="5340" w:type="dxa"/>
            <w:vAlign w:val="bottom"/>
          </w:tcPr>
          <w:p>
            <w:pPr>
              <w:spacing w:after="0" w:line="201" w:lineRule="exact"/>
              <w:rPr>
                <w:sz w:val="20"/>
                <w:szCs w:val="20"/>
                <w:color w:val="auto"/>
              </w:rPr>
            </w:pPr>
            <w:r>
              <w:rPr>
                <w:rFonts w:ascii="Arial" w:cs="Arial" w:eastAsia="Arial" w:hAnsi="Arial"/>
                <w:sz w:val="18"/>
                <w:szCs w:val="18"/>
                <w:color w:val="auto"/>
              </w:rPr>
              <w:t>Rush Truck Center, Albuquerque</w:t>
            </w:r>
          </w:p>
        </w:tc>
        <w:tc>
          <w:tcPr>
            <w:tcW w:w="4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Albuquerque</w:t>
            </w:r>
          </w:p>
        </w:tc>
        <w:tc>
          <w:tcPr>
            <w:tcW w:w="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Truck Center, Las Cruces</w:t>
            </w:r>
          </w:p>
        </w:tc>
        <w:tc>
          <w:tcPr>
            <w:tcW w:w="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Rush Peterbilt Truck Center, Las Cruces</w:t>
            </w:r>
          </w:p>
        </w:tc>
        <w:tc>
          <w:tcPr>
            <w:tcW w:w="40" w:type="dxa"/>
            <w:vAlign w:val="bottom"/>
          </w:tcPr>
          <w:p>
            <w:pPr>
              <w:spacing w:after="0"/>
              <w:rPr>
                <w:sz w:val="20"/>
                <w:szCs w:val="20"/>
                <w:color w:val="auto"/>
              </w:rPr>
            </w:pPr>
          </w:p>
        </w:tc>
      </w:tr>
      <w:tr>
        <w:trPr>
          <w:trHeight w:val="591"/>
        </w:trPr>
        <w:tc>
          <w:tcPr>
            <w:tcW w:w="4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Oklahoma, Inc.</w:t>
            </w:r>
          </w:p>
        </w:tc>
        <w:tc>
          <w:tcPr>
            <w:tcW w:w="2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Ardmore</w:t>
            </w:r>
          </w:p>
        </w:tc>
        <w:tc>
          <w:tcPr>
            <w:tcW w:w="40" w:type="dxa"/>
            <w:vAlign w:val="bottom"/>
          </w:tcPr>
          <w:p>
            <w:pPr>
              <w:spacing w:after="0"/>
              <w:rPr>
                <w:sz w:val="17"/>
                <w:szCs w:val="17"/>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Oklahoma City</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Tulsa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Ardmore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Oklahoma City</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Tulsa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Volvo Truck Center, Oklahoma City</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Volvo Truck Center, Tulsa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Used Truck Center, Tulsa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Rigging</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Perfection Equipment</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Perfection Truck Parts &amp; Equipment, Oklahoma City</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Perfection Truck Parts &amp; Equipment, Tulsa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Translease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Oklahoma Trucks, Inc.</w:t>
            </w:r>
          </w:p>
        </w:tc>
        <w:tc>
          <w:tcPr>
            <w:tcW w:w="40" w:type="dxa"/>
            <w:vAlign w:val="bottom"/>
          </w:tcPr>
          <w:p>
            <w:pPr>
              <w:spacing w:after="0"/>
              <w:rPr>
                <w:sz w:val="18"/>
                <w:szCs w:val="18"/>
                <w:color w:val="auto"/>
              </w:rPr>
            </w:pPr>
          </w:p>
        </w:tc>
      </w:tr>
      <w:tr>
        <w:trPr>
          <w:trHeight w:val="230"/>
        </w:trPr>
        <w:tc>
          <w:tcPr>
            <w:tcW w:w="35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Tulsa Trucks, Inc.</w:t>
            </w:r>
          </w:p>
        </w:tc>
        <w:tc>
          <w:tcPr>
            <w:tcW w:w="40" w:type="dxa"/>
            <w:vAlign w:val="bottom"/>
          </w:tcPr>
          <w:p>
            <w:pPr>
              <w:spacing w:after="0"/>
              <w:rPr>
                <w:sz w:val="20"/>
                <w:szCs w:val="20"/>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Rush Truck Centers of Tennessee, Inc.</w:t>
            </w:r>
          </w:p>
        </w:tc>
        <w:tc>
          <w:tcPr>
            <w:tcW w:w="2000" w:type="dxa"/>
            <w:vAlign w:val="bottom"/>
          </w:tcPr>
          <w:p>
            <w:pPr>
              <w:ind w:left="760"/>
              <w:spacing w:after="0" w:line="201" w:lineRule="exact"/>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line="201" w:lineRule="exact"/>
              <w:rPr>
                <w:sz w:val="20"/>
                <w:szCs w:val="20"/>
                <w:color w:val="auto"/>
              </w:rPr>
            </w:pPr>
            <w:r>
              <w:rPr>
                <w:rFonts w:ascii="Arial" w:cs="Arial" w:eastAsia="Arial" w:hAnsi="Arial"/>
                <w:sz w:val="18"/>
                <w:szCs w:val="18"/>
                <w:color w:val="auto"/>
              </w:rPr>
              <w:t>Rush Truck Center, Nashville</w:t>
            </w:r>
          </w:p>
        </w:tc>
        <w:tc>
          <w:tcPr>
            <w:tcW w:w="4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60" w:type="dxa"/>
            <w:vAlign w:val="bottom"/>
          </w:tcPr>
          <w:p>
            <w:pPr>
              <w:ind w:left="560"/>
              <w:spacing w:after="0"/>
              <w:rPr>
                <w:sz w:val="20"/>
                <w:szCs w:val="20"/>
                <w:color w:val="auto"/>
              </w:rPr>
            </w:pPr>
            <w:r>
              <w:rPr>
                <w:rFonts w:ascii="Arial" w:cs="Arial" w:eastAsia="Arial" w:hAnsi="Arial"/>
                <w:sz w:val="18"/>
                <w:szCs w:val="18"/>
                <w:color w:val="auto"/>
              </w:rPr>
              <w:t>Rush Peterbilt Truck Center, Nashville</w:t>
            </w:r>
          </w:p>
        </w:tc>
        <w:tc>
          <w:tcPr>
            <w:tcW w:w="40" w:type="dxa"/>
            <w:vAlign w:val="bottom"/>
          </w:tcPr>
          <w:p>
            <w:pPr>
              <w:spacing w:after="0"/>
              <w:rPr>
                <w:sz w:val="20"/>
                <w:szCs w:val="20"/>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Texas, L.P.</w:t>
            </w:r>
          </w:p>
        </w:tc>
        <w:tc>
          <w:tcPr>
            <w:tcW w:w="2000" w:type="dxa"/>
            <w:vAlign w:val="bottom"/>
            <w:shd w:val="clear" w:color="auto" w:fill="CCEEFF"/>
          </w:tcPr>
          <w:p>
            <w:pPr>
              <w:ind w:left="760"/>
              <w:spacing w:after="0" w:line="201" w:lineRule="exact"/>
              <w:rPr>
                <w:sz w:val="20"/>
                <w:szCs w:val="20"/>
                <w:color w:val="auto"/>
              </w:rPr>
            </w:pPr>
            <w:r>
              <w:rPr>
                <w:rFonts w:ascii="Arial" w:cs="Arial" w:eastAsia="Arial" w:hAnsi="Arial"/>
                <w:sz w:val="18"/>
                <w:szCs w:val="18"/>
                <w:color w:val="auto"/>
              </w:rPr>
              <w:t>Texas</w:t>
            </w:r>
          </w:p>
        </w:tc>
        <w:tc>
          <w:tcPr>
            <w:tcW w:w="58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Houston Peterbilt, Inc.</w:t>
            </w:r>
          </w:p>
        </w:tc>
        <w:tc>
          <w:tcPr>
            <w:tcW w:w="40" w:type="dxa"/>
            <w:vAlign w:val="bottom"/>
          </w:tcPr>
          <w:p>
            <w:pPr>
              <w:spacing w:after="0"/>
              <w:rPr>
                <w:sz w:val="17"/>
                <w:szCs w:val="17"/>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Laredo Peterbilt, Inc.</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Lufkin Peterbilt, Inc.</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GMC Truck Center of El Paso, Inc.</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Austin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Texarkana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Isuzu Trucks, Waco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Medium Duty Truck Center, Dallas</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Medium Duty Truck Center, Waco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Abilene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Alice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Austin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Dallas</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El Paso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Fort Worth</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Houston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ush Peterbilt Truck Center, Laredo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Lufkin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Pharr</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San Antonio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Sealy</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Texarkana</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Tyler</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Peterbilt Truck Center, Waco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Abilene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Alice</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Austin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Dallas</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El Paso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Fort Worth</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Houston</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Laredo</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Lufkin Rush Truck Center, Pharr</w:t>
            </w:r>
          </w:p>
        </w:tc>
        <w:tc>
          <w:tcPr>
            <w:tcW w:w="40" w:type="dxa"/>
            <w:vAlign w:val="bottom"/>
          </w:tcPr>
          <w:p>
            <w:pPr>
              <w:spacing w:after="0"/>
              <w:rPr>
                <w:sz w:val="18"/>
                <w:szCs w:val="18"/>
                <w:color w:val="auto"/>
              </w:rPr>
            </w:pPr>
          </w:p>
        </w:tc>
      </w:tr>
      <w:tr>
        <w:trPr>
          <w:trHeight w:val="230"/>
        </w:trPr>
        <w:tc>
          <w:tcPr>
            <w:tcW w:w="35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Rush Truck Center, San Antonio</w:t>
            </w:r>
          </w:p>
        </w:tc>
        <w:tc>
          <w:tcPr>
            <w:tcW w:w="40" w:type="dxa"/>
            <w:vAlign w:val="bottom"/>
          </w:tcPr>
          <w:p>
            <w:pPr>
              <w:spacing w:after="0"/>
              <w:rPr>
                <w:sz w:val="20"/>
                <w:szCs w:val="20"/>
                <w:color w:val="auto"/>
              </w:rPr>
            </w:pPr>
          </w:p>
        </w:tc>
      </w:tr>
      <w:tr>
        <w:trPr>
          <w:trHeight w:val="591"/>
        </w:trPr>
        <w:tc>
          <w:tcPr>
            <w:tcW w:w="356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5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Truck Center, Sealy</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Truck Center, Texarkana</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Truck Center, Tyler</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Used Truck Center, Austin</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Crane and Refuse Systems International</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San Antonio Peterbilt, Inc.</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San Antonio Peterbilt-GMC Truck, Inc.</w:t>
            </w:r>
          </w:p>
        </w:tc>
      </w:tr>
      <w:tr>
        <w:trPr>
          <w:trHeight w:val="216"/>
        </w:trPr>
        <w:tc>
          <w:tcPr>
            <w:tcW w:w="37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Translease</w:t>
            </w:r>
          </w:p>
        </w:tc>
      </w:tr>
      <w:tr>
        <w:trPr>
          <w:trHeight w:val="230"/>
        </w:trPr>
        <w:tc>
          <w:tcPr>
            <w:tcW w:w="37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World Wide Tires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Rig Tough, Inc.</w:t>
            </w:r>
          </w:p>
        </w:tc>
        <w:tc>
          <w:tcPr>
            <w:tcW w:w="192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of Albuquerque, Inc.</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New Mexico</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GMC Truck Center of El Paso, Inc.</w:t>
            </w:r>
          </w:p>
        </w:tc>
        <w:tc>
          <w:tcPr>
            <w:tcW w:w="192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Phoenix, Inc.</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GMC Truck Center of San Diego, Inc.</w:t>
            </w:r>
          </w:p>
        </w:tc>
        <w:tc>
          <w:tcPr>
            <w:tcW w:w="192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Tucson, Inc.</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1920" w:type="dxa"/>
            <w:vAlign w:val="bottom"/>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tcPr>
          <w:p>
            <w:pPr>
              <w:ind w:left="440"/>
              <w:spacing w:after="0"/>
              <w:rPr>
                <w:sz w:val="20"/>
                <w:szCs w:val="20"/>
                <w:color w:val="auto"/>
              </w:rPr>
            </w:pPr>
            <w:r>
              <w:rPr>
                <w:rFonts w:ascii="Arial" w:cs="Arial" w:eastAsia="Arial" w:hAnsi="Arial"/>
                <w:sz w:val="18"/>
                <w:szCs w:val="18"/>
                <w:color w:val="auto"/>
              </w:rPr>
              <w:t>Chrome Country, Inc.</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Rush Truck Leasing, Inc.</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Delaware</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Crane Systems</w:t>
            </w:r>
          </w:p>
        </w:tc>
      </w:tr>
    </w:tbl>
    <w:p>
      <w:pPr>
        <w:sectPr>
          <w:pgSz w:w="11900" w:h="16838" w:orient="portrait"/>
          <w:cols w:equalWidth="0" w:num="1">
            <w:col w:w="11460"/>
          </w:cols>
          <w:pgMar w:left="240" w:top="134" w:right="19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 Equipment Centers of Texas,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rPr>
                <w:sz w:val="20"/>
                <w:szCs w:val="20"/>
                <w:color w:val="auto"/>
              </w:rPr>
            </w:pPr>
            <w:r>
              <w:rPr>
                <w:rFonts w:ascii="Arial" w:cs="Arial" w:eastAsia="Arial" w:hAnsi="Arial"/>
                <w:sz w:val="18"/>
                <w:szCs w:val="18"/>
                <w:color w:val="auto"/>
              </w:rPr>
              <w:t>Rush Equipment Center, Houston</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60" w:type="dxa"/>
            <w:vAlign w:val="bottom"/>
          </w:tcPr>
          <w:p>
            <w:pPr>
              <w:ind w:left="560"/>
              <w:spacing w:after="0"/>
              <w:rPr>
                <w:sz w:val="20"/>
                <w:szCs w:val="20"/>
                <w:color w:val="auto"/>
              </w:rPr>
            </w:pPr>
            <w:r>
              <w:rPr>
                <w:rFonts w:ascii="Arial" w:cs="Arial" w:eastAsia="Arial" w:hAnsi="Arial"/>
                <w:sz w:val="18"/>
                <w:szCs w:val="18"/>
                <w:color w:val="auto"/>
              </w:rPr>
              <w:t>Rush Equipment Rental Center, San Antonio</w:t>
            </w:r>
          </w:p>
        </w:tc>
        <w:tc>
          <w:tcPr>
            <w:tcW w:w="40" w:type="dxa"/>
            <w:vAlign w:val="bottom"/>
          </w:tcPr>
          <w:p>
            <w:pPr>
              <w:spacing w:after="0"/>
              <w:rPr>
                <w:sz w:val="20"/>
                <w:szCs w:val="20"/>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Rushtex,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Rushco,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Rush Administrative Services,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General Agency</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Texas</w:t>
            </w: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Los Cuernos,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rPr>
                <w:sz w:val="20"/>
                <w:szCs w:val="20"/>
                <w:color w:val="auto"/>
              </w:rPr>
            </w:pPr>
            <w:r>
              <w:rPr>
                <w:rFonts w:ascii="Arial" w:cs="Arial" w:eastAsia="Arial" w:hAnsi="Arial"/>
                <w:sz w:val="18"/>
                <w:szCs w:val="18"/>
                <w:color w:val="auto"/>
              </w:rPr>
              <w:t>Los Cuernos Ranch</w:t>
            </w:r>
          </w:p>
        </w:tc>
        <w:tc>
          <w:tcPr>
            <w:tcW w:w="4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AiRush, Inc.</w:t>
            </w:r>
          </w:p>
        </w:tc>
        <w:tc>
          <w:tcPr>
            <w:tcW w:w="1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9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5860" w:type="dxa"/>
            <w:vAlign w:val="bottom"/>
          </w:tcPr>
          <w:p>
            <w:pPr>
              <w:ind w:left="5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1225"/>
        </w:trPr>
        <w:tc>
          <w:tcPr>
            <w:tcW w:w="358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5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(Forms S-8 No. 333-138556; No. 333-138557; No. 333-07043; No. 333-70451; No. 333-117305; No. 333-121355) of our reports dated March 12, 2007, with respect to the consolidated financial statements of Rush Enterprises, Inc. and subsidiaries, Rush Enterprises, Inc. and subsidiaries management’s assessment of the effectiveness of internal control over financial reporting, and the effectiveness of internal control over financial reporting of Rush Enterprises, Inc. included in this Annual Report (Form 10-K) for the year ended December 31,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7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73"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73"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800"/>
              <w:spacing w:after="0"/>
              <w:rPr>
                <w:sz w:val="20"/>
                <w:szCs w:val="20"/>
                <w:color w:val="auto"/>
              </w:rPr>
            </w:pPr>
            <w:r>
              <w:rPr>
                <w:rFonts w:ascii="Arial" w:cs="Arial" w:eastAsia="Arial" w:hAnsi="Arial"/>
                <w:sz w:val="18"/>
                <w:szCs w:val="18"/>
                <w:color w:val="auto"/>
              </w:rPr>
              <w:t>Date: March 15, 2007</w:t>
            </w:r>
          </w:p>
        </w:tc>
        <w:tc>
          <w:tcPr>
            <w:tcW w:w="7720" w:type="dxa"/>
            <w:vAlign w:val="bottom"/>
            <w:gridSpan w:val="2"/>
          </w:tcPr>
          <w:p>
            <w:pPr>
              <w:ind w:left="1340"/>
              <w:spacing w:after="0"/>
              <w:rPr>
                <w:sz w:val="20"/>
                <w:szCs w:val="20"/>
                <w:color w:val="auto"/>
              </w:rPr>
            </w:pPr>
            <w:r>
              <w:rPr>
                <w:rFonts w:ascii="Arial" w:cs="Arial" w:eastAsia="Arial" w:hAnsi="Arial"/>
                <w:sz w:val="18"/>
                <w:szCs w:val="18"/>
                <w:color w:val="auto"/>
              </w:rPr>
              <w:t>By:  /S/ W. M. “RUSTY” RUSH</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 “RUSTY” Rush</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807"/>
        </w:trPr>
        <w:tc>
          <w:tcPr>
            <w:tcW w:w="370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5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8" w:name="page59"/>
    <w:bookmarkEnd w:id="5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3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73"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73"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jc w:val="right"/>
              <w:ind w:right="2810"/>
              <w:spacing w:after="0"/>
              <w:rPr>
                <w:sz w:val="20"/>
                <w:szCs w:val="20"/>
                <w:color w:val="auto"/>
              </w:rPr>
            </w:pPr>
            <w:r>
              <w:rPr>
                <w:rFonts w:ascii="Arial" w:cs="Arial" w:eastAsia="Arial" w:hAnsi="Arial"/>
                <w:sz w:val="18"/>
                <w:szCs w:val="18"/>
                <w:b w:val="1"/>
                <w:bCs w:val="1"/>
                <w:color w:val="auto"/>
              </w:rPr>
              <w:t>Date: March 15, 2007</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By: /S/ MARTIN A. NAEGELIN, JR.</w:t>
            </w:r>
          </w:p>
        </w:tc>
        <w:tc>
          <w:tcPr>
            <w:tcW w:w="2300" w:type="dxa"/>
            <w:vAlign w:val="bottom"/>
          </w:tcPr>
          <w:p>
            <w:pPr>
              <w:spacing w:after="0"/>
              <w:rPr>
                <w:sz w:val="18"/>
                <w:szCs w:val="18"/>
                <w:color w:val="auto"/>
              </w:rPr>
            </w:pPr>
          </w:p>
        </w:tc>
      </w:tr>
      <w:tr>
        <w:trPr>
          <w:trHeight w:val="195"/>
        </w:trPr>
        <w:tc>
          <w:tcPr>
            <w:tcW w:w="5200" w:type="dxa"/>
            <w:vAlign w:val="bottom"/>
          </w:tcPr>
          <w:p>
            <w:pPr>
              <w:jc w:val="right"/>
              <w:ind w:right="5050"/>
              <w:spacing w:after="0" w:line="195" w:lineRule="exact"/>
              <w:rPr>
                <w:sz w:val="20"/>
                <w:szCs w:val="20"/>
                <w:color w:val="auto"/>
              </w:rPr>
            </w:pPr>
            <w:r>
              <w:rPr>
                <w:rFonts w:ascii="Arial" w:cs="Arial" w:eastAsia="Arial" w:hAnsi="Arial"/>
                <w:sz w:val="18"/>
                <w:szCs w:val="18"/>
                <w:color w:val="auto"/>
                <w:w w:val="78"/>
              </w:rPr>
              <w:t>.</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230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30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300" w:type="dxa"/>
            <w:vAlign w:val="bottom"/>
          </w:tcPr>
          <w:p>
            <w:pPr>
              <w:spacing w:after="0"/>
              <w:rPr>
                <w:sz w:val="20"/>
                <w:szCs w:val="20"/>
                <w:color w:val="auto"/>
              </w:rPr>
            </w:pPr>
          </w:p>
        </w:tc>
      </w:tr>
      <w:tr>
        <w:trPr>
          <w:trHeight w:val="591"/>
        </w:trPr>
        <w:tc>
          <w:tcPr>
            <w:tcW w:w="520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9" w:name="page60"/>
    <w:bookmarkEnd w:id="59"/>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2006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80" w:hanging="724"/>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20" w:hanging="4"/>
        <w:spacing w:after="0" w:line="277"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ind w:left="32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W. M. “RUSTY” RUSH</w:t>
            </w:r>
          </w:p>
        </w:tc>
        <w:tc>
          <w:tcPr>
            <w:tcW w:w="5580" w:type="dxa"/>
            <w:vAlign w:val="bottom"/>
          </w:tcPr>
          <w:p>
            <w:pPr>
              <w:spacing w:after="0"/>
              <w:rPr>
                <w:sz w:val="17"/>
                <w:szCs w:val="17"/>
                <w:color w:val="auto"/>
              </w:rPr>
            </w:pPr>
          </w:p>
        </w:tc>
      </w:tr>
      <w:tr>
        <w:trPr>
          <w:trHeight w:val="222"/>
        </w:trPr>
        <w:tc>
          <w:tcPr>
            <w:tcW w:w="11460" w:type="dxa"/>
            <w:vAlign w:val="bottom"/>
            <w:gridSpan w:val="4"/>
          </w:tcPr>
          <w:p>
            <w:pPr>
              <w:ind w:left="3240"/>
              <w:spacing w:after="0"/>
              <w:rPr>
                <w:sz w:val="20"/>
                <w:szCs w:val="20"/>
                <w:color w:val="auto"/>
              </w:rPr>
            </w:pPr>
            <w:r>
              <w:rPr>
                <w:rFonts w:ascii="Arial" w:cs="Arial" w:eastAsia="Arial" w:hAnsi="Arial"/>
                <w:sz w:val="18"/>
                <w:szCs w:val="18"/>
                <w:color w:val="auto"/>
              </w:rPr>
              <w:t>Name: W. M. “Rusty” Rush</w:t>
            </w:r>
          </w:p>
        </w:tc>
      </w:tr>
      <w:tr>
        <w:trPr>
          <w:trHeight w:val="216"/>
        </w:trPr>
        <w:tc>
          <w:tcPr>
            <w:tcW w:w="11460" w:type="dxa"/>
            <w:vAlign w:val="bottom"/>
            <w:gridSpan w:val="4"/>
          </w:tcPr>
          <w:p>
            <w:pPr>
              <w:ind w:left="3240"/>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3720" w:type="dxa"/>
            <w:vAlign w:val="bottom"/>
          </w:tcPr>
          <w:p>
            <w:pPr>
              <w:ind w:left="3240"/>
              <w:spacing w:after="0"/>
              <w:rPr>
                <w:sz w:val="20"/>
                <w:szCs w:val="20"/>
                <w:color w:val="auto"/>
              </w:rPr>
            </w:pPr>
            <w:r>
              <w:rPr>
                <w:rFonts w:ascii="Arial" w:cs="Arial" w:eastAsia="Arial" w:hAnsi="Arial"/>
                <w:sz w:val="18"/>
                <w:szCs w:val="18"/>
                <w:color w:val="auto"/>
              </w:rPr>
              <w:t>Date:</w:t>
            </w:r>
          </w:p>
        </w:tc>
        <w:tc>
          <w:tcPr>
            <w:tcW w:w="7740" w:type="dxa"/>
            <w:vAlign w:val="bottom"/>
            <w:gridSpan w:val="3"/>
          </w:tcPr>
          <w:p>
            <w:pPr>
              <w:ind w:left="100"/>
              <w:spacing w:after="0"/>
              <w:rPr>
                <w:sz w:val="20"/>
                <w:szCs w:val="20"/>
                <w:color w:val="auto"/>
              </w:rPr>
            </w:pPr>
            <w:r>
              <w:rPr>
                <w:rFonts w:ascii="Arial" w:cs="Arial" w:eastAsia="Arial" w:hAnsi="Arial"/>
                <w:sz w:val="18"/>
                <w:szCs w:val="18"/>
                <w:color w:val="auto"/>
              </w:rPr>
              <w:t>March 15, 2007</w:t>
            </w:r>
          </w:p>
        </w:tc>
      </w:tr>
      <w:tr>
        <w:trPr>
          <w:trHeight w:val="807"/>
        </w:trPr>
        <w:tc>
          <w:tcPr>
            <w:tcW w:w="37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2006 as filed with the Securities and Exchange Commission on the date hereof (the “Report”),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80" w:hanging="724"/>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380" w:hanging="4"/>
        <w:spacing w:after="0" w:line="277"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A. NAEGELIN,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-10160</wp:posOffset>
            </wp:positionV>
            <wp:extent cx="17926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Martin A. Naegeli</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Senior Vice President and 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Date:  March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1."/>
      <w:numFmt w:val="decimal"/>
      <w:start w:val="3"/>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1."/>
      <w:numFmt w:val="decimal"/>
      <w:start w:val="1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4"/>
    </w:lvl>
  </w:abstractNum>
  <w:abstractNum w:abstractNumId="21">
    <w:nsid w:val="71F32454"/>
    <w:multiLevelType w:val="hybridMultilevel"/>
    <w:lvl w:ilvl="0">
      <w:lvlJc w:val="left"/>
      <w:lvlText w:val="%1."/>
      <w:numFmt w:val="decimal"/>
      <w:start w:val="15"/>
    </w:lvl>
  </w:abstractNum>
  <w:abstractNum w:abstractNumId="22">
    <w:nsid w:val="2CA88611"/>
    <w:multiLevelType w:val="hybridMultilevel"/>
    <w:lvl w:ilvl="0">
      <w:lvlJc w:val="left"/>
      <w:lvlText w:val="%1."/>
      <w:numFmt w:val="decimal"/>
      <w:start w:val="16"/>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1."/>
      <w:numFmt w:val="decimal"/>
      <w:start w:val="18"/>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2019-12-11T23:50:48Z</dcterms:created>
  <dcterms:modified xsi:type="dcterms:W3CDTF">2019-12-11T23:50:48Z</dcterms:modified>
</cp:coreProperties>
</file>