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800" w:hanging="747"/>
        <w:spacing w:after="0"/>
        <w:tabs>
          <w:tab w:leader="none" w:pos="8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61" w:lineRule="exact"/>
        <w:rPr>
          <w:sz w:val="24"/>
          <w:szCs w:val="24"/>
          <w:color w:val="auto"/>
        </w:rPr>
      </w:pPr>
    </w:p>
    <w:p>
      <w:pPr>
        <w:ind w:right="1960" w:firstLine="8"/>
        <w:spacing w:after="0" w:line="563" w:lineRule="auto"/>
        <w:tabs>
          <w:tab w:leader="none" w:pos="1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41" w:right="239" w:bottom="684" w:gutter="0" w:footer="0" w:header="0"/>
        </w:sectPr>
      </w:pPr>
    </w:p>
    <w:p>
      <w:pPr>
        <w:spacing w:after="0" w:line="200" w:lineRule="exact"/>
        <w:rPr>
          <w:sz w:val="24"/>
          <w:szCs w:val="24"/>
          <w:color w:val="auto"/>
        </w:rPr>
      </w:pPr>
    </w:p>
    <w:p>
      <w:pPr>
        <w:spacing w:after="0" w:line="304"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540" w:space="720"/>
            <w:col w:w="4160"/>
          </w:cols>
          <w:pgMar w:left="240" w:top="441" w:right="239" w:bottom="684"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420"/>
          </w:cols>
          <w:pgMar w:left="240" w:top="441" w:right="239" w:bottom="684" w:gutter="0" w:footer="0" w:header="0"/>
          <w:type w:val="continuous"/>
        </w:sect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(830) 626-5200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331" w:lineRule="exact"/>
        <w:rPr>
          <w:sz w:val="24"/>
          <w:szCs w:val="24"/>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640"/>
        <w:spacing w:after="0"/>
        <w:tabs>
          <w:tab w:leader="none" w:pos="658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61" w:lineRule="exact"/>
        <w:rPr>
          <w:sz w:val="24"/>
          <w:szCs w:val="24"/>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30" w:lineRule="exact"/>
        <w:rPr>
          <w:sz w:val="24"/>
          <w:szCs w:val="24"/>
          <w:color w:val="auto"/>
        </w:rPr>
      </w:pPr>
    </w:p>
    <w:p>
      <w:pPr>
        <w:ind w:left="4640"/>
        <w:spacing w:after="0"/>
        <w:tabs>
          <w:tab w:leader="none" w:pos="658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79" w:lineRule="exact"/>
        <w:rPr>
          <w:sz w:val="24"/>
          <w:szCs w:val="24"/>
          <w:color w:val="auto"/>
        </w:rPr>
      </w:pPr>
    </w:p>
    <w:p>
      <w:pPr>
        <w:ind w:right="800" w:firstLine="648"/>
        <w:spacing w:after="0" w:line="31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1" w:right="239" w:bottom="684" w:gutter="0" w:footer="0" w:header="0"/>
          <w:type w:val="continuous"/>
        </w:sectPr>
      </w:pPr>
    </w:p>
    <w:p>
      <w:pPr>
        <w:spacing w:after="0" w:line="19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28" w:lineRule="exact"/>
        <w:rPr>
          <w:sz w:val="24"/>
          <w:szCs w:val="24"/>
          <w:color w:val="auto"/>
        </w:rPr>
      </w:pPr>
    </w:p>
    <w:p>
      <w:pPr>
        <w:sectPr>
          <w:pgSz w:w="11900" w:h="16838" w:orient="portrait"/>
          <w:cols w:equalWidth="0" w:num="2">
            <w:col w:w="5000" w:space="720"/>
            <w:col w:w="5700"/>
          </w:cols>
          <w:pgMar w:left="240" w:top="441" w:right="239" w:bottom="684"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34" w:lineRule="exact"/>
        <w:rPr>
          <w:sz w:val="24"/>
          <w:szCs w:val="24"/>
          <w:color w:val="auto"/>
        </w:rPr>
      </w:pPr>
    </w:p>
    <w:p>
      <w:pPr>
        <w:sectPr>
          <w:pgSz w:w="11900" w:h="16838" w:orient="portrait"/>
          <w:cols w:equalWidth="0" w:num="2">
            <w:col w:w="5000" w:space="720"/>
            <w:col w:w="5700"/>
          </w:cols>
          <w:pgMar w:left="240" w:top="441" w:right="239" w:bottom="684" w:gutter="0" w:footer="0" w:header="0"/>
          <w:type w:val="continuous"/>
        </w:sectPr>
      </w:pPr>
    </w:p>
    <w:p>
      <w:pPr>
        <w:spacing w:after="0" w:line="7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4660"/>
        <w:spacing w:after="0"/>
        <w:tabs>
          <w:tab w:leader="none" w:pos="656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7"/>
          <w:szCs w:val="17"/>
          <w:color w:val="auto"/>
        </w:rPr>
        <w:t>No [X]</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May 3, 2013.</w:t>
      </w:r>
    </w:p>
    <w:p>
      <w:pPr>
        <w:spacing w:after="0" w:line="27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r>
      <w:tr>
        <w:trPr>
          <w:trHeight w:val="194"/>
        </w:trPr>
        <w:tc>
          <w:tcPr>
            <w:tcW w:w="640" w:type="dxa"/>
            <w:vAlign w:val="bottom"/>
          </w:tcPr>
          <w:p>
            <w:pPr>
              <w:spacing w:after="0"/>
              <w:rPr>
                <w:sz w:val="16"/>
                <w:szCs w:val="16"/>
                <w:color w:val="auto"/>
              </w:rPr>
            </w:pPr>
          </w:p>
        </w:tc>
        <w:tc>
          <w:tcPr>
            <w:tcW w:w="6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Title of Class</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8"/>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28,651,968</w:t>
            </w:r>
          </w:p>
        </w:tc>
      </w:tr>
      <w:tr>
        <w:trPr>
          <w:trHeight w:val="234"/>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10,818,478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1" w:right="239" w:bottom="68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9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09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9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920" w:type="dxa"/>
            <w:vAlign w:val="bottom"/>
            <w:shd w:val="clear" w:color="auto" w:fill="C0FFFF"/>
          </w:tcPr>
          <w:p>
            <w:pPr>
              <w:ind w:left="640"/>
              <w:spacing w:after="0" w:line="198" w:lineRule="exact"/>
              <w:rPr>
                <w:sz w:val="20"/>
                <w:szCs w:val="20"/>
                <w:color w:val="auto"/>
              </w:rPr>
            </w:pPr>
            <w:r>
              <w:rPr>
                <w:rFonts w:ascii="Times New Roman" w:cs="Times New Roman" w:eastAsia="Times New Roman" w:hAnsi="Times New Roman"/>
                <w:sz w:val="18"/>
                <w:szCs w:val="18"/>
                <w:color w:val="auto"/>
              </w:rPr>
              <w:t>Item Financial Statements</w:t>
            </w:r>
          </w:p>
        </w:tc>
        <w:tc>
          <w:tcPr>
            <w:tcW w:w="3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920" w:type="dxa"/>
            <w:vAlign w:val="bottom"/>
            <w:shd w:val="clear" w:color="auto" w:fill="C0FFFF"/>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8"/>
                <w:szCs w:val="18"/>
                <w:color w:val="auto"/>
              </w:rPr>
              <w:t>Consolidated Balance Sheets - March 31, 2013 (unaudited) and December 31, 2012</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 For the Three Months Ended March 31, 2013 and 2012 (unaudited)</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8"/>
                <w:szCs w:val="18"/>
                <w:color w:val="auto"/>
              </w:rPr>
              <w:t>Consolidated Statements of Cash Flows - For the Three Months Ended March 31, 2013 and 2012 (unaudited)</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920" w:type="dxa"/>
            <w:vAlign w:val="bottom"/>
            <w:shd w:val="clear" w:color="auto" w:fill="C0FFFF"/>
          </w:tcPr>
          <w:p>
            <w:pPr>
              <w:ind w:left="480"/>
              <w:spacing w:after="0" w:line="198" w:lineRule="exact"/>
              <w:rPr>
                <w:sz w:val="20"/>
                <w:szCs w:val="20"/>
                <w:color w:val="auto"/>
              </w:rPr>
            </w:pPr>
            <w:r>
              <w:rPr>
                <w:rFonts w:ascii="Times New Roman" w:cs="Times New Roman" w:eastAsia="Times New Roman" w:hAnsi="Times New Roman"/>
                <w:sz w:val="18"/>
                <w:szCs w:val="18"/>
                <w:color w:val="auto"/>
              </w:rPr>
              <w:t>Item   Risk Factors</w:t>
            </w:r>
          </w:p>
        </w:tc>
        <w:tc>
          <w:tcPr>
            <w:tcW w:w="360" w:type="dxa"/>
            <w:vAlign w:val="bottom"/>
            <w:shd w:val="clear" w:color="auto" w:fill="C0FF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1A.</w:t>
            </w:r>
          </w:p>
        </w:tc>
        <w:tc>
          <w:tcPr>
            <w:tcW w:w="3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Item 6. Exhibits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36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109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9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4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MARCH 31, 2013 AND DECEMBER 31, 2012</w:t>
            </w:r>
          </w:p>
        </w:tc>
        <w:tc>
          <w:tcPr>
            <w:tcW w:w="6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0FFFF"/>
          </w:tcPr>
          <w:p>
            <w:pPr>
              <w:spacing w:after="0"/>
              <w:rPr>
                <w:sz w:val="19"/>
                <w:szCs w:val="19"/>
                <w:color w:val="auto"/>
              </w:rPr>
            </w:pPr>
          </w:p>
        </w:tc>
        <w:tc>
          <w:tcPr>
            <w:tcW w:w="1300" w:type="dxa"/>
            <w:vAlign w:val="bottom"/>
            <w:shd w:val="clear" w:color="auto" w:fill="C0FFFF"/>
          </w:tcPr>
          <w:p>
            <w:pPr>
              <w:spacing w:after="0"/>
              <w:rPr>
                <w:sz w:val="19"/>
                <w:szCs w:val="19"/>
                <w:color w:val="auto"/>
              </w:rPr>
            </w:pPr>
          </w:p>
        </w:tc>
        <w:tc>
          <w:tcPr>
            <w:tcW w:w="2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32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0FFFF"/>
          </w:tcPr>
          <w:p>
            <w:pPr>
              <w:spacing w:after="0" w:line="20" w:lineRule="exact"/>
              <w:rPr>
                <w:sz w:val="1"/>
                <w:szCs w:val="1"/>
                <w:color w:val="auto"/>
              </w:rPr>
            </w:pPr>
          </w:p>
        </w:tc>
        <w:tc>
          <w:tcPr>
            <w:tcW w:w="224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31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4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300" w:type="dxa"/>
            <w:vAlign w:val="bottom"/>
            <w:tcBorders>
              <w:top w:val="single" w:sz="8" w:color="C0FFFF"/>
            </w:tcBorders>
            <w:shd w:val="clear" w:color="auto" w:fill="C0FFFF"/>
          </w:tcPr>
          <w:p>
            <w:pPr>
              <w:spacing w:after="0" w:line="20" w:lineRule="exact"/>
              <w:rPr>
                <w:sz w:val="1"/>
                <w:szCs w:val="1"/>
                <w:color w:val="auto"/>
              </w:rPr>
            </w:pPr>
          </w:p>
        </w:tc>
        <w:tc>
          <w:tcPr>
            <w:tcW w:w="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205,049</w:t>
            </w:r>
          </w:p>
        </w:tc>
        <w:tc>
          <w:tcPr>
            <w:tcW w:w="120" w:type="dxa"/>
            <w:vAlign w:val="bottom"/>
            <w:shd w:val="clear" w:color="auto" w:fill="C0FFFF"/>
          </w:tcPr>
          <w:p>
            <w:pPr>
              <w:spacing w:after="0"/>
              <w:rPr>
                <w:sz w:val="18"/>
                <w:szCs w:val="18"/>
                <w:color w:val="auto"/>
              </w:rPr>
            </w:pPr>
          </w:p>
        </w:tc>
        <w:tc>
          <w:tcPr>
            <w:tcW w:w="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198,773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676,594</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690,953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0FFFF"/>
          </w:tcPr>
          <w:p>
            <w:pPr>
              <w:spacing w:after="0"/>
              <w:rPr>
                <w:sz w:val="19"/>
                <w:szCs w:val="19"/>
                <w:color w:val="auto"/>
              </w:rPr>
            </w:pPr>
          </w:p>
        </w:tc>
        <w:tc>
          <w:tcPr>
            <w:tcW w:w="1440" w:type="dxa"/>
            <w:vAlign w:val="bottom"/>
            <w:gridSpan w:val="3"/>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13,037</w:t>
            </w:r>
          </w:p>
        </w:tc>
        <w:tc>
          <w:tcPr>
            <w:tcW w:w="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14,630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0FFFF"/>
            </w:tcBorders>
          </w:tcPr>
          <w:p>
            <w:pPr>
              <w:spacing w:after="0"/>
              <w:rPr>
                <w:sz w:val="18"/>
                <w:szCs w:val="18"/>
                <w:color w:val="auto"/>
              </w:rPr>
            </w:pPr>
          </w:p>
        </w:tc>
        <w:tc>
          <w:tcPr>
            <w:tcW w:w="2240" w:type="dxa"/>
            <w:vAlign w:val="bottom"/>
            <w:tcBorders>
              <w:top w:val="single" w:sz="8" w:color="C0FFFF"/>
            </w:tcBorders>
          </w:tcPr>
          <w:p>
            <w:pPr>
              <w:spacing w:after="0"/>
              <w:rPr>
                <w:sz w:val="18"/>
                <w:szCs w:val="18"/>
                <w:color w:val="auto"/>
              </w:rPr>
            </w:pPr>
          </w:p>
        </w:tc>
        <w:tc>
          <w:tcPr>
            <w:tcW w:w="98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31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4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981,304</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1,006,059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627,261</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622,112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198,282</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198,257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0FFFF"/>
          </w:tcPr>
          <w:p>
            <w:pPr>
              <w:spacing w:after="0"/>
              <w:rPr>
                <w:sz w:val="19"/>
                <w:szCs w:val="19"/>
                <w:color w:val="auto"/>
              </w:rPr>
            </w:pPr>
          </w:p>
        </w:tc>
        <w:tc>
          <w:tcPr>
            <w:tcW w:w="1440" w:type="dxa"/>
            <w:vAlign w:val="bottom"/>
            <w:gridSpan w:val="3"/>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47,840</w:t>
            </w:r>
          </w:p>
        </w:tc>
        <w:tc>
          <w:tcPr>
            <w:tcW w:w="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48,510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0FFFF"/>
            </w:tcBorders>
          </w:tcPr>
          <w:p>
            <w:pPr>
              <w:spacing w:after="0"/>
              <w:rPr>
                <w:sz w:val="18"/>
                <w:szCs w:val="18"/>
                <w:color w:val="auto"/>
              </w:rPr>
            </w:pPr>
          </w:p>
        </w:tc>
        <w:tc>
          <w:tcPr>
            <w:tcW w:w="2240" w:type="dxa"/>
            <w:vAlign w:val="bottom"/>
            <w:tcBorders>
              <w:top w:val="single" w:sz="8" w:color="C0FFFF"/>
            </w:tcBorders>
          </w:tcPr>
          <w:p>
            <w:pPr>
              <w:spacing w:after="0"/>
              <w:rPr>
                <w:sz w:val="18"/>
                <w:szCs w:val="18"/>
                <w:color w:val="auto"/>
              </w:rPr>
            </w:pPr>
          </w:p>
        </w:tc>
        <w:tc>
          <w:tcPr>
            <w:tcW w:w="98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31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4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1,861,315</w:t>
            </w:r>
          </w:p>
        </w:tc>
        <w:tc>
          <w:tcPr>
            <w:tcW w:w="20" w:type="dxa"/>
            <w:vAlign w:val="bottom"/>
            <w:shd w:val="clear" w:color="auto" w:fill="C0FFFF"/>
          </w:tcPr>
          <w:p>
            <w:pPr>
              <w:spacing w:after="0"/>
              <w:rPr>
                <w:sz w:val="22"/>
                <w:szCs w:val="22"/>
                <w:color w:val="auto"/>
              </w:rPr>
            </w:pPr>
          </w:p>
        </w:tc>
        <w:tc>
          <w:tcPr>
            <w:tcW w:w="120" w:type="dxa"/>
            <w:vAlign w:val="bottom"/>
            <w:shd w:val="clear" w:color="auto" w:fill="C0FFFF"/>
          </w:tcPr>
          <w:p>
            <w:pPr>
              <w:spacing w:after="0"/>
              <w:rPr>
                <w:sz w:val="22"/>
                <w:szCs w:val="22"/>
                <w:color w:val="auto"/>
              </w:rPr>
            </w:pPr>
          </w:p>
        </w:tc>
        <w:tc>
          <w:tcPr>
            <w:tcW w:w="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1,881,566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0FFFF"/>
            </w:tcBorders>
          </w:tcPr>
          <w:p>
            <w:pPr>
              <w:spacing w:after="0"/>
              <w:rPr>
                <w:sz w:val="18"/>
                <w:szCs w:val="18"/>
                <w:color w:val="auto"/>
              </w:rPr>
            </w:pPr>
          </w:p>
        </w:tc>
        <w:tc>
          <w:tcPr>
            <w:tcW w:w="2240" w:type="dxa"/>
            <w:vAlign w:val="bottom"/>
            <w:tcBorders>
              <w:top w:val="single" w:sz="8" w:color="C0FFFF"/>
            </w:tcBorders>
          </w:tcPr>
          <w:p>
            <w:pPr>
              <w:spacing w:after="0"/>
              <w:rPr>
                <w:sz w:val="18"/>
                <w:szCs w:val="18"/>
                <w:color w:val="auto"/>
              </w:rPr>
            </w:pPr>
          </w:p>
        </w:tc>
        <w:tc>
          <w:tcPr>
            <w:tcW w:w="98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31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4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498,265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shd w:val="clear" w:color="auto" w:fill="C0FFFF"/>
          </w:tcPr>
          <w:p>
            <w:pPr>
              <w:spacing w:after="0"/>
              <w:rPr>
                <w:sz w:val="18"/>
                <w:szCs w:val="18"/>
                <w:color w:val="auto"/>
              </w:rPr>
            </w:pPr>
          </w:p>
        </w:tc>
        <w:tc>
          <w:tcPr>
            <w:tcW w:w="1440" w:type="dxa"/>
            <w:vAlign w:val="bottom"/>
            <w:gridSpan w:val="3"/>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80,524</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0FFFF"/>
          </w:tcPr>
          <w:p>
            <w:pPr>
              <w:spacing w:after="0"/>
              <w:rPr>
                <w:sz w:val="18"/>
                <w:szCs w:val="18"/>
                <w:color w:val="auto"/>
              </w:rPr>
            </w:pPr>
          </w:p>
        </w:tc>
        <w:tc>
          <w:tcPr>
            <w:tcW w:w="1440" w:type="dxa"/>
            <w:vAlign w:val="bottom"/>
            <w:gridSpan w:val="3"/>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80,771</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734,378</w:t>
            </w:r>
          </w:p>
        </w:tc>
        <w:tc>
          <w:tcPr>
            <w:tcW w:w="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788,446</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326,966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319,634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38,965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9"/>
            <w:shd w:val="clear" w:color="auto" w:fill="C0FF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2013 and</w:t>
            </w:r>
          </w:p>
        </w:tc>
        <w:tc>
          <w:tcPr>
            <w:tcW w:w="200" w:type="dxa"/>
            <w:vAlign w:val="bottom"/>
            <w:shd w:val="clear" w:color="auto" w:fill="C0FFFF"/>
          </w:tcPr>
          <w:p>
            <w:pPr>
              <w:spacing w:after="0"/>
              <w:rPr>
                <w:sz w:val="17"/>
                <w:szCs w:val="17"/>
                <w:color w:val="auto"/>
              </w:rPr>
            </w:pPr>
          </w:p>
        </w:tc>
        <w:tc>
          <w:tcPr>
            <w:tcW w:w="1300" w:type="dxa"/>
            <w:vAlign w:val="bottom"/>
            <w:shd w:val="clear" w:color="auto" w:fill="C0FFFF"/>
          </w:tcPr>
          <w:p>
            <w:pPr>
              <w:spacing w:after="0"/>
              <w:rPr>
                <w:sz w:val="17"/>
                <w:szCs w:val="17"/>
                <w:color w:val="auto"/>
              </w:rPr>
            </w:pPr>
          </w:p>
        </w:tc>
        <w:tc>
          <w:tcPr>
            <w:tcW w:w="2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3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gridSpan w:val="2"/>
            <w:shd w:val="clear" w:color="auto" w:fill="C0FFFF"/>
          </w:tcPr>
          <w:p>
            <w:pPr>
              <w:ind w:left="320"/>
              <w:spacing w:after="0"/>
              <w:rPr>
                <w:sz w:val="20"/>
                <w:szCs w:val="20"/>
                <w:color w:val="auto"/>
              </w:rPr>
            </w:pPr>
            <w:r>
              <w:rPr>
                <w:rFonts w:ascii="Times New Roman" w:cs="Times New Roman" w:eastAsia="Times New Roman" w:hAnsi="Times New Roman"/>
                <w:sz w:val="18"/>
                <w:szCs w:val="18"/>
                <w:color w:val="auto"/>
              </w:rPr>
              <w:t>2012</w:t>
            </w:r>
          </w:p>
        </w:tc>
        <w:tc>
          <w:tcPr>
            <w:tcW w:w="98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312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40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440" w:type="dxa"/>
            <w:vAlign w:val="bottom"/>
            <w:gridSpan w:val="3"/>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authorized; 28,609,036 class A shares and 10,835,219 class B shares outstanding in 2013; and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27,999,068 class A shares and 10,792,223 class B shares outstanding in 2012</w:t>
            </w:r>
          </w:p>
        </w:tc>
        <w:tc>
          <w:tcPr>
            <w:tcW w:w="2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233,847</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222,627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Treasury stock, at cost: 1,639,843 class B shares</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418,166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404,619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9"/>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0FFFF"/>
          </w:tcPr>
          <w:p>
            <w:pPr>
              <w:spacing w:after="0"/>
              <w:rPr>
                <w:sz w:val="19"/>
                <w:szCs w:val="19"/>
                <w:color w:val="auto"/>
              </w:rPr>
            </w:pPr>
          </w:p>
        </w:tc>
        <w:tc>
          <w:tcPr>
            <w:tcW w:w="1300" w:type="dxa"/>
            <w:vAlign w:val="bottom"/>
            <w:tcBorders>
              <w:top w:val="single" w:sz="8" w:color="auto"/>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632,891</w:t>
            </w:r>
          </w:p>
        </w:tc>
        <w:tc>
          <w:tcPr>
            <w:tcW w:w="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top w:val="single" w:sz="8" w:color="auto"/>
              <w:bottom w:val="single" w:sz="8" w:color="auto"/>
            </w:tcBorders>
            <w:shd w:val="clear" w:color="auto" w:fill="C0FFFF"/>
          </w:tcPr>
          <w:p>
            <w:pPr>
              <w:spacing w:after="0"/>
              <w:rPr>
                <w:sz w:val="19"/>
                <w:szCs w:val="19"/>
                <w:color w:val="auto"/>
              </w:rPr>
            </w:pPr>
          </w:p>
        </w:tc>
        <w:tc>
          <w:tcPr>
            <w:tcW w:w="1320" w:type="dxa"/>
            <w:vAlign w:val="bottom"/>
            <w:tcBorders>
              <w:top w:val="single" w:sz="8" w:color="auto"/>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607,946</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1,861,315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RUSH ENTERPRISES, INC. AND SUBSIDIARIES CONSOLIDATED STATEMENTS OF INCOME AND COMPREHENSIVE INCOME </w:t>
      </w: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489,610</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231,479</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196,646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756,788</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777,329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452,574</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510,807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145,713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24,713</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20,006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shd w:val="clear" w:color="auto" w:fill="C0FFFF"/>
          </w:tcPr>
          <w:p>
            <w:pPr>
              <w:spacing w:after="0"/>
              <w:rPr>
                <w:sz w:val="2"/>
                <w:szCs w:val="2"/>
                <w:color w:val="auto"/>
              </w:rPr>
            </w:pPr>
          </w:p>
        </w:tc>
        <w:tc>
          <w:tcPr>
            <w:tcW w:w="26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133,788</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24,613</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0" w:type="dxa"/>
            <w:vAlign w:val="bottom"/>
            <w:shd w:val="clear" w:color="auto" w:fill="C0FFFF"/>
          </w:tcPr>
          <w:p>
            <w:pPr>
              <w:spacing w:after="0"/>
              <w:rPr>
                <w:sz w:val="22"/>
                <w:szCs w:val="22"/>
                <w:color w:val="auto"/>
              </w:rPr>
            </w:pPr>
          </w:p>
        </w:tc>
        <w:tc>
          <w:tcPr>
            <w:tcW w:w="340" w:type="dxa"/>
            <w:vAlign w:val="bottom"/>
            <w:shd w:val="clear" w:color="auto" w:fill="C0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13,547</w:t>
            </w:r>
          </w:p>
        </w:tc>
        <w:tc>
          <w:tcPr>
            <w:tcW w:w="52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15,906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0FFFF"/>
            </w:tcBorders>
          </w:tcPr>
          <w:p>
            <w:pPr>
              <w:spacing w:after="0"/>
              <w:rPr>
                <w:sz w:val="18"/>
                <w:szCs w:val="18"/>
                <w:color w:val="auto"/>
              </w:rPr>
            </w:pPr>
          </w:p>
        </w:tc>
        <w:tc>
          <w:tcPr>
            <w:tcW w:w="260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940" w:type="dxa"/>
            <w:vAlign w:val="bottom"/>
            <w:gridSpan w:val="2"/>
            <w:shd w:val="clear" w:color="auto" w:fill="C0FF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52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40,269</w:t>
            </w:r>
          </w:p>
        </w:tc>
        <w:tc>
          <w:tcPr>
            <w:tcW w:w="10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39,607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0" w:type="dxa"/>
            <w:vAlign w:val="bottom"/>
            <w:shd w:val="clear" w:color="auto" w:fill="C0FFFF"/>
          </w:tcPr>
          <w:p>
            <w:pPr>
              <w:spacing w:after="0"/>
              <w:rPr>
                <w:sz w:val="20"/>
                <w:szCs w:val="20"/>
                <w:color w:val="auto"/>
              </w:rPr>
            </w:pPr>
          </w:p>
        </w:tc>
        <w:tc>
          <w:tcPr>
            <w:tcW w:w="340" w:type="dxa"/>
            <w:vAlign w:val="bottom"/>
            <w:shd w:val="clear" w:color="auto" w:fill="C0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13,718</w:t>
            </w:r>
          </w:p>
        </w:tc>
        <w:tc>
          <w:tcPr>
            <w:tcW w:w="52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15,905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0FFFF"/>
            </w:tcBorders>
            <w:shd w:val="clear" w:color="auto" w:fill="C0FFFF"/>
          </w:tcPr>
          <w:p>
            <w:pPr>
              <w:spacing w:after="0" w:line="20" w:lineRule="exact"/>
              <w:rPr>
                <w:sz w:val="1"/>
                <w:szCs w:val="1"/>
                <w:color w:val="auto"/>
              </w:rPr>
            </w:pPr>
          </w:p>
        </w:tc>
        <w:tc>
          <w:tcPr>
            <w:tcW w:w="260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13,547</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 stock purchases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13,017</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 in inventories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ind w:left="480"/>
              <w:spacing w:after="0"/>
              <w:rPr>
                <w:sz w:val="20"/>
                <w:szCs w:val="20"/>
                <w:color w:val="auto"/>
              </w:rPr>
            </w:pPr>
            <w:r>
              <w:rPr>
                <w:rFonts w:ascii="Times New Roman" w:cs="Times New Roman" w:eastAsia="Times New Roman" w:hAnsi="Times New Roman"/>
                <w:sz w:val="18"/>
                <w:szCs w:val="18"/>
                <w:color w:val="auto"/>
              </w:rPr>
              <w:t>(Payments) on floor plan notes payable – trade, net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(30,169)</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 in other assets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(Payments) draws on floor plan notes payable – non-trade, net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(34,077)</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107,887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(22,795)</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Issuance of shares relating to employee stock options and employee stock purchases</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6,297</w:t>
            </w: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(21,367)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205,049</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5,628</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780" w:type="dxa"/>
            <w:vAlign w:val="bottom"/>
            <w:gridSpan w:val="2"/>
            <w:shd w:val="clear" w:color="auto" w:fill="C0FF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0FFFF"/>
            </w:tcBorders>
          </w:tcPr>
          <w:p>
            <w:pPr>
              <w:ind w:left="16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4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shd w:val="clear" w:color="auto" w:fill="C0FFFF"/>
          </w:tcPr>
          <w:p>
            <w:pPr>
              <w:ind w:left="32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440" w:type="dxa"/>
            <w:vAlign w:val="bottom"/>
            <w:shd w:val="clear" w:color="auto" w:fill="C0FFFF"/>
          </w:tcPr>
          <w:p>
            <w:pPr>
              <w:spacing w:after="0"/>
              <w:rPr>
                <w:sz w:val="20"/>
                <w:szCs w:val="20"/>
                <w:color w:val="auto"/>
              </w:rPr>
            </w:pPr>
          </w:p>
        </w:tc>
        <w:tc>
          <w:tcPr>
            <w:tcW w:w="340" w:type="dxa"/>
            <w:vAlign w:val="bottom"/>
            <w:shd w:val="clear" w:color="auto" w:fill="C0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2,284</w:t>
            </w:r>
          </w:p>
        </w:tc>
        <w:tc>
          <w:tcPr>
            <w:tcW w:w="50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C0FFFF"/>
            </w:tcBorders>
            <w:shd w:val="clear" w:color="auto" w:fill="C0FFFF"/>
          </w:tcPr>
          <w:p>
            <w:pPr>
              <w:spacing w:after="0" w:line="20" w:lineRule="exact"/>
              <w:rPr>
                <w:sz w:val="1"/>
                <w:szCs w:val="1"/>
                <w:color w:val="auto"/>
              </w:rPr>
            </w:pPr>
          </w:p>
        </w:tc>
        <w:tc>
          <w:tcPr>
            <w:tcW w:w="44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2012.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Other Assets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capitalized costs of the SAP enterprise software and SAP dealership management system of $40.6 million, including capitalized interest, are recorded on the Consolidated Balance Sheet in Other Assets, net of accumulated amortization of $4.8 million. The SAP software will be amortized over a period of 15 years. The Company is currently operating 30 Rush Truck Centers and all of its leasing operations on the SAP enterprise software and SAP dealership management system, which represent approximately 38% of first quarter 2013 total revenue. The Company plans to convert all of its Rush Truck Centers to the SAP enterprise software and SAP dealership management system by the end of 2014.</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relating to intangible assets, primarily the SAP software, was $0.7 million for the quarter ended March 31, 2013 and $0.5 million for the quarter ended March 31, 2012, and is recognized in depreciation and amortization expense in the Consolidated Statement of Income.</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market value of the Company’s manufacturer franchise rights of $4.5 million,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manufacturer franchise rights.</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3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536" w:right="619" w:bottom="1440" w:gutter="0" w:footer="0" w:header="0"/>
        </w:sectPr>
      </w:pPr>
    </w:p>
    <w:bookmarkStart w:id="6" w:name="page7"/>
    <w:bookmarkEnd w:id="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impairment write down was required for manufacturer franchise rights in the fourth quarter of 2012. However, the Company cannot predict the occurrence of certain events that might adversely affect the reported value of manufacturer franchise rights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2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March 31, 2013</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Numerator -</w:t>
            </w:r>
          </w:p>
        </w:tc>
        <w:tc>
          <w:tcPr>
            <w:tcW w:w="120" w:type="dxa"/>
            <w:vAlign w:val="bottom"/>
            <w:tcBorders>
              <w:top w:val="single" w:sz="8" w:color="auto"/>
            </w:tcBorders>
            <w:shd w:val="clear" w:color="auto" w:fill="C0FFFF"/>
          </w:tcPr>
          <w:p>
            <w:pPr>
              <w:spacing w:after="0"/>
              <w:rPr>
                <w:sz w:val="18"/>
                <w:szCs w:val="18"/>
                <w:color w:val="auto"/>
              </w:rPr>
            </w:pPr>
          </w:p>
        </w:tc>
        <w:tc>
          <w:tcPr>
            <w:tcW w:w="136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tcBorders>
              <w:top w:val="single" w:sz="8" w:color="auto"/>
            </w:tcBorders>
            <w:shd w:val="clear" w:color="auto" w:fill="C0FFFF"/>
          </w:tcPr>
          <w:p>
            <w:pPr>
              <w:spacing w:after="0"/>
              <w:rPr>
                <w:sz w:val="18"/>
                <w:szCs w:val="18"/>
                <w:color w:val="auto"/>
              </w:rPr>
            </w:pPr>
          </w:p>
        </w:tc>
        <w:tc>
          <w:tcPr>
            <w:tcW w:w="134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200" w:type="dxa"/>
            <w:vAlign w:val="bottom"/>
            <w:shd w:val="clear" w:color="auto" w:fill="C0FFFF"/>
          </w:tcPr>
          <w:p>
            <w:pPr>
              <w:spacing w:after="0"/>
              <w:rPr>
                <w:sz w:val="19"/>
                <w:szCs w:val="19"/>
                <w:color w:val="auto"/>
              </w:rPr>
            </w:pP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15,906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 for basic earnings per share, weighted average shares outstanding</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shd w:val="clear" w:color="auto" w:fill="C0FFFF"/>
          </w:tcPr>
          <w:p>
            <w:pPr>
              <w:ind w:left="14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 adjusted weighted average shares and</w:t>
            </w:r>
          </w:p>
        </w:tc>
        <w:tc>
          <w:tcPr>
            <w:tcW w:w="120" w:type="dxa"/>
            <w:vAlign w:val="bottom"/>
            <w:tcBorders>
              <w:top w:val="single" w:sz="8" w:color="auto"/>
            </w:tcBorders>
            <w:shd w:val="clear" w:color="auto" w:fill="C0FFFF"/>
          </w:tcPr>
          <w:p>
            <w:pPr>
              <w:spacing w:after="0"/>
              <w:rPr>
                <w:sz w:val="17"/>
                <w:szCs w:val="17"/>
                <w:color w:val="auto"/>
              </w:rPr>
            </w:pPr>
          </w:p>
        </w:tc>
        <w:tc>
          <w:tcPr>
            <w:tcW w:w="1360" w:type="dxa"/>
            <w:vAlign w:val="bottom"/>
            <w:tcBorders>
              <w:top w:val="single" w:sz="8" w:color="auto"/>
            </w:tcBorders>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20" w:type="dxa"/>
            <w:vAlign w:val="bottom"/>
            <w:tcBorders>
              <w:top w:val="single" w:sz="8" w:color="auto"/>
            </w:tcBorders>
            <w:shd w:val="clear" w:color="auto" w:fill="C0FFFF"/>
          </w:tcPr>
          <w:p>
            <w:pPr>
              <w:spacing w:after="0"/>
              <w:rPr>
                <w:sz w:val="17"/>
                <w:szCs w:val="17"/>
                <w:color w:val="auto"/>
              </w:rPr>
            </w:pPr>
          </w:p>
        </w:tc>
        <w:tc>
          <w:tcPr>
            <w:tcW w:w="1340" w:type="dxa"/>
            <w:vAlign w:val="bottom"/>
            <w:tcBorders>
              <w:top w:val="single" w:sz="8" w:color="auto"/>
            </w:tcBorders>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80" w:type="dxa"/>
            <w:vAlign w:val="bottom"/>
            <w:shd w:val="clear" w:color="auto" w:fill="C0FFFF"/>
          </w:tcPr>
          <w:p>
            <w:pPr>
              <w:ind w:left="300"/>
              <w:spacing w:after="0"/>
              <w:rPr>
                <w:sz w:val="20"/>
                <w:szCs w:val="20"/>
                <w:color w:val="auto"/>
              </w:rPr>
            </w:pPr>
            <w:r>
              <w:rPr>
                <w:rFonts w:ascii="Times New Roman" w:cs="Times New Roman" w:eastAsia="Times New Roman" w:hAnsi="Times New Roman"/>
                <w:sz w:val="18"/>
                <w:szCs w:val="18"/>
                <w:color w:val="auto"/>
              </w:rPr>
              <w:t>assumed conversions</w:t>
            </w:r>
          </w:p>
        </w:tc>
        <w:tc>
          <w:tcPr>
            <w:tcW w:w="120" w:type="dxa"/>
            <w:vAlign w:val="bottom"/>
            <w:shd w:val="clear" w:color="auto" w:fill="C0FFFF"/>
          </w:tcPr>
          <w:p>
            <w:pPr>
              <w:spacing w:after="0"/>
              <w:rPr>
                <w:sz w:val="20"/>
                <w:szCs w:val="20"/>
                <w:color w:val="auto"/>
              </w:rPr>
            </w:pPr>
          </w:p>
        </w:tc>
        <w:tc>
          <w:tcPr>
            <w:tcW w:w="13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40,269</w:t>
            </w:r>
          </w:p>
        </w:tc>
        <w:tc>
          <w:tcPr>
            <w:tcW w:w="2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4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39,607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8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ended March 31, 2013 and 2012 that were not included in the computation of diluted earnings per share because the effect would have been anti-dilutive are as follows (in thousands):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2013</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2012</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Options</w:t>
            </w:r>
          </w:p>
        </w:tc>
        <w:tc>
          <w:tcPr>
            <w:tcW w:w="156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tcBorders>
              <w:bottom w:val="single" w:sz="8" w:color="C0FFFF"/>
            </w:tcBorders>
            <w:shd w:val="clear" w:color="auto" w:fill="C0FFFF"/>
          </w:tcPr>
          <w:p>
            <w:pPr>
              <w:spacing w:after="0"/>
              <w:rPr>
                <w:sz w:val="19"/>
                <w:szCs w:val="19"/>
                <w:color w:val="auto"/>
              </w:rPr>
            </w:pPr>
          </w:p>
        </w:tc>
        <w:tc>
          <w:tcPr>
            <w:tcW w:w="15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$3.3 million for the three months ended March 31, 2013, and $3.1 million for the three months ended March 31, 2012. As of March 31, 2013, there was $17.3 million of total unrecognized compensation cost related to non-vested share-based compensation arrangements to be recognized over a weighted-average period of 2.41 years.</w:t>
      </w:r>
    </w:p>
    <w:p>
      <w:pPr>
        <w:spacing w:after="0" w:line="3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540"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6 – Financial Instruments and Fair Value</w:t>
      </w:r>
    </w:p>
    <w:p>
      <w:pPr>
        <w:spacing w:after="0" w:line="283"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The carrying value of current assets and current liabilities approximates the fair value due to the short maturity of these items.</w:t>
      </w:r>
    </w:p>
    <w:p>
      <w:pPr>
        <w:spacing w:after="0" w:line="234"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238"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230"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234" w:lineRule="exact"/>
        <w:rPr>
          <w:sz w:val="20"/>
          <w:szCs w:val="20"/>
          <w:color w:val="auto"/>
        </w:rPr>
      </w:pPr>
    </w:p>
    <w:p>
      <w:pPr>
        <w:jc w:val="both"/>
        <w:ind w:right="400" w:firstLine="648"/>
        <w:spacing w:after="0" w:line="258"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238"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2013, the Company held auction rate securities with underlying tax-exempt municipal bonds that mature in 2030 that have a fair value of $6.6 million and a cost basis of $7.6 million. These bonds have credit wrap insurance and a credit rating of A2 by a major credit rating agency.</w:t>
      </w:r>
    </w:p>
    <w:p>
      <w:pPr>
        <w:spacing w:after="0" w:line="230" w:lineRule="exact"/>
        <w:rPr>
          <w:sz w:val="20"/>
          <w:szCs w:val="20"/>
          <w:color w:val="auto"/>
        </w:rPr>
      </w:pPr>
    </w:p>
    <w:p>
      <w:pPr>
        <w:jc w:val="both"/>
        <w:ind w:right="380" w:firstLine="648"/>
        <w:spacing w:after="0" w:line="254" w:lineRule="auto"/>
        <w:rPr>
          <w:sz w:val="20"/>
          <w:szCs w:val="20"/>
          <w:color w:val="auto"/>
        </w:rPr>
      </w:pPr>
      <w:r>
        <w:rPr>
          <w:rFonts w:ascii="Times New Roman" w:cs="Times New Roman" w:eastAsia="Times New Roman" w:hAnsi="Times New Roman"/>
          <w:sz w:val="18"/>
          <w:szCs w:val="18"/>
          <w:color w:val="auto"/>
        </w:rPr>
        <w:t>The Company valued the auction rate securities at March 31, 2013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43"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investments in 2011. The Company believes that the impairment is temporary and has included the impairment in accumulated other comprehensive loss.</w:t>
      </w:r>
    </w:p>
    <w:p>
      <w:pPr>
        <w:spacing w:after="0" w:line="216"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At March 31, 2013</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4"/>
        </w:trPr>
        <w:tc>
          <w:tcPr>
            <w:tcW w:w="6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6"/>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 Estimated Using</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Pr>
          <w:p>
            <w:pPr>
              <w:spacing w:after="0"/>
              <w:rPr>
                <w:sz w:val="18"/>
                <w:szCs w:val="18"/>
                <w:color w:val="auto"/>
              </w:rPr>
            </w:pPr>
          </w:p>
        </w:tc>
      </w:tr>
      <w:tr>
        <w:trPr>
          <w:trHeight w:val="245"/>
        </w:trPr>
        <w:tc>
          <w:tcPr>
            <w:tcW w:w="6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660" w:type="dxa"/>
            <w:vAlign w:val="bottom"/>
          </w:tcPr>
          <w:p>
            <w:pPr>
              <w:spacing w:after="0"/>
              <w:rPr>
                <w:sz w:val="18"/>
                <w:szCs w:val="18"/>
                <w:color w:val="auto"/>
              </w:rPr>
            </w:pPr>
          </w:p>
        </w:tc>
        <w:tc>
          <w:tcPr>
            <w:tcW w:w="43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0FFFF"/>
          </w:tcPr>
          <w:p>
            <w:pPr>
              <w:jc w:val="center"/>
              <w:ind w:left="59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0FF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shd w:val="clear" w:color="auto" w:fill="C0FFFF"/>
          </w:tcPr>
          <w:p>
            <w:pPr>
              <w:spacing w:after="0"/>
              <w:rPr>
                <w:sz w:val="18"/>
                <w:szCs w:val="18"/>
                <w:color w:val="auto"/>
              </w:rPr>
            </w:pPr>
          </w:p>
        </w:tc>
        <w:tc>
          <w:tcPr>
            <w:tcW w:w="1080" w:type="dxa"/>
            <w:vAlign w:val="bottom"/>
          </w:tcPr>
          <w:p>
            <w:pPr>
              <w:spacing w:after="0"/>
              <w:rPr>
                <w:sz w:val="18"/>
                <w:szCs w:val="18"/>
                <w:color w:val="auto"/>
              </w:rPr>
            </w:pPr>
          </w:p>
        </w:tc>
      </w:tr>
      <w:tr>
        <w:trPr>
          <w:trHeight w:val="581"/>
        </w:trPr>
        <w:tc>
          <w:tcPr>
            <w:tcW w:w="6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8" w:name="page9"/>
    <w:bookmarkEnd w:id="8"/>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At December 31, 2012</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6"/>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 Estimated Using</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5"/>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0FFFF"/>
          </w:tcPr>
          <w:p>
            <w:pPr>
              <w:jc w:val="center"/>
              <w:ind w:left="59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0FF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shd w:val="clear" w:color="auto" w:fill="C0FFFF"/>
          </w:tcPr>
          <w:p>
            <w:pPr>
              <w:spacing w:after="0"/>
              <w:rPr>
                <w:sz w:val="18"/>
                <w:szCs w:val="18"/>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81" w:lineRule="exact"/>
        <w:rPr>
          <w:sz w:val="20"/>
          <w:szCs w:val="20"/>
          <w:color w:val="auto"/>
        </w:rPr>
      </w:pPr>
    </w:p>
    <w:p>
      <w:pPr>
        <w:jc w:val="both"/>
        <w:ind w:right="300"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242" w:lineRule="exact"/>
        <w:rPr>
          <w:sz w:val="20"/>
          <w:szCs w:val="20"/>
          <w:color w:val="auto"/>
        </w:rPr>
      </w:pPr>
    </w:p>
    <w:p>
      <w:pPr>
        <w:jc w:val="both"/>
        <w:ind w:right="300" w:firstLine="648"/>
        <w:spacing w:after="0" w:line="256" w:lineRule="auto"/>
        <w:rPr>
          <w:sz w:val="20"/>
          <w:szCs w:val="20"/>
          <w:color w:val="auto"/>
        </w:rPr>
      </w:pPr>
      <w:r>
        <w:rPr>
          <w:rFonts w:ascii="Times New Roman" w:cs="Times New Roman" w:eastAsia="Times New Roman" w:hAnsi="Times New Roman"/>
          <w:sz w:val="18"/>
          <w:szCs w:val="18"/>
          <w:color w:val="auto"/>
        </w:rPr>
        <w:t>At March 31, 2013, the Company had an aggregate $40.9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quarters ended March 31, 2013 and March 31, 2012.</w:t>
      </w:r>
    </w:p>
    <w:p>
      <w:pPr>
        <w:spacing w:after="0" w:line="242"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$1.6 million, excluding accrued interest, as of March 31, 2013. The carrying value of these swaps is included in Other Long-Term Liabilities on the accompanying Consolidated Balance Sheet as of March 31, 2013.</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2013 the Company was party to derivative financial instruments, as described in the following table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Fixed Interest</w:t>
            </w:r>
          </w:p>
        </w:tc>
        <w:tc>
          <w:tcPr>
            <w:tcW w:w="20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1"/>
                <w:szCs w:val="21"/>
                <w:color w:val="auto"/>
              </w:rPr>
            </w:pPr>
          </w:p>
        </w:tc>
        <w:tc>
          <w:tcPr>
            <w:tcW w:w="2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1,993</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5.075%</w:t>
            </w:r>
          </w:p>
        </w:tc>
        <w:tc>
          <w:tcPr>
            <w:tcW w:w="2020" w:type="dxa"/>
            <w:vAlign w:val="bottom"/>
            <w:shd w:val="clear" w:color="auto" w:fill="C0FFFF"/>
          </w:tcPr>
          <w:p>
            <w:pPr>
              <w:ind w:left="680"/>
              <w:spacing w:after="0"/>
              <w:rPr>
                <w:sz w:val="20"/>
                <w:szCs w:val="20"/>
                <w:color w:val="auto"/>
              </w:rPr>
            </w:pPr>
            <w:r>
              <w:rPr>
                <w:rFonts w:ascii="Times New Roman" w:cs="Times New Roman" w:eastAsia="Times New Roman" w:hAnsi="Times New Roman"/>
                <w:sz w:val="18"/>
                <w:szCs w:val="18"/>
                <w:color w:val="auto"/>
              </w:rPr>
              <w:t>3 month LIBOR</w:t>
            </w:r>
          </w:p>
        </w:tc>
        <w:tc>
          <w:tcPr>
            <w:tcW w:w="1900" w:type="dxa"/>
            <w:vAlign w:val="bottom"/>
            <w:shd w:val="clear" w:color="auto" w:fill="C0FFFF"/>
          </w:tcPr>
          <w:p>
            <w:pPr>
              <w:jc w:val="center"/>
              <w:ind w:right="50"/>
              <w:spacing w:after="0"/>
              <w:rPr>
                <w:sz w:val="20"/>
                <w:szCs w:val="20"/>
                <w:color w:val="auto"/>
              </w:rPr>
            </w:pPr>
            <w:r>
              <w:rPr>
                <w:rFonts w:ascii="Times New Roman" w:cs="Times New Roman" w:eastAsia="Times New Roman" w:hAnsi="Times New Roman"/>
                <w:sz w:val="18"/>
                <w:szCs w:val="18"/>
                <w:color w:val="auto"/>
                <w:w w:val="99"/>
              </w:rPr>
              <w:t>July 1, 2015</w:t>
            </w:r>
          </w:p>
        </w:tc>
        <w:tc>
          <w:tcPr>
            <w:tcW w:w="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5.075%</w:t>
            </w: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 month LIBOR</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July 1,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20" w:type="dxa"/>
            <w:vAlign w:val="bottom"/>
          </w:tcPr>
          <w:p>
            <w:pPr>
              <w:spacing w:after="0"/>
              <w:rPr>
                <w:sz w:val="18"/>
                <w:szCs w:val="18"/>
                <w:color w:val="auto"/>
              </w:rPr>
            </w:pPr>
          </w:p>
        </w:tc>
        <w:tc>
          <w:tcPr>
            <w:tcW w:w="20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7,143</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2020" w:type="dxa"/>
            <w:vAlign w:val="bottom"/>
            <w:shd w:val="clear" w:color="auto" w:fill="C0FFFF"/>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shd w:val="clear" w:color="auto" w:fill="C0FFFF"/>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 w:type="dxa"/>
            <w:vAlign w:val="bottom"/>
          </w:tcPr>
          <w:p>
            <w:pPr>
              <w:spacing w:after="0"/>
              <w:rPr>
                <w:sz w:val="18"/>
                <w:szCs w:val="18"/>
                <w:color w:val="auto"/>
              </w:rPr>
            </w:pPr>
          </w:p>
        </w:tc>
        <w:tc>
          <w:tcPr>
            <w:tcW w:w="20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2,457</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2020" w:type="dxa"/>
            <w:vAlign w:val="bottom"/>
            <w:shd w:val="clear" w:color="auto" w:fill="C0FFFF"/>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shd w:val="clear" w:color="auto" w:fill="C0FFFF"/>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20" w:type="dxa"/>
            <w:vAlign w:val="bottom"/>
          </w:tcPr>
          <w:p>
            <w:pPr>
              <w:spacing w:after="0"/>
              <w:rPr>
                <w:sz w:val="18"/>
                <w:szCs w:val="18"/>
                <w:color w:val="auto"/>
              </w:rPr>
            </w:pPr>
          </w:p>
        </w:tc>
        <w:tc>
          <w:tcPr>
            <w:tcW w:w="20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5,096</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2020" w:type="dxa"/>
            <w:vAlign w:val="bottom"/>
            <w:shd w:val="clear" w:color="auto" w:fill="C0FFFF"/>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shd w:val="clear" w:color="auto" w:fill="C0FFFF"/>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29, 2015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20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1,503</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shd w:val="clear" w:color="auto" w:fill="C0FFFF"/>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shd w:val="clear" w:color="auto" w:fill="C0FFFF"/>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2015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20" w:type="dxa"/>
            <w:vAlign w:val="bottom"/>
          </w:tcPr>
          <w:p>
            <w:pPr>
              <w:spacing w:after="0"/>
              <w:rPr>
                <w:sz w:val="18"/>
                <w:szCs w:val="18"/>
                <w:color w:val="auto"/>
              </w:rPr>
            </w:pPr>
          </w:p>
        </w:tc>
        <w:tc>
          <w:tcPr>
            <w:tcW w:w="20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653</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shd w:val="clear" w:color="auto" w:fill="C0FFFF"/>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shd w:val="clear" w:color="auto" w:fill="C0FFFF"/>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2015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month LIBOR</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values of derivative instruments are on the accompanying Consolidated Balance Sheet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94"/>
        </w:trPr>
        <w:tc>
          <w:tcPr>
            <w:tcW w:w="340" w:type="dxa"/>
            <w:vAlign w:val="bottom"/>
          </w:tcPr>
          <w:p>
            <w:pPr>
              <w:spacing w:after="0"/>
              <w:rPr>
                <w:sz w:val="16"/>
                <w:szCs w:val="16"/>
                <w:color w:val="auto"/>
              </w:rPr>
            </w:pPr>
          </w:p>
        </w:tc>
        <w:tc>
          <w:tcPr>
            <w:tcW w:w="38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as Hedging</w:t>
            </w: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45"/>
        </w:trPr>
        <w:tc>
          <w:tcPr>
            <w:tcW w:w="340" w:type="dxa"/>
            <w:vAlign w:val="bottom"/>
          </w:tcPr>
          <w:p>
            <w:pPr>
              <w:spacing w:after="0"/>
              <w:rPr>
                <w:sz w:val="21"/>
                <w:szCs w:val="21"/>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3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38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300" w:type="dxa"/>
            <w:vAlign w:val="bottom"/>
            <w:shd w:val="clear" w:color="auto" w:fill="C0FF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0FFFF"/>
          </w:tcPr>
          <w:p>
            <w:pPr>
              <w:ind w:left="960"/>
              <w:spacing w:after="0"/>
              <w:rPr>
                <w:sz w:val="20"/>
                <w:szCs w:val="20"/>
                <w:color w:val="auto"/>
              </w:rPr>
            </w:pPr>
            <w:r>
              <w:rPr>
                <w:rFonts w:ascii="Times New Roman" w:cs="Times New Roman" w:eastAsia="Times New Roman" w:hAnsi="Times New Roman"/>
                <w:sz w:val="18"/>
                <w:szCs w:val="18"/>
                <w:color w:val="auto"/>
              </w:rPr>
              <w:t>1,638</w:t>
            </w:r>
          </w:p>
        </w:tc>
        <w:tc>
          <w:tcPr>
            <w:tcW w:w="820" w:type="dxa"/>
            <w:vAlign w:val="bottom"/>
            <w:gridSpan w:val="2"/>
            <w:shd w:val="clear" w:color="auto" w:fill="C0FF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r>
      <w:tr>
        <w:trPr>
          <w:trHeight w:val="635"/>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tbl>
      <w:tblPr>
        <w:tblLayout w:type="fixed"/>
        <w:tblInd w:w="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from Accumulated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OCI on Derivatives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1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240" w:type="dxa"/>
            <w:vAlign w:val="bottom"/>
          </w:tcPr>
          <w:p>
            <w:pPr>
              <w:spacing w:after="0"/>
              <w:rPr>
                <w:sz w:val="21"/>
                <w:szCs w:val="21"/>
                <w:color w:val="auto"/>
              </w:rPr>
            </w:pPr>
          </w:p>
        </w:tc>
        <w:tc>
          <w:tcPr>
            <w:tcW w:w="240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4"/>
        </w:trPr>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6"/>
                <w:szCs w:val="16"/>
                <w:color w:val="auto"/>
              </w:rPr>
            </w:pPr>
          </w:p>
        </w:tc>
        <w:tc>
          <w:tcPr>
            <w:tcW w:w="114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40" w:type="dxa"/>
            <w:vAlign w:val="bottom"/>
          </w:tcPr>
          <w:p>
            <w:pPr>
              <w:jc w:val="center"/>
              <w:ind w:left="130"/>
              <w:spacing w:after="0" w:line="194" w:lineRule="exact"/>
              <w:rPr>
                <w:sz w:val="20"/>
                <w:szCs w:val="20"/>
                <w:color w:val="auto"/>
              </w:rPr>
            </w:pPr>
            <w:r>
              <w:rPr>
                <w:rFonts w:ascii="Times New Roman" w:cs="Times New Roman" w:eastAsia="Times New Roman" w:hAnsi="Times New Roman"/>
                <w:sz w:val="18"/>
                <w:szCs w:val="18"/>
                <w:b w:val="1"/>
                <w:bCs w:val="1"/>
                <w:color w:val="auto"/>
              </w:rPr>
              <w:t>Reclassified into</w:t>
            </w:r>
          </w:p>
        </w:tc>
        <w:tc>
          <w:tcPr>
            <w:tcW w:w="240" w:type="dxa"/>
            <w:vAlign w:val="bottom"/>
          </w:tcPr>
          <w:p>
            <w:pPr>
              <w:spacing w:after="0"/>
              <w:rPr>
                <w:sz w:val="16"/>
                <w:szCs w:val="16"/>
                <w:color w:val="auto"/>
              </w:rPr>
            </w:pPr>
          </w:p>
        </w:tc>
        <w:tc>
          <w:tcPr>
            <w:tcW w:w="1040" w:type="dxa"/>
            <w:vAlign w:val="bottom"/>
          </w:tcPr>
          <w:p>
            <w:pPr>
              <w:jc w:val="center"/>
              <w:ind w:left="15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6"/>
                <w:szCs w:val="16"/>
                <w:color w:val="auto"/>
              </w:rPr>
            </w:pPr>
          </w:p>
        </w:tc>
        <w:tc>
          <w:tcPr>
            <w:tcW w:w="13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6"/>
                <w:szCs w:val="16"/>
                <w:color w:val="auto"/>
              </w:rPr>
            </w:pPr>
          </w:p>
        </w:tc>
      </w:tr>
      <w:tr>
        <w:trPr>
          <w:trHeight w:val="238"/>
        </w:trPr>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9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40" w:type="dxa"/>
            <w:vAlign w:val="bottom"/>
            <w:shd w:val="clear" w:color="auto" w:fill="C0FFFF"/>
          </w:tcPr>
          <w:p>
            <w:pPr>
              <w:ind w:left="8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gridSpan w:val="2"/>
            <w:shd w:val="clear" w:color="auto" w:fill="C0FF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93"/>
              </w:rPr>
              <w:t>(86)</w:t>
            </w:r>
          </w:p>
        </w:tc>
        <w:tc>
          <w:tcPr>
            <w:tcW w:w="980" w:type="dxa"/>
            <w:vAlign w:val="bottom"/>
            <w:shd w:val="clear" w:color="auto" w:fill="C0FF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283" w:lineRule="exact"/>
        <w:rPr>
          <w:sz w:val="20"/>
          <w:szCs w:val="20"/>
          <w:color w:val="auto"/>
        </w:rPr>
      </w:pPr>
    </w:p>
    <w:p>
      <w:pPr>
        <w:jc w:val="both"/>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242"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16"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March 31, 2013 and 2012 (in thousands):</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Truck Segment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2013</w:t>
            </w:r>
          </w:p>
        </w:tc>
        <w:tc>
          <w:tcPr>
            <w:tcW w:w="8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80" w:type="dxa"/>
            <w:vAlign w:val="bottom"/>
            <w:gridSpan w:val="2"/>
            <w:shd w:val="clear" w:color="auto" w:fill="C0FF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752,230</w:t>
            </w:r>
          </w:p>
        </w:tc>
        <w:tc>
          <w:tcPr>
            <w:tcW w:w="28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4,558</w:t>
            </w:r>
          </w:p>
        </w:tc>
        <w:tc>
          <w:tcPr>
            <w:tcW w:w="3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756,788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8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1,835,123</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26,192</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1,861,315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2012</w:t>
            </w:r>
          </w:p>
        </w:tc>
        <w:tc>
          <w:tcPr>
            <w:tcW w:w="8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80" w:type="dxa"/>
            <w:vAlign w:val="bottom"/>
            <w:gridSpan w:val="2"/>
            <w:shd w:val="clear" w:color="auto" w:fill="C0FF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772,908</w:t>
            </w:r>
          </w:p>
        </w:tc>
        <w:tc>
          <w:tcPr>
            <w:tcW w:w="28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4,421</w:t>
            </w:r>
          </w:p>
        </w:tc>
        <w:tc>
          <w:tcPr>
            <w:tcW w:w="3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777,329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84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1,807,951</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26,702</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1,834,653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283" w:lineRule="exact"/>
        <w:rPr>
          <w:sz w:val="20"/>
          <w:szCs w:val="20"/>
          <w:color w:val="auto"/>
        </w:rPr>
      </w:pPr>
    </w:p>
    <w:p>
      <w:pPr>
        <w:jc w:val="both"/>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included accruals for unrecognized income tax benefits totaling $1.4 million as a component of accrued liabilities as of March 31, 2013, and $1.3 million as of March 31, 2012. Unrecognized tax benefits of $1.0 million at March 31, 2013, and $1.3 million as of March 31, 2012, if recognized, would impact the Company’s effective tax rate. An unfavorable settlement could require a charge to income tax expense and a favorable resolution would be recognized as a reduction to income tax expense. The Company records interest and penalties related to unrecognized income tax benefits in income tax expense. The Company had accrued interest of $49,000 at March 31, 2013 and $51,000 at March 31, 2012 related to unrecognized tax benefits. No amounts were accrued for penalties.</w:t>
      </w:r>
    </w:p>
    <w:p>
      <w:pPr>
        <w:spacing w:after="0" w:line="24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March 31, 2013, the tax years ended December 31, 2009 through 2012 remained subject to audit by federal tax authorities and the tax years ended December 31, 2008 through 2012, remained subject to audit by state tax authorities.</w:t>
      </w:r>
    </w:p>
    <w:p>
      <w:pPr>
        <w:spacing w:after="0" w:line="3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36" w:right="51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t>9 – Accumulated Other Comprehensive Income</w:t>
      </w:r>
    </w:p>
    <w:p>
      <w:pPr>
        <w:spacing w:after="0" w:line="283" w:lineRule="exact"/>
        <w:rPr>
          <w:sz w:val="20"/>
          <w:szCs w:val="20"/>
          <w:color w:val="auto"/>
        </w:rPr>
      </w:pPr>
    </w:p>
    <w:p>
      <w:pPr>
        <w:jc w:val="both"/>
        <w:ind w:right="400"/>
        <w:spacing w:after="0" w:line="256" w:lineRule="auto"/>
        <w:rPr>
          <w:sz w:val="20"/>
          <w:szCs w:val="20"/>
          <w:color w:val="auto"/>
        </w:rPr>
      </w:pPr>
      <w:r>
        <w:rPr>
          <w:rFonts w:ascii="Times New Roman" w:cs="Times New Roman" w:eastAsia="Times New Roman" w:hAnsi="Times New Roman"/>
          <w:sz w:val="18"/>
          <w:szCs w:val="18"/>
          <w:color w:val="auto"/>
        </w:rPr>
        <w:t>In February 2013, the FASB issued guidance requiring entities to provide information about the amounts reclassified out of accumulated other comprehensive income (“AOCI”) by component. In addition, it requires entities to present, either on the face of the financial statement where net income is presented or in the notes, significant amounts reclassified out of AOCI by the respective line items of net income if the amount reclassified is required under GAAP to be reclassified to net income in its entirety in the same reporting period. This guidance is effective prospectively for annual and interim reporting periods beginning after December 15, 2012, with early adoption permitted. The amounts required to be disclosed under this guidance are below.</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net of tax, (in thousands):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color w:val="auto"/>
              </w:rPr>
              <w:t>Three Months Ended March 31, 2013</w:t>
            </w: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Cash Flow</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Available for</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Swaps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5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shd w:val="clear" w:color="auto" w:fill="C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(1,756)</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0" w:type="dxa"/>
            <w:vAlign w:val="bottom"/>
          </w:tcPr>
          <w:p>
            <w:pPr>
              <w:spacing w:after="0"/>
              <w:rPr>
                <w:sz w:val="18"/>
                <w:szCs w:val="18"/>
                <w:color w:val="auto"/>
              </w:rPr>
            </w:pPr>
          </w:p>
        </w:tc>
        <w:tc>
          <w:tcPr>
            <w:tcW w:w="51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0FFFF"/>
          </w:tcPr>
          <w:p>
            <w:pPr>
              <w:spacing w:after="0"/>
              <w:rPr>
                <w:sz w:val="18"/>
                <w:szCs w:val="18"/>
                <w:color w:val="auto"/>
              </w:rPr>
            </w:pP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5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shd w:val="clear" w:color="auto" w:fill="C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(1,585)</w:t>
            </w: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0FFFF"/>
            </w:tcBorders>
            <w:shd w:val="clear" w:color="auto" w:fill="C0FFFF"/>
          </w:tcPr>
          <w:p>
            <w:pPr>
              <w:spacing w:after="0" w:line="20" w:lineRule="exact"/>
              <w:rPr>
                <w:sz w:val="1"/>
                <w:szCs w:val="1"/>
                <w:color w:val="auto"/>
              </w:rPr>
            </w:pPr>
          </w:p>
        </w:tc>
        <w:tc>
          <w:tcPr>
            <w:tcW w:w="3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March 31, 2013</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March 31, 2012</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Losses on cash flow swaps to:</w:t>
            </w:r>
          </w:p>
        </w:tc>
        <w:tc>
          <w:tcPr>
            <w:tcW w:w="2360" w:type="dxa"/>
            <w:vAlign w:val="bottom"/>
            <w:shd w:val="clear" w:color="auto" w:fill="C0FFFF"/>
          </w:tcPr>
          <w:p>
            <w:pPr>
              <w:spacing w:after="0"/>
              <w:rPr>
                <w:sz w:val="18"/>
                <w:szCs w:val="18"/>
                <w:color w:val="auto"/>
              </w:rPr>
            </w:pPr>
          </w:p>
        </w:tc>
        <w:tc>
          <w:tcPr>
            <w:tcW w:w="12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0FFFF"/>
          </w:tcPr>
          <w:p>
            <w:pPr>
              <w:spacing w:after="0"/>
              <w:rPr>
                <w:sz w:val="18"/>
                <w:szCs w:val="18"/>
                <w:color w:val="auto"/>
              </w:rPr>
            </w:pPr>
          </w:p>
        </w:tc>
        <w:tc>
          <w:tcPr>
            <w:tcW w:w="2360" w:type="dxa"/>
            <w:vAlign w:val="bottom"/>
            <w:shd w:val="clear" w:color="auto" w:fill="C0FFFF"/>
          </w:tcPr>
          <w:p>
            <w:pPr>
              <w:spacing w:after="0"/>
              <w:rPr>
                <w:sz w:val="18"/>
                <w:szCs w:val="18"/>
                <w:color w:val="auto"/>
              </w:rPr>
            </w:pPr>
          </w:p>
        </w:tc>
        <w:tc>
          <w:tcPr>
            <w:tcW w:w="12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0FF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8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vMerge w:val="continue"/>
          </w:tcPr>
          <w:p>
            <w:pPr>
              <w:spacing w:after="0"/>
              <w:rPr>
                <w:sz w:val="19"/>
                <w:szCs w:val="19"/>
                <w:color w:val="auto"/>
              </w:rPr>
            </w:pPr>
          </w:p>
        </w:tc>
        <w:tc>
          <w:tcPr>
            <w:tcW w:w="34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2360" w:type="dxa"/>
            <w:vAlign w:val="bottom"/>
            <w:shd w:val="clear" w:color="auto" w:fill="C0FFFF"/>
          </w:tcPr>
          <w:p>
            <w:pPr>
              <w:spacing w:after="0"/>
              <w:rPr>
                <w:sz w:val="19"/>
                <w:szCs w:val="19"/>
                <w:color w:val="auto"/>
              </w:rPr>
            </w:pP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0FFFF"/>
          </w:tcPr>
          <w:p>
            <w:pPr>
              <w:spacing w:after="0"/>
              <w:rPr>
                <w:sz w:val="19"/>
                <w:szCs w:val="19"/>
                <w:color w:val="auto"/>
              </w:rPr>
            </w:pPr>
          </w:p>
        </w:tc>
        <w:tc>
          <w:tcPr>
            <w:tcW w:w="1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980" w:type="dxa"/>
            <w:vAlign w:val="bottom"/>
          </w:tcPr>
          <w:p>
            <w:pPr>
              <w:spacing w:after="0"/>
              <w:rPr>
                <w:sz w:val="24"/>
                <w:szCs w:val="24"/>
                <w:color w:val="auto"/>
              </w:rPr>
            </w:pPr>
          </w:p>
        </w:tc>
        <w:tc>
          <w:tcPr>
            <w:tcW w:w="3420" w:type="dxa"/>
            <w:vAlign w:val="bottom"/>
            <w:tcBorders>
              <w:top w:val="single" w:sz="8" w:color="C0FFFF"/>
            </w:tcBorders>
          </w:tcPr>
          <w:p>
            <w:pPr>
              <w:spacing w:after="0"/>
              <w:rPr>
                <w:sz w:val="24"/>
                <w:szCs w:val="24"/>
                <w:color w:val="auto"/>
              </w:rPr>
            </w:pPr>
          </w:p>
        </w:tc>
        <w:tc>
          <w:tcPr>
            <w:tcW w:w="2360" w:type="dxa"/>
            <w:vAlign w:val="bottom"/>
            <w:tcBorders>
              <w:top w:val="single" w:sz="8" w:color="C0FFFF"/>
            </w:tcBorders>
          </w:tcPr>
          <w:p>
            <w:pPr>
              <w:jc w:val="right"/>
              <w:ind w:right="8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6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2012,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81" w:lineRule="exact"/>
        <w:rPr>
          <w:sz w:val="20"/>
          <w:szCs w:val="20"/>
          <w:color w:val="auto"/>
        </w:rPr>
      </w:pPr>
    </w:p>
    <w:p>
      <w:pPr>
        <w:jc w:val="both"/>
        <w:ind w:firstLine="648"/>
        <w:spacing w:after="0" w:line="188"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Inc. GMC</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General Motors Corporation. Hino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Isuzu Motors Limited. Kenworth</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Inc. doing business as Kenworth Truck Company. Volvo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Volvo Trademark Holding AB. Freightliner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Freightliner Corporation. Mack</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Mack Trucks, Inc. Navistar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Navistar International Corporation. Caterpillar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Caterpillar, Inc. PacLease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Leasing Corporation. CitiCapital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Citicorp. Ford</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Ford Motor Company. Ford Motor Credit Company</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Ford Motor Company. Cummins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Cummins Intellectual Property, Inc. Eaton</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Eaton Corporation. Arvin Meritor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Meritor Technology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 JPMorgan Chase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JP Morgan Chase &amp; Co. SAP</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SAP Aktiengesellschaft. International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Navistar International Transportation Corp. Blue Bird</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Blue Bird Investment Corporation. Autocar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Shem, LLC. IC Bus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IC Bus, LLC. Collins Bus Corporation</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Collins Bus Corporation. Fuso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Mitsubishi Fuso Truck and Bus Corporation. Micro Bird</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Blue Bird Body Company. Allison Transmission</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Allison Transmission, Inc.</w:t>
      </w:r>
    </w:p>
    <w:p>
      <w:pPr>
        <w:spacing w:after="0" w:line="3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536"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Rush Truck Centers are principally located in high traffic areas throughout the United States. Since commencing operations as a Peterbilt heavy-duty truck dealer in 1966, the Company has grown to operate 78 Rush Truck Centers in 15 states.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expand product lines and extend our geographic reach through strategic acquisitions and expansion in our existing areas of responsibility.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8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8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8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82" w:right="59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4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is not aware of any impairment charge that may currently be required; however, a change in economic conditions, if one occurs, could result in an impairment charge in future periods.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believe there is a reasonable likelihood that there will be a material change in the future estimates or assumptions it used to test for impairment losses on goodwill in the near term.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Accruals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3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540"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38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538"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includes the Company’s historical results of operations for the three months ended March 31, 2013 and 2012.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w:t>
      </w:r>
    </w:p>
    <w:p>
      <w:pPr>
        <w:spacing w:after="0" w:line="27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168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0FFFF"/>
          </w:tcPr>
          <w:p>
            <w:pPr>
              <w:spacing w:after="0"/>
              <w:rPr>
                <w:sz w:val="19"/>
                <w:szCs w:val="19"/>
                <w:color w:val="auto"/>
              </w:rPr>
            </w:pPr>
          </w:p>
        </w:tc>
        <w:tc>
          <w:tcPr>
            <w:tcW w:w="5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40" w:type="dxa"/>
            <w:vAlign w:val="bottom"/>
            <w:tcBorders>
              <w:bottom w:val="single" w:sz="8" w:color="auto"/>
            </w:tcBorders>
            <w:shd w:val="clear" w:color="auto" w:fill="C0FFFF"/>
          </w:tcPr>
          <w:p>
            <w:pPr>
              <w:spacing w:after="0"/>
              <w:rPr>
                <w:sz w:val="19"/>
                <w:szCs w:val="19"/>
                <w:color w:val="auto"/>
              </w:rPr>
            </w:pPr>
          </w:p>
        </w:tc>
        <w:tc>
          <w:tcPr>
            <w:tcW w:w="5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040" w:type="dxa"/>
            <w:vAlign w:val="bottom"/>
            <w:tcBorders>
              <w:bottom w:val="single" w:sz="8" w:color="auto"/>
            </w:tcBorders>
            <w:shd w:val="clear" w:color="auto" w:fill="C0FFFF"/>
          </w:tcPr>
          <w:p>
            <w:pPr>
              <w:spacing w:after="0"/>
              <w:rPr>
                <w:sz w:val="19"/>
                <w:szCs w:val="19"/>
                <w:color w:val="auto"/>
              </w:rPr>
            </w:pPr>
          </w:p>
        </w:tc>
        <w:tc>
          <w:tcPr>
            <w:tcW w:w="5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Borders>
              <w:bottom w:val="single" w:sz="8" w:color="auto"/>
            </w:tcBorders>
            <w:shd w:val="clear" w:color="auto" w:fill="C0FFFF"/>
          </w:tcPr>
          <w:p>
            <w:pPr>
              <w:spacing w:after="0"/>
              <w:rPr>
                <w:sz w:val="19"/>
                <w:szCs w:val="19"/>
                <w:color w:val="auto"/>
              </w:rPr>
            </w:pPr>
          </w:p>
        </w:tc>
        <w:tc>
          <w:tcPr>
            <w:tcW w:w="5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0FFFF"/>
          </w:tcPr>
          <w:p>
            <w:pPr>
              <w:spacing w:after="0"/>
              <w:rPr>
                <w:sz w:val="19"/>
                <w:szCs w:val="19"/>
                <w:color w:val="auto"/>
              </w:rPr>
            </w:pPr>
          </w:p>
        </w:tc>
        <w:tc>
          <w:tcPr>
            <w:tcW w:w="5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7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66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40" w:type="dxa"/>
            <w:vAlign w:val="bottom"/>
            <w:shd w:val="clear" w:color="auto" w:fill="C0FFFF"/>
          </w:tcPr>
          <w:p>
            <w:pPr>
              <w:spacing w:after="0"/>
              <w:rPr>
                <w:sz w:val="19"/>
                <w:szCs w:val="19"/>
                <w:color w:val="auto"/>
              </w:rPr>
            </w:pPr>
          </w:p>
        </w:tc>
        <w:tc>
          <w:tcPr>
            <w:tcW w:w="7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9"/>
                <w:szCs w:val="19"/>
                <w:color w:val="auto"/>
              </w:rPr>
            </w:pPr>
          </w:p>
        </w:tc>
      </w:tr>
      <w:tr>
        <w:trPr>
          <w:trHeight w:val="635"/>
        </w:trPr>
        <w:tc>
          <w:tcPr>
            <w:tcW w:w="1160" w:type="dxa"/>
            <w:vAlign w:val="bottom"/>
          </w:tcPr>
          <w:p>
            <w:pPr>
              <w:spacing w:after="0"/>
              <w:rPr>
                <w:sz w:val="24"/>
                <w:szCs w:val="24"/>
                <w:color w:val="auto"/>
              </w:rPr>
            </w:pPr>
          </w:p>
        </w:tc>
        <w:tc>
          <w:tcPr>
            <w:tcW w:w="5660" w:type="dxa"/>
            <w:vAlign w:val="bottom"/>
            <w:tcBorders>
              <w:top w:val="single" w:sz="8" w:color="C0FFFF"/>
            </w:tcBorders>
          </w:tcPr>
          <w:p>
            <w:pPr>
              <w:ind w:left="446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0FF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5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6" w:name="page17"/>
    <w:bookmarkEnd w:id="16"/>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(revenue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1280" w:type="dxa"/>
            <w:vAlign w:val="bottom"/>
            <w:shd w:val="clear" w:color="auto" w:fill="C0FFFF"/>
          </w:tcPr>
          <w:p>
            <w:pPr>
              <w:spacing w:after="0"/>
              <w:rPr>
                <w:sz w:val="18"/>
                <w:szCs w:val="18"/>
                <w:color w:val="auto"/>
              </w:rPr>
            </w:pPr>
          </w:p>
        </w:tc>
        <w:tc>
          <w:tcPr>
            <w:tcW w:w="820" w:type="dxa"/>
            <w:vAlign w:val="bottom"/>
            <w:tcBorders>
              <w:top w:val="single" w:sz="8" w:color="auto"/>
            </w:tcBorders>
            <w:shd w:val="clear" w:color="auto" w:fill="C0FFFF"/>
          </w:tcPr>
          <w:p>
            <w:pPr>
              <w:spacing w:after="0"/>
              <w:rPr>
                <w:sz w:val="18"/>
                <w:szCs w:val="18"/>
                <w:color w:val="auto"/>
              </w:rPr>
            </w:pPr>
          </w:p>
        </w:tc>
        <w:tc>
          <w:tcPr>
            <w:tcW w:w="440" w:type="dxa"/>
            <w:vAlign w:val="bottom"/>
            <w:tcBorders>
              <w:top w:val="single" w:sz="8" w:color="auto"/>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820" w:type="dxa"/>
            <w:vAlign w:val="bottom"/>
            <w:tcBorders>
              <w:top w:val="single" w:sz="8" w:color="auto"/>
            </w:tcBorders>
            <w:shd w:val="clear" w:color="auto" w:fill="C0FFFF"/>
          </w:tcPr>
          <w:p>
            <w:pPr>
              <w:spacing w:after="0"/>
              <w:rPr>
                <w:sz w:val="18"/>
                <w:szCs w:val="18"/>
                <w:color w:val="auto"/>
              </w:rPr>
            </w:pPr>
          </w:p>
        </w:tc>
        <w:tc>
          <w:tcPr>
            <w:tcW w:w="440" w:type="dxa"/>
            <w:vAlign w:val="bottom"/>
            <w:tcBorders>
              <w:top w:val="single" w:sz="8" w:color="auto"/>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4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128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8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128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8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128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128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1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80" w:type="dxa"/>
            <w:vAlign w:val="bottom"/>
          </w:tcPr>
          <w:p>
            <w:pPr>
              <w:spacing w:after="0"/>
              <w:rPr>
                <w:sz w:val="18"/>
                <w:szCs w:val="18"/>
                <w:color w:val="auto"/>
              </w:rPr>
            </w:pPr>
          </w:p>
        </w:tc>
        <w:tc>
          <w:tcPr>
            <w:tcW w:w="8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128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8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gridSpan w:val="2"/>
            <w:shd w:val="clear" w:color="auto" w:fill="C0FF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8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100" w:type="dxa"/>
            <w:vAlign w:val="bottom"/>
            <w:gridSpan w:val="2"/>
            <w:shd w:val="clear" w:color="auto" w:fill="C0FF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Other vehicle revenue:</w:t>
            </w:r>
            <w:r>
              <w:rPr>
                <w:rFonts w:ascii="Times New Roman" w:cs="Times New Roman" w:eastAsia="Times New Roman" w:hAnsi="Times New Roman"/>
                <w:sz w:val="25"/>
                <w:szCs w:val="25"/>
                <w:color w:val="auto"/>
                <w:vertAlign w:val="superscript"/>
              </w:rPr>
              <w:t>(1)</w:t>
            </w:r>
          </w:p>
        </w:tc>
        <w:tc>
          <w:tcPr>
            <w:tcW w:w="2100" w:type="dxa"/>
            <w:vAlign w:val="bottom"/>
            <w:gridSpan w:val="2"/>
            <w:shd w:val="clear" w:color="auto" w:fill="C0FF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128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c>
          <w:tcPr>
            <w:tcW w:w="14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ind w:left="114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8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ratio was approximately 80%. The Company has made a concerted effort to increase its absorption ratio since 1999. The Company’s truck dealerships achieved a 111.9% absorption ratio for the first quarter of 2013 and 116.7% absorption ratio for the first quarter in 2012.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2013 Compared to Three Months Ended March 31, 2012</w:t>
      </w:r>
    </w:p>
    <w:p>
      <w:pPr>
        <w:spacing w:after="0" w:line="2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performance remained strong this quarter despite a decrease in U.S. retail sales of Class 8 trucks and expected sluggishness in energy sector activity. Geographic expansion of the Company’s dealership network, breadth of product offerings and a sustained focus on parts, service and body shop aftermarket operations continue to positively impact the Company’s financial performance.</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Increased maintenance of aged vehicles, incremental revenues generated from newly acquired dealerships and innovative aftermarket services continue to result in strong financial performance for the Company’s aftermarket operations. The Company has invested in personnel, facility enhancements, advanced diagnostic technology, mobile service offerings, custom vehicle modifications services and alternative fuel capabilities that expand its portfolio of aftermarket customer solutions. These investments allow the Company to efficiently support its customers in the Company’s shops or its customers’ job sites and are a key factor in its ability to increase aftermarket revenues. The Company expects parts, service and body shop revenues to remain strong throughout 2013.</w:t>
      </w:r>
    </w:p>
    <w:p>
      <w:pPr>
        <w:spacing w:after="0" w:line="24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April 2013, the Company relocated its Ardmore, Oklahoma dealership to a new facility that increased new truck and parts inventory and expanded service capabilities, including the ability to safely service vehicles fueled by natural gas. We expect to complete construction of a new dealerships in Corpus Christi, Texas in 2013. Additionally, the Company intends to complete construction of replacement facilities for its dealerships in San Antonio, Texas, Denver, Colorado, Cincinnati, Ohio and Columbus, Ohio in 2014.</w:t>
      </w:r>
    </w:p>
    <w:p>
      <w:pPr>
        <w:spacing w:after="0" w:line="3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540" w:right="61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track record of growth through acquisitions and additions of dealerships within its current areas of responsibility. It now operates a network of 78 Rush Truck Centers across the United States. The Company believes that this geographic diversity allows it to more effectively withstand regional economic downturns and expand service capabilities to match the footprint of its customer base.</w:t>
      </w:r>
    </w:p>
    <w:p>
      <w:pPr>
        <w:spacing w:after="0" w:line="23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overall parts, service and body shop sales increased 17.7% in the first quarter of 2013 compared to the first quarter of 2012. This contributed to the Company achieving an absorption ratio of 111.9% for the quarter ended March 31, 2013. Our absorption ratio decreased approximately 4.1% from the first quarter of 2012 due to a decrease in energy sector activity and the acquisition of nine dealerships in Ohio on December 31, 2012, which operated with absorption ratios well below the Company average.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decreased $20.5 million, or 2.6%, in the first quarter of 2013 compared to the first quarter of 2012.</w:t>
      </w: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Parts, service and body shop revenues increased $34.8 million, or 17.7%, in the first quarter of 2013 compared to the first quarter of 2012. This increase is the result of increased service needs of aging vehicles, expanded product and service offerings and the Company’s acquisition of nine dealerships in Ohio on December 31, 2012. The Company expects parts, service and body shop sales to continue to remain strong through 2013 and remains focused on expanding aftermarket product and service offerings.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$62.3 million, or 11.3%, in the first quarter of 2013 compared to the first quarter of 2012.</w:t>
      </w:r>
    </w:p>
    <w:p>
      <w:pPr>
        <w:spacing w:after="0" w:line="21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sold 2,065 heavy-duty trucks in the first quarter of 2013, a 24.6% decrease compared to 2,738 heavy-duty trucks in the first quarter of 2012. According to A.C.T. Research Co., LLC (“A.C.T. Research”), a truck industry data and forecasting service provider, the U.S. Class 8 truck market decreased 17% in the first quarter of 2013 compared to the first quarter of 2012. A.C.T. Research currently predicts U.S. retail sales of Class 8 trucks of approximately 198,000 units in 2013, 227,000 units in 2014, and 213,000 units in 2015, compared to approximately 198,000 units in 2012. The Company’s share of the U.S. Class 8 truck sales market was approximately 5.0% in 2012. The Company expects its market share to range between 5.2% and 5.5% of U.S. Class 8 truck sales in 2013. This market share percentage would result in the sale of approximately 10,300 to 10,800 of Class 8 trucks in 2013 based on A.C.T. Research’s estimate of U.S. retail sales of 198,000 units.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sold 1,954 Class 4 through 7 commercial vehicles, including 190 buses, in the first quarter of 2013, a 25.6% increase compared to 1,556 medium-duty commercial vehicles, including 136 buses, in 2012. A.C.T. Research estimates that unit sales of Class 4 through 7 commercial vehicles in the U.S. decreased approximately 2.0% in the first quarter of 2013, compared to the first quarter of 2012. A.C.T. Research currently predicts U.S. retail sales of Class 4 through 7 medium-duty commercial vehicles of approximately 182,000 units in 2013, 196,000 units in 2014, and 209,000 in 2015. In 2012, the Company achieved a 4.3% share of the Class 4 through 7 commercial vehicle sales market in the U.S. The Company expects its market share to range between 4.1% and 4.6% of U.S. Class 4 through 7 commercial vehicle sales in 2013. This market share percentage would result in the sale of approximately 7,500 to 8,400 of Class 4 through 7 commercial vehicles in 2013 based on A.C.T. Research’s current U.S. retail sales estimates of 182,000 units.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395 light-duty vehicles in the first quarter of 2013, a 42.6% increase compared to 277 light-duty vehicles in the first quarter of 2012. The Company expects to sell approximately 1,500 light-duty vehicles in 2013.</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sold 1,414 used commercial vehicles in the first quarter of 2013, a 12.9% increase compared to 1,252 used commercial vehicles in the first quarter of 2012. The Company expects to sell 4,800 to 5,300 used commercial vehicles in 2013. The volume of used commercial vehicle sales will be largely dependent upon our ability to acquire quality used commercial vehicles and maintain an adequate used commercial vehicle inventory throughout 2013.</w:t>
      </w:r>
    </w:p>
    <w:p>
      <w:pPr>
        <w:spacing w:after="0" w:line="1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40" w:right="59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Truck lease and rental revenues increased $6.7 million, or 28.4%, in the first quarter of 2013 compared to the first quarter of 2012. The increase in lease and rental revenue is primarily due to the increased number of units put into service in the lease and rental fleet during 2012 and the Ohio acquisition that occurred in the fourth quarter of 2012. The Company expects lease and rental revenue to increase 20% to 25% during 2013, compared to 2012.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and insurance revenues remained flat at $3.1 million in the first quarter of 2013 compared to the first quarter of 2012. The Company expects finance and insurance revenue to fluctuate proportionately with the Company’s new and used commercial vehicle sales in 2013. Finance and insurance revenues have limited direct costs and, therefore, contribute a disproportionate share of the Company’s operating profits.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8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Gross profit increased $5.5 million, or 4.3%, in the first quarter of 2013, compared to the first quarter of 2012. Gross profit as a percentage of sales increased to 17.7% in the first quarter of 2013 from 16.5% in the first quarter of 2012. This increase in gross profit as a percentage of sales is a result of a change in our product sales mix. Commercial vehicle sales, a lower margin revenue item, decreased as a percentage of total revenue to 64.7% in 2013, from 71.0% in 2012. Parts and service revenue, a higher margin revenue item, increased as a percentage of total revenue to 30.6% in 2013, from 25.3% in 2012.</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margins from the Company’s parts, service and body shop operations decreased to 37.1% in the first quarter of 2013, from 39.9% in the first quarter of 2012. Gross profit for the parts, service and body shop departments increased to $85.8 million in the first quarter of 2013 from $78.4 million in the first quarter of 2012. Historically, parts operations gross margins range from 27% to 28% and service and body shop operations range from 67% to 68%. Gross profits from parts sales represented 55% of total gross profit for parts, service and body shop operations in the first quarter of 2013, compared to 52% in the first quarter of 2012. Service and body shop operations represented 45% of total gross profit for parts, service and body shop operations in the first quarter of 2013, compared to 48% in the first quarter of 2012. The Company expects blended gross margins on parts, service and body shop operations to range from 37.0% to 39.0% in 2013.</w:t>
      </w:r>
    </w:p>
    <w:p>
      <w:pPr>
        <w:spacing w:after="0" w:line="24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Gross margins on Class 8 truck sales remained consistent at 7.4% in the first quarter of 2013 and the first quarter of 2012. In 2013, the Company expects overall gross margins from Class 8 truck sales of approximately 6.5% to 7.5%.</w:t>
      </w:r>
    </w:p>
    <w:p>
      <w:pPr>
        <w:spacing w:after="0" w:line="21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5.7% in the first quarter of 2013, from 5.0% in the first quarter of 2012. Gross margins on medium-duty commercial vehicles are difficult to forecast accurately because gross margins vary significantly depending upon the mix of fleet and non-fleet purchasers and types of medium-duty commercial vehicles sold. For 2013, the Company expects overall gross margins from medium-duty commercial vehicle sales of approximately 4.5% to 5.5%, but this will largely depend upon the mix of purchasers and types of vehicles sold.</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Gross margins on used commercial vehicle sales remained consistent at 10.0% in the first quarter of 2013 and in the first quarter of 2012. The Company expects margins on used commercial vehicles to range between 8.0% and 10.0% during 2013 depending upon general economic conditions and the availability of quality used vehicles.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18.0% in the first quarter of 2013, from 14.8% in the first quarter of 2012. This increase was attributable to higher utilization of the lease and rental units in the Company’s fleet and decreased maintenance costs. The Company expects gross margins from lease and rental sales of approximately 16.0% to 18.0% during 2013,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potentially a corresponding gain or loss on sale when the unit is sold at the end of the lease term.</w:t>
      </w:r>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36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86" w:right="5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$9.1 million, or 9.8%, in the first quarter of 2013, compared to the first quarter of 2012. SG&amp;A expenses as a percentage of total revenue increased to 13.5% in the first quarter of 2013, from 12.0% in the first quarter of 2012.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2013, the Company expects SG&amp;A expenses as a percentage of total revenue to range from 11.0% to 12.0% and the selling portion of SG&amp;A expenses to be approximately 25% to 30% of new and used commercial vehicle gross profit. In 2013, the Company expects the general and administrative portion of SG&amp;A expenses to increase by approximately 10.0% to 15.0% compared to 2012 due primarily to the full year effect of the Ohio acquisition that occurred in December 2012.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$1.2 million, or 20.8%, in the first quarter of 2013 compared to 2012. This increase is primarily due to the Ohio acquisition and dealership expansions.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8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interest expense decreased $0.8 million, or 23.9%, in the first quarter of 2013 compared to the first quarter of 2012. The decrease in net interest expense is primarily due to decreased truck inventory levels. Net interest expense in 2013 will depend on inventory levels and cash available for prepayment of floor plan financing.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81"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from continuing operations before income taxes decreased $4.0 million, or 15.2%, in the first quarter of 2013 compared to the first quarter of 2012.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81"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Income taxes decreased $1.6 million, or 15.9%, in the first quarter of 2013, compared to the first quarter of 2012. The Company provided for taxes at a 38.7% effective rate in the first quarter of 2013 compared to an effective rate of 39.0% in the first quarter of 2012. The Company expects its effective tax rate to be approximately 37% to 39% of pretax income in 2013.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March 31, 2013, the Company had working capital of approximately $246.9 million, including $205.0 million in cash available to fund our operations. The Company believes that these funds are sufficient to meet its operating requirements for at least the next twelve months.</w:t>
      </w:r>
    </w:p>
    <w:p>
      <w:pPr>
        <w:spacing w:after="0" w:line="23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has a secured line of credit that provides for a maximum borrowing of $10.0 million. There were no advances outstanding under this secured line of credit at March 31, 2013, however, $7.6 million was pledged to secure various letters of credit related to self-insurance products, leaving $2.4 million available for future borrowings as of March 31, 2013.</w:t>
      </w:r>
    </w:p>
    <w:p>
      <w:pPr>
        <w:spacing w:after="0" w:line="23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March 31, 2013,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23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purchase or lease trucks worth approximately $125.0 million for its leasing operations during 2013, depending on customer demand, all of which will be financed. The Company also expects to make capital expenditures for recurring items such as computers, shop tools and equipment and vehicles of approximately $15.0 million to $18.0 million during 2013.</w:t>
      </w:r>
    </w:p>
    <w:p>
      <w:pPr>
        <w:spacing w:after="0" w:line="230"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under contract to construct a dealership facility in Ardmore, Oklahoma at an estimated cost of $4.9 million. The construction project was completed in the April of 2013.</w:t>
      </w:r>
    </w:p>
    <w:p>
      <w:pPr>
        <w:spacing w:after="0" w:line="216" w:lineRule="exact"/>
        <w:rPr>
          <w:sz w:val="20"/>
          <w:szCs w:val="20"/>
          <w:color w:val="auto"/>
        </w:rPr>
      </w:pPr>
    </w:p>
    <w:p>
      <w:pPr>
        <w:jc w:val="both"/>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under contract to construct a dealership facility in Corpus Christi, Texas at an estimated cost of $6.6 million. The construction project is estimated to continue through the third quarter of 2013.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funding its capital expenditures relating to the improvement and expansion of existing facilities and recurring expenses through its operating cash flow and the construction or purchase of new facilities through either its operating cash flow or financing 70% to 80% of the appraised value.</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 2013, the Company’s Board of Directors approved a stock repurchase program authorizing the Company to repurchase, from time to time, up to an aggregate of $40.0 million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January 31, 2014,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 other material commitments for capital expenditures as of March 31, 2013,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83"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$6.3 million during the three months ended March 31, 2013 and decreased by $44.0 million during the three months ended March 31, 2012. The major components of these changes are discussed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2013, operating activities resulted in net cash provided by operations of $57.1 million. Cash provided by operating activities was primarily impacted by the decrease in inventories and receivables and the increase in accounts payable which was offset by the decrease in accrued liabilities.</w:t>
      </w:r>
    </w:p>
    <w:p>
      <w:pPr>
        <w:spacing w:after="0" w:line="23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first quarter of 2012, operating activities resulted in net cash used in operations of $130.2 million. Cash used in operating activities was primarily impacted by the increase in inventories and the decrease in accrued expenses which was offset by the decrease in accounts receivable and the increase in accounts payable.</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March 31, 2013, the interest rate on the wholesale financing agreement was 5.25% before considering the applicable incentives. As of March 31, 2013, the Company had an outstanding balance of $32.3 million under the Ford Motor Credit Company wholesale financing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flows used in investing activities consist primarily of cash used for capital expenditures and business acquisitions. During the first quarter of 2013, cash used in investing activities was $29.4 million. Capital expenditures consisted of purchases of property and equipment and improvements to our existing dealership facilities of $30.2 million. Property and equipment purchases during the first quarter of 2013 consisted of $22.2 million for additional units for rental and leasing operations, which was directly offset by borrowings of long-term debt. The Company expects to purchase or lease trucks worth approximately $125.0 million for its leasing operations in 2013, depending on customer demand, all of which will be financed. During 2013, the Company expects to make capital expenditures for recurring items such as computers, shop equipment and vehicles of approximately $15.0 to $18.0 million.</w:t>
      </w:r>
    </w:p>
    <w:p>
      <w:pPr>
        <w:spacing w:after="0" w:line="24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first quarter of 2012, cash used in investing activities was $38.4 million. Capital expenditures consisted of purchases of property and equipment and improvements to our existing dealership facilities of $38.0 million. Property and equipment purchases during the first quarter of 2012 consisted of $29.7 million for additional units for rental and leasing operations, which was directly offset by borrowings of long-term debt.</w:t>
      </w:r>
    </w:p>
    <w:p>
      <w:pPr>
        <w:spacing w:after="0" w:line="3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40" w:right="5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81"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Cash used in financing activities was $21.4 million during the first quarter of 2013. The Company had borrowings of long-term debt of $30.6 million and repayments of long-term debt and capital lease obligations of $25.9 million during the first quarter of 2013. The Company had net payment on floor plan notes payable, non-trade of $34.1 million during the first quarter of 2013. The borrowings of long-term debt were primarily related to units for the rental and leasing operations.</w:t>
      </w:r>
    </w:p>
    <w:p>
      <w:pPr>
        <w:spacing w:after="0" w:line="23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$124.7 million during the first quarter of 2012. The Company had borrowings of long-term debt of $31.2 million and repayments of long-term debt and capital lease obligations of $19.9 million during the first quarter of 2012. The Company had net draws on floor plan notes payable of $107.9 million during the first quarter of 2012. The borrowings of long-term debt were primarily related to units for the rental and leasing operations.</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Substantially all of the Company’s commercial vehicle purchases are made on terms requiring payment to the manufacturer within 15 days or less from the date the commercial vehicles are invoiced from the factory. 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 The Company makes monthly interest payments to GE Capital on the amount financed, but is not required to commence loan principal repayments on any vehicle until such vehicle has been financed for 12 months or was sold, whichever occurs first. On March 31, 2013, the Company had approximately $466.0 million outstanding under its credit agreement with GE Capital.</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81"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31, 2013, the Company’s backlog of commercial vehicle orders was approximately $770.8 million compared to a backlog of commercial vehicle orders of approximately $649.3 million on March 31, 2012. The Company includes only confirmed orders in its backlog. The delivery time for a custom-ordered commercial vehicle varies depending on the commercial vehicle specifications and demand for the particular model ordered, however, the Company expects to fill all of its backlog orders during 2013. The Company sells the majority of its new commercial vehicles by customer special order, with the remainder sold out of inventory. Orders from a number of the Company’s major fleet customers are included in the Company’s backlog as of March 31, 2013.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81"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3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38" w:right="5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24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38" w:right="5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March 31, 2013, the Company had floor plan borrowings and variable interest rate real estate debt of approximately $565.9 million. Assuming an increase or decrease in LIBOR of 100 basis points, annual interest expense could correspondingly increase or decrease by approximately $5.7 million.</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2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is exposed to some market risk through interest rate swaps on some of the Company’s variable interest rate real estate debt. As of March 31, 2013, the Company had interest rate swaps with a total notional amount of $40.9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24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is also exposed to some market risk through interest rates related to the investment of our current cash and cash equivalents which totaled $205.0 million on March 31, 2013.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$2.1 million.</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23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2013,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3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536" w:right="6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2013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three months ended March 31, 2013 that has materially affected, or is reasonably likely to materially affect, the Company’s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2012 Annual Report on Form 10-K (the “2012 Annual Report”) describes some of the risks and uncertainties associated with our business that have the potential to materially affect our business, financial condition or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2012 Annual Report.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first quarter of 2013.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shares of its Class A Common Stock or Class B Common Stock during the first quarter of 2013.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536" w:right="6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18"/>
                <w:szCs w:val="18"/>
                <w:color w:val="auto"/>
              </w:rPr>
            </w:pPr>
          </w:p>
        </w:tc>
        <w:tc>
          <w:tcPr>
            <w:tcW w:w="102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21"/>
                <w:szCs w:val="21"/>
                <w:color w:val="auto"/>
              </w:rPr>
            </w:pPr>
          </w:p>
        </w:tc>
        <w:tc>
          <w:tcPr>
            <w:tcW w:w="10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8"/>
        </w:trPr>
        <w:tc>
          <w:tcPr>
            <w:tcW w:w="20" w:type="dxa"/>
            <w:vAlign w:val="bottom"/>
          </w:tcPr>
          <w:p>
            <w:pPr>
              <w:spacing w:after="0"/>
              <w:rPr>
                <w:sz w:val="17"/>
                <w:szCs w:val="17"/>
                <w:color w:val="auto"/>
              </w:rPr>
            </w:pPr>
          </w:p>
        </w:tc>
        <w:tc>
          <w:tcPr>
            <w:tcW w:w="980" w:type="dxa"/>
            <w:vAlign w:val="bottom"/>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7"/>
                <w:szCs w:val="17"/>
                <w:color w:val="auto"/>
              </w:rPr>
            </w:pPr>
          </w:p>
        </w:tc>
        <w:tc>
          <w:tcPr>
            <w:tcW w:w="10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(File No. 000-20797) for the quarter ended June 30, 2008)</w:t>
            </w:r>
          </w:p>
        </w:tc>
      </w:tr>
      <w:tr>
        <w:trPr>
          <w:trHeight w:val="216"/>
        </w:trPr>
        <w:tc>
          <w:tcPr>
            <w:tcW w:w="10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3.2 of the Company’s Quarterly Report on</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Form 10-Q (File No. 000-20797) filed for the quarter ended June 30, 2009)</w:t>
            </w:r>
          </w:p>
        </w:tc>
      </w:tr>
      <w:tr>
        <w:trPr>
          <w:trHeight w:val="216"/>
        </w:trPr>
        <w:tc>
          <w:tcPr>
            <w:tcW w:w="10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216"/>
        </w:trPr>
        <w:tc>
          <w:tcPr>
            <w:tcW w:w="10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216"/>
        </w:trPr>
        <w:tc>
          <w:tcPr>
            <w:tcW w:w="10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216"/>
        </w:trPr>
        <w:tc>
          <w:tcPr>
            <w:tcW w:w="10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10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 w:lineRule="exact"/>
        <w:rPr>
          <w:sz w:val="20"/>
          <w:szCs w:val="20"/>
          <w:color w:val="auto"/>
        </w:rPr>
      </w:pPr>
    </w:p>
    <w:p>
      <w:pPr>
        <w:ind w:left="660" w:right="140" w:hanging="65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2013</w:t>
      </w:r>
      <w:r>
        <w:rPr>
          <w:sz w:val="20"/>
          <w:szCs w:val="20"/>
          <w:color w:val="auto"/>
        </w:rPr>
        <w:tab/>
      </w:r>
      <w:r>
        <w:rPr>
          <w:rFonts w:ascii="Times New Roman" w:cs="Times New Roman" w:eastAsia="Times New Roman" w:hAnsi="Times New Roman"/>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W.M. “Rusty” Rush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80" w:val="left"/>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2013</w:t>
      </w:r>
      <w:r>
        <w:rPr>
          <w:sz w:val="20"/>
          <w:szCs w:val="20"/>
          <w:color w:val="auto"/>
        </w:rPr>
        <w:tab/>
      </w:r>
      <w:r>
        <w:rPr>
          <w:rFonts w:ascii="Times New Roman" w:cs="Times New Roman" w:eastAsia="Times New Roman" w:hAnsi="Times New Roman"/>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L. Keller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8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536" w:right="6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4"/>
        </w:trPr>
        <w:tc>
          <w:tcPr>
            <w:tcW w:w="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21"/>
                <w:szCs w:val="21"/>
                <w:color w:val="auto"/>
              </w:rPr>
            </w:pPr>
          </w:p>
        </w:tc>
        <w:tc>
          <w:tcPr>
            <w:tcW w:w="10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8"/>
        </w:trPr>
        <w:tc>
          <w:tcPr>
            <w:tcW w:w="2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7"/>
                <w:szCs w:val="17"/>
                <w:color w:val="auto"/>
              </w:rPr>
            </w:pPr>
          </w:p>
        </w:tc>
        <w:tc>
          <w:tcPr>
            <w:tcW w:w="10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10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 w:lineRule="exact"/>
        <w:rPr>
          <w:sz w:val="20"/>
          <w:szCs w:val="20"/>
          <w:color w:val="auto"/>
        </w:rPr>
      </w:pPr>
    </w:p>
    <w:p>
      <w:pPr>
        <w:ind w:left="660" w:right="140" w:hanging="652"/>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482"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79"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79"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right="400" w:firstLine="8"/>
        <w:spacing w:after="0" w:line="282" w:lineRule="auto"/>
        <w:tabs>
          <w:tab w:leader="none" w:pos="6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6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0" w:lineRule="exact"/>
        <w:rPr>
          <w:sz w:val="20"/>
          <w:szCs w:val="20"/>
          <w:color w:val="auto"/>
        </w:rPr>
      </w:pPr>
    </w:p>
    <w:p>
      <w:pPr>
        <w:jc w:val="both"/>
        <w:ind w:right="400" w:firstLine="8"/>
        <w:spacing w:after="0" w:line="266" w:lineRule="auto"/>
        <w:tabs>
          <w:tab w:leader="none" w:pos="7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4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sz w:val="20"/>
          <w:szCs w:val="20"/>
          <w:color w:val="auto"/>
        </w:rPr>
      </w:pPr>
    </w:p>
    <w:p>
      <w:pPr>
        <w:ind w:right="400" w:firstLine="8"/>
        <w:spacing w:after="0" w:line="282" w:lineRule="auto"/>
        <w:tabs>
          <w:tab w:leader="none" w:pos="9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7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sz w:val="20"/>
          <w:szCs w:val="20"/>
          <w:color w:val="auto"/>
        </w:rPr>
      </w:pPr>
    </w:p>
    <w:p>
      <w:pPr>
        <w:ind w:right="400" w:firstLine="8"/>
        <w:spacing w:after="0" w:line="282" w:lineRule="auto"/>
        <w:tabs>
          <w:tab w:leader="none" w:pos="6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16" w:lineRule="exact"/>
        <w:rPr>
          <w:sz w:val="20"/>
          <w:szCs w:val="20"/>
          <w:color w:val="auto"/>
        </w:rPr>
      </w:pPr>
    </w:p>
    <w:p>
      <w:pPr>
        <w:ind w:right="380" w:firstLine="8"/>
        <w:spacing w:after="0" w:line="282"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right="400" w:firstLine="8"/>
        <w:spacing w:after="0" w:line="282" w:lineRule="auto"/>
        <w:tabs>
          <w:tab w:leader="none" w:pos="8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880" w:val="left"/>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2013</w:t>
      </w:r>
      <w:r>
        <w:rPr>
          <w:sz w:val="20"/>
          <w:szCs w:val="20"/>
          <w:color w:val="auto"/>
        </w:rPr>
        <w:tab/>
      </w:r>
      <w:r>
        <w:rPr>
          <w:rFonts w:ascii="Times New Roman" w:cs="Times New Roman" w:eastAsia="Times New Roman" w:hAnsi="Times New Roman"/>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W.M. “Rusty” Rush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79"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79"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6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right="400" w:firstLine="8"/>
        <w:spacing w:after="0" w:line="282" w:lineRule="auto"/>
        <w:tabs>
          <w:tab w:leader="none" w:pos="6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0" w:lineRule="exact"/>
        <w:rPr>
          <w:sz w:val="20"/>
          <w:szCs w:val="20"/>
          <w:color w:val="auto"/>
        </w:rPr>
      </w:pPr>
    </w:p>
    <w:p>
      <w:pPr>
        <w:jc w:val="both"/>
        <w:ind w:right="400" w:firstLine="8"/>
        <w:spacing w:after="0" w:line="266" w:lineRule="auto"/>
        <w:tabs>
          <w:tab w:leader="none" w:pos="7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4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sz w:val="20"/>
          <w:szCs w:val="20"/>
          <w:color w:val="auto"/>
        </w:rPr>
      </w:pPr>
    </w:p>
    <w:p>
      <w:pPr>
        <w:ind w:right="400" w:firstLine="8"/>
        <w:spacing w:after="0" w:line="282" w:lineRule="auto"/>
        <w:tabs>
          <w:tab w:leader="none" w:pos="9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7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sz w:val="20"/>
          <w:szCs w:val="20"/>
          <w:color w:val="auto"/>
        </w:rPr>
      </w:pPr>
    </w:p>
    <w:p>
      <w:pPr>
        <w:ind w:right="400" w:firstLine="8"/>
        <w:spacing w:after="0" w:line="282" w:lineRule="auto"/>
        <w:tabs>
          <w:tab w:leader="none" w:pos="6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16" w:lineRule="exact"/>
        <w:rPr>
          <w:sz w:val="20"/>
          <w:szCs w:val="20"/>
          <w:color w:val="auto"/>
        </w:rPr>
      </w:pPr>
    </w:p>
    <w:p>
      <w:pPr>
        <w:ind w:right="380" w:firstLine="8"/>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right="400" w:firstLine="8"/>
        <w:spacing w:after="0" w:line="282" w:lineRule="auto"/>
        <w:tabs>
          <w:tab w:leader="none" w:pos="8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880" w:val="left"/>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2013</w:t>
      </w:r>
      <w:r>
        <w:rPr>
          <w:sz w:val="20"/>
          <w:szCs w:val="20"/>
          <w:color w:val="auto"/>
        </w:rPr>
        <w:tab/>
      </w:r>
      <w:r>
        <w:rPr>
          <w:rFonts w:ascii="Times New Roman" w:cs="Times New Roman" w:eastAsia="Times New Roman" w:hAnsi="Times New Roman"/>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L. Keller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2013,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Chief Executive Officer of the Company, certify, pursuant to 18 U.S.C. Section 1350, as adopted pursuant to Section 906 of the Sarbanes-Oxley Act of 2002, that:</w:t>
      </w:r>
    </w:p>
    <w:p>
      <w:pPr>
        <w:spacing w:after="0" w:line="230"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26035</wp:posOffset>
            </wp:positionV>
            <wp:extent cx="24441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4411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W.M. “Rusty” Rush</w:t>
      </w:r>
    </w:p>
    <w:p>
      <w:pPr>
        <w:spacing w:after="0" w:line="2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9"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Date:</w:t>
        <w:tab/>
        <w:t>May 10, 2013</w:t>
      </w:r>
    </w:p>
    <w:p>
      <w:pPr>
        <w:spacing w:after="0" w:line="200" w:lineRule="exact"/>
        <w:rPr>
          <w:sz w:val="20"/>
          <w:szCs w:val="20"/>
          <w:color w:val="auto"/>
        </w:rPr>
      </w:pPr>
    </w:p>
    <w:p>
      <w:pPr>
        <w:spacing w:after="0" w:line="22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3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2013,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Vice President and Chief Financial Officer of the Company, certify, pursuant to 18 U.S.C. Section 1350, as adopted pursuant to Section 906 of the Sarbanes-Oxley Act of 2002, that:</w:t>
      </w:r>
    </w:p>
    <w:p>
      <w:pPr>
        <w:spacing w:after="0" w:line="230"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26035</wp:posOffset>
            </wp:positionV>
            <wp:extent cx="25126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Name:Steven L. Keller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10, 2013</w:t>
      </w:r>
    </w:p>
    <w:p>
      <w:pPr>
        <w:spacing w:after="0" w:line="200" w:lineRule="exact"/>
        <w:rPr>
          <w:sz w:val="20"/>
          <w:szCs w:val="20"/>
          <w:color w:val="auto"/>
        </w:rPr>
      </w:pPr>
    </w:p>
    <w:p>
      <w:pPr>
        <w:spacing w:after="0" w:line="3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Letter"/>
      <w:start w:val="1"/>
    </w:lvl>
    <w:lvl w:ilvl="1">
      <w:lvlJc w:val="left"/>
      <w:lvlText w:val="(%2)"/>
      <w:numFmt w:val="lowerLetter"/>
      <w:start w:val="2"/>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lvl w:ilvl="1">
      <w:lvlJc w:val="left"/>
      <w:lvlText w:val="(%2)"/>
      <w:numFmt w:val="lowerLetter"/>
      <w:start w:val="2"/>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2019-12-06T15:49:39Z</dcterms:created>
  <dcterms:modified xsi:type="dcterms:W3CDTF">2019-12-06T15:49:39Z</dcterms:modified>
</cp:coreProperties>
</file>