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820" w:right="80" w:hanging="812"/>
        <w:spacing w:after="0" w:line="237" w:lineRule="auto"/>
        <w:tabs>
          <w:tab w:leader="none" w:pos="8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20" w:right="100" w:hanging="812"/>
        <w:spacing w:after="0" w:line="256" w:lineRule="auto"/>
        <w:tabs>
          <w:tab w:leader="none" w:pos="8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85" w:right="21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2820" w:space="720"/>
            <w:col w:w="7900"/>
          </w:cols>
          <w:pgMar w:left="240" w:top="585" w:right="219" w:bottom="0" w:gutter="0" w:footer="0" w:header="0"/>
          <w:type w:val="continuous"/>
        </w:sectPr>
      </w:pP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1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ind w:left="1720"/>
        <w:spacing w:after="0"/>
        <w:rPr>
          <w:sz w:val="20"/>
          <w:szCs w:val="20"/>
          <w:color w:val="auto"/>
        </w:rPr>
      </w:pPr>
      <w:r>
        <w:rPr>
          <w:rFonts w:ascii="Arial" w:cs="Arial" w:eastAsia="Arial" w:hAnsi="Arial"/>
          <w:sz w:val="18"/>
          <w:szCs w:val="18"/>
          <w:color w:val="auto"/>
        </w:rPr>
        <w:t>incorporation or organization)</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5340" w:type="dxa"/>
            <w:vAlign w:val="bottom"/>
          </w:tcPr>
          <w:p>
            <w:pPr>
              <w:ind w:left="4960"/>
              <w:spacing w:after="0"/>
              <w:rPr>
                <w:sz w:val="20"/>
                <w:szCs w:val="20"/>
                <w:color w:val="auto"/>
              </w:rPr>
            </w:pPr>
            <w:r>
              <w:rPr>
                <w:rFonts w:ascii="Arial" w:cs="Arial" w:eastAsia="Arial" w:hAnsi="Arial"/>
                <w:sz w:val="18"/>
                <w:szCs w:val="18"/>
                <w:color w:val="auto"/>
              </w:rPr>
              <w:t>Yes</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No</w:t>
            </w:r>
          </w:p>
        </w:tc>
        <w:tc>
          <w:tcPr>
            <w:tcW w:w="5260" w:type="dxa"/>
            <w:vAlign w:val="bottom"/>
            <w:gridSpan w:val="4"/>
          </w:tcPr>
          <w:p>
            <w:pPr>
              <w:ind w:left="12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20" w:type="dxa"/>
            <w:vAlign w:val="bottom"/>
            <w:gridSpan w:val="7"/>
          </w:tcPr>
          <w:p>
            <w:pPr>
              <w:ind w:left="6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340" w:type="dxa"/>
            <w:vAlign w:val="bottom"/>
          </w:tcPr>
          <w:p>
            <w:pPr>
              <w:ind w:left="4960"/>
              <w:spacing w:after="0"/>
              <w:rPr>
                <w:sz w:val="20"/>
                <w:szCs w:val="20"/>
                <w:color w:val="auto"/>
              </w:rPr>
            </w:pPr>
            <w:r>
              <w:rPr>
                <w:rFonts w:ascii="Arial" w:cs="Arial" w:eastAsia="Arial" w:hAnsi="Arial"/>
                <w:sz w:val="18"/>
                <w:szCs w:val="18"/>
                <w:color w:val="auto"/>
              </w:rPr>
              <w:t>Yes</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No</w:t>
            </w:r>
          </w:p>
        </w:tc>
        <w:tc>
          <w:tcPr>
            <w:tcW w:w="5260" w:type="dxa"/>
            <w:vAlign w:val="bottom"/>
            <w:gridSpan w:val="4"/>
          </w:tcPr>
          <w:p>
            <w:pPr>
              <w:ind w:left="12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20" w:type="dxa"/>
            <w:vAlign w:val="bottom"/>
            <w:gridSpan w:val="7"/>
          </w:tcPr>
          <w:p>
            <w:pPr>
              <w:ind w:left="660"/>
              <w:spacing w:after="0"/>
              <w:rPr>
                <w:sz w:val="20"/>
                <w:szCs w:val="20"/>
                <w:color w:val="auto"/>
              </w:rPr>
            </w:pPr>
            <w:r>
              <w:rPr>
                <w:rFonts w:ascii="Arial" w:cs="Arial" w:eastAsia="Arial" w:hAnsi="Arial"/>
                <w:sz w:val="18"/>
                <w:szCs w:val="18"/>
                <w:color w:val="auto"/>
              </w:rPr>
              <w:t>Indicated below is the number of shares outstanding of the registrant’s common stock, as of August 1, 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Title of Class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 $.01 Par Value</w:t>
            </w:r>
          </w:p>
        </w:tc>
        <w:tc>
          <w:tcPr>
            <w:tcW w:w="3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16,588,805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Class B Common Stock, $.01 Par Value</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60" w:type="dxa"/>
            <w:vAlign w:val="bottom"/>
            <w:gridSpan w:val="4"/>
          </w:tcPr>
          <w:p>
            <w:pPr>
              <w:jc w:val="right"/>
              <w:ind w:right="100"/>
              <w:spacing w:after="0"/>
              <w:rPr>
                <w:sz w:val="20"/>
                <w:szCs w:val="20"/>
                <w:color w:val="auto"/>
              </w:rPr>
            </w:pPr>
            <w:r>
              <w:rPr>
                <w:rFonts w:ascii="Arial" w:cs="Arial" w:eastAsia="Arial" w:hAnsi="Arial"/>
                <w:sz w:val="18"/>
                <w:szCs w:val="18"/>
                <w:color w:val="auto"/>
              </w:rPr>
              <w:t>7,709,525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5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ind w:left="7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Financial Statements</w:t>
        </w:r>
      </w:hyperlink>
    </w:p>
    <w:p>
      <w:pPr>
        <w:spacing w:after="0" w:line="225" w:lineRule="exact"/>
        <w:rPr>
          <w:sz w:val="24"/>
          <w:szCs w:val="24"/>
          <w:color w:val="auto"/>
        </w:rPr>
      </w:pPr>
    </w:p>
    <w:p>
      <w:pPr>
        <w:ind w:left="7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June 30, 2005 (unaudited) and December 31, 2004</w:t>
        </w:r>
      </w:hyperlink>
    </w:p>
    <w:p>
      <w:pPr>
        <w:spacing w:after="0" w:line="225" w:lineRule="exact"/>
        <w:rPr>
          <w:sz w:val="24"/>
          <w:szCs w:val="24"/>
          <w:color w:val="auto"/>
        </w:rPr>
      </w:pPr>
    </w:p>
    <w:p>
      <w:pPr>
        <w:ind w:left="7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 For the Three Months and Six Months Ended June 30, 2005 and 2004 (unaudited)</w:t>
        </w:r>
      </w:hyperlink>
    </w:p>
    <w:p>
      <w:pPr>
        <w:spacing w:after="0" w:line="225" w:lineRule="exact"/>
        <w:rPr>
          <w:sz w:val="24"/>
          <w:szCs w:val="24"/>
          <w:color w:val="auto"/>
        </w:rPr>
      </w:pPr>
    </w:p>
    <w:p>
      <w:pPr>
        <w:ind w:left="7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Six Months Ended June 30, 2005 and 2004 (unaudited)</w:t>
        </w:r>
      </w:hyperlink>
    </w:p>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line="62" w:lineRule="exact"/>
        <w:rPr>
          <w:sz w:val="20"/>
          <w:szCs w:val="20"/>
          <w:color w:val="auto"/>
        </w:rPr>
      </w:pPr>
    </w:p>
    <w:p>
      <w:pPr>
        <w:ind w:left="7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3. Quantitative and Qualitative Disclosures about Market Risk</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4. Controls and Procedures</w:t>
        </w:r>
      </w:hyperlink>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PART II. OTHER INFORMATION</w:t>
        </w:r>
      </w:hyperlink>
    </w:p>
    <w:p>
      <w:pPr>
        <w:spacing w:after="0" w:line="229" w:lineRule="exact"/>
        <w:rPr>
          <w:sz w:val="20"/>
          <w:szCs w:val="20"/>
          <w:color w:val="auto"/>
        </w:rPr>
      </w:pPr>
    </w:p>
    <w:p>
      <w:pPr>
        <w:ind w:left="7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 Legal Proceedings</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Unregistered Sales of Equity Securities and Use of Proceeds</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3. Defaults Upon Senior Securities</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4. Submission of Matters to a Vote of Security Holders</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5. Other Information</w:t>
        </w:r>
      </w:hyperlink>
    </w:p>
    <w:p>
      <w:pPr>
        <w:spacing w:after="0" w:line="225" w:lineRule="exact"/>
        <w:rPr>
          <w:sz w:val="20"/>
          <w:szCs w:val="20"/>
          <w:color w:val="auto"/>
        </w:rPr>
      </w:pPr>
    </w:p>
    <w:p>
      <w:pPr>
        <w:ind w:left="7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6. Exhibits</w:t>
        </w:r>
      </w:hyperlink>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SIGNATURES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2005 AND DECEMBER 31, 2004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2"/>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72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50,612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80" w:type="dxa"/>
            <w:vAlign w:val="bottom"/>
            <w:gridSpan w:val="2"/>
          </w:tcPr>
          <w:p>
            <w:pPr>
              <w:ind w:left="7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173,735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138,953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45,755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7280" w:type="dxa"/>
            <w:vAlign w:val="bottom"/>
            <w:tcBorders>
              <w:top w:val="single" w:sz="8" w:color="CCEEFF"/>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LIABILITIES AND SHAREHOLDERS’ EQUITY</w:t>
            </w:r>
          </w:p>
        </w:tc>
        <w:tc>
          <w:tcPr>
            <w:tcW w:w="4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279,545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44,041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280" w:type="dxa"/>
            <w:vAlign w:val="bottom"/>
            <w:tcBorders>
              <w:top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w w:val="90"/>
              </w:rPr>
              <w:t>Preferred stock, par value $.01 per share; 1,000 shares authorized; 0 shares outstanding in 2004 and 2005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par value $.01 per share; 50,000,000 shares authorized; 23,896,976 shares outstanding in</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2004 and 24,158,556 outstanding in 2005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158,535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156,423</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66,145</w:t>
            </w:r>
          </w:p>
        </w:tc>
      </w:tr>
      <w:tr>
        <w:trPr>
          <w:trHeight w:val="210"/>
        </w:trPr>
        <w:tc>
          <w:tcPr>
            <w:tcW w:w="6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shareholders’ equity</w:t>
            </w:r>
          </w:p>
        </w:tc>
        <w:tc>
          <w:tcPr>
            <w:tcW w:w="18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222,807</w:t>
            </w:r>
          </w:p>
        </w:tc>
        <w:tc>
          <w:tcPr>
            <w:tcW w:w="100" w:type="dxa"/>
            <w:vAlign w:val="bottom"/>
            <w:tcBorders>
              <w:bottom w:val="single" w:sz="8" w:color="CCEEFF"/>
            </w:tcBorders>
          </w:tcPr>
          <w:p>
            <w:pPr>
              <w:spacing w:after="0"/>
              <w:rPr>
                <w:sz w:val="18"/>
                <w:szCs w:val="18"/>
                <w:color w:val="auto"/>
              </w:rPr>
            </w:pPr>
          </w:p>
        </w:tc>
      </w:tr>
      <w:tr>
        <w:trPr>
          <w:trHeight w:val="217"/>
        </w:trPr>
        <w:tc>
          <w:tcPr>
            <w:tcW w:w="62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Total liabilities and shareholders’ equity</w:t>
            </w:r>
          </w:p>
        </w:tc>
        <w:tc>
          <w:tcPr>
            <w:tcW w:w="1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565,933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w w:val="96"/>
              </w:rPr>
              <w:t>2004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343,940</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177,456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642,871</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174,999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11,743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19,719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truck sales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320,481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598,851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Parts and service</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53,173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44,740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103,179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equipment sales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Total cost of products sold</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132,697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30,762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18,919</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EARNINGS PER COMMON SHARE – DILUTED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23,998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24,826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24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246"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r>
      <w:tr>
        <w:trPr>
          <w:trHeight w:val="210"/>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18,919</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6,186</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Arial" w:cs="Arial" w:eastAsia="Arial" w:hAnsi="Arial"/>
                <w:sz w:val="18"/>
                <w:szCs w:val="18"/>
                <w:color w:val="auto"/>
              </w:rPr>
              <w:t>Gain from discontinued operations</w:t>
            </w:r>
          </w:p>
        </w:tc>
        <w:tc>
          <w:tcPr>
            <w:tcW w:w="940" w:type="dxa"/>
            <w:vAlign w:val="bottom"/>
          </w:tcPr>
          <w:p>
            <w:pPr>
              <w:spacing w:after="0"/>
              <w:rPr>
                <w:sz w:val="18"/>
                <w:szCs w:val="18"/>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Arial" w:cs="Arial" w:eastAsia="Arial" w:hAnsi="Arial"/>
                <w:sz w:val="18"/>
                <w:szCs w:val="18"/>
                <w:color w:val="auto"/>
              </w:rPr>
              <w:t>(Gain) loss on sale of property and equipment</w:t>
            </w:r>
          </w:p>
        </w:tc>
        <w:tc>
          <w:tcPr>
            <w:tcW w:w="9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(98 )</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(493 )</w:t>
            </w:r>
          </w:p>
        </w:tc>
      </w:tr>
      <w:tr>
        <w:trPr>
          <w:trHeight w:val="216"/>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 for deferred income tax expense</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(9 )</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380"/>
              <w:spacing w:after="0"/>
              <w:rPr>
                <w:sz w:val="20"/>
                <w:szCs w:val="20"/>
                <w:color w:val="auto"/>
              </w:rPr>
            </w:pPr>
            <w:r>
              <w:rPr>
                <w:rFonts w:ascii="Arial" w:cs="Arial" w:eastAsia="Arial" w:hAnsi="Arial"/>
                <w:sz w:val="18"/>
                <w:szCs w:val="18"/>
                <w:color w:val="auto"/>
              </w:rPr>
              <w:t>Tax benefit realized from exercise of stock options by employees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accounts receivable, net</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4"/>
              </w:rPr>
              <w:t>(19,983 )</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(13,907 )</w:t>
            </w:r>
          </w:p>
        </w:tc>
      </w:tr>
      <w:tr>
        <w:trPr>
          <w:trHeight w:val="216"/>
        </w:trPr>
        <w:tc>
          <w:tcPr>
            <w:tcW w:w="7820" w:type="dxa"/>
            <w:vAlign w:val="bottom"/>
          </w:tcPr>
          <w:p>
            <w:pPr>
              <w:ind w:left="380"/>
              <w:spacing w:after="0"/>
              <w:rPr>
                <w:sz w:val="20"/>
                <w:szCs w:val="20"/>
                <w:color w:val="auto"/>
              </w:rPr>
            </w:pPr>
            <w:r>
              <w:rPr>
                <w:rFonts w:ascii="Arial" w:cs="Arial" w:eastAsia="Arial" w:hAnsi="Arial"/>
                <w:sz w:val="18"/>
                <w:szCs w:val="18"/>
                <w:color w:val="auto"/>
              </w:rPr>
              <w:t>Change in inventories</w:t>
            </w:r>
          </w:p>
        </w:tc>
        <w:tc>
          <w:tcPr>
            <w:tcW w:w="9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(82,689 )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1,510</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prepaid expenses and other, net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(469 )</w:t>
            </w:r>
          </w:p>
        </w:tc>
      </w:tr>
      <w:tr>
        <w:trPr>
          <w:trHeight w:val="216"/>
        </w:trPr>
        <w:tc>
          <w:tcPr>
            <w:tcW w:w="7820" w:type="dxa"/>
            <w:vAlign w:val="bottom"/>
          </w:tcPr>
          <w:p>
            <w:pPr>
              <w:ind w:left="380"/>
              <w:spacing w:after="0"/>
              <w:rPr>
                <w:sz w:val="20"/>
                <w:szCs w:val="20"/>
                <w:color w:val="auto"/>
              </w:rPr>
            </w:pPr>
            <w:r>
              <w:rPr>
                <w:rFonts w:ascii="Arial" w:cs="Arial" w:eastAsia="Arial" w:hAnsi="Arial"/>
                <w:sz w:val="18"/>
                <w:szCs w:val="18"/>
                <w:color w:val="auto"/>
              </w:rPr>
              <w:t>Change in trade accounts payable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accrued expenses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(896 )</w:t>
            </w:r>
          </w:p>
        </w:tc>
      </w:tr>
      <w:tr>
        <w:trPr>
          <w:trHeight w:val="210"/>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(67,676</w:t>
            </w:r>
          </w:p>
        </w:tc>
        <w:tc>
          <w:tcPr>
            <w:tcW w:w="2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Borders>
              <w:bottom w:val="single" w:sz="8" w:color="CCEEFF"/>
            </w:tcBorders>
          </w:tcPr>
          <w:p>
            <w:pPr>
              <w:spacing w:after="0"/>
              <w:rPr>
                <w:sz w:val="18"/>
                <w:szCs w:val="18"/>
                <w:color w:val="auto"/>
              </w:rPr>
            </w:pPr>
          </w:p>
        </w:tc>
      </w:tr>
      <w:tr>
        <w:trPr>
          <w:trHeight w:val="210"/>
        </w:trPr>
        <w:tc>
          <w:tcPr>
            <w:tcW w:w="7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4"/>
              </w:rPr>
              <w:t>(26,473 )</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(15,149 )</w:t>
            </w: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3,622</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acquisitions</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4"/>
              </w:rPr>
              <w:t>(56,127 )</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(3,500 )</w:t>
            </w: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Change in other assets</w:t>
            </w:r>
          </w:p>
        </w:tc>
        <w:tc>
          <w:tcPr>
            <w:tcW w:w="9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(57 )</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r>
      <w:tr>
        <w:trPr>
          <w:trHeight w:val="210"/>
        </w:trPr>
        <w:tc>
          <w:tcPr>
            <w:tcW w:w="78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(79,929</w:t>
            </w:r>
          </w:p>
        </w:tc>
        <w:tc>
          <w:tcPr>
            <w:tcW w:w="26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r>
        <w:trPr>
          <w:trHeight w:val="210"/>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Proceeds from long-term debt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9,231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14,401</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capital lease obligations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9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(12,030 )</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(16,844 )</w:t>
            </w: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(434 )</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Draws (payments) on lines of credit, net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(172 )</w:t>
            </w: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Draws on floor plan notes payable, net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Proceeds from exercise of employee and director stock options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6,953</w:t>
            </w: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related to stock offering</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(71 )</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(47 )</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r>
      <w:tr>
        <w:trPr>
          <w:trHeight w:val="210"/>
        </w:trPr>
        <w:tc>
          <w:tcPr>
            <w:tcW w:w="78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84,883</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13,959</w:t>
            </w:r>
          </w:p>
        </w:tc>
        <w:tc>
          <w:tcPr>
            <w:tcW w:w="240" w:type="dxa"/>
            <w:vAlign w:val="bottom"/>
            <w:tcBorders>
              <w:top w:val="single" w:sz="8" w:color="CCEEFF"/>
            </w:tcBorders>
            <w:shd w:val="clear" w:color="auto" w:fill="CCEEFF"/>
          </w:tcPr>
          <w:p>
            <w:pPr>
              <w:spacing w:after="0"/>
              <w:rPr>
                <w:sz w:val="18"/>
                <w:szCs w:val="18"/>
                <w:color w:val="auto"/>
              </w:rPr>
            </w:pPr>
          </w:p>
        </w:tc>
      </w:tr>
      <w:tr>
        <w:trPr>
          <w:trHeight w:val="210"/>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4"/>
              </w:rPr>
              <w:t>(62,722 )</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(412 )</w:t>
            </w:r>
          </w:p>
        </w:tc>
      </w:tr>
      <w:tr>
        <w:trPr>
          <w:trHeight w:val="216"/>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158,175</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34,389</w:t>
            </w:r>
          </w:p>
        </w:tc>
        <w:tc>
          <w:tcPr>
            <w:tcW w:w="240" w:type="dxa"/>
            <w:vAlign w:val="bottom"/>
            <w:shd w:val="clear" w:color="auto" w:fill="CCEEFF"/>
          </w:tcPr>
          <w:p>
            <w:pPr>
              <w:spacing w:after="0"/>
              <w:rPr>
                <w:sz w:val="18"/>
                <w:szCs w:val="18"/>
                <w:color w:val="auto"/>
              </w:rPr>
            </w:pPr>
          </w:p>
        </w:tc>
      </w:tr>
      <w:tr>
        <w:trPr>
          <w:trHeight w:val="210"/>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95,453</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16"/>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6"/>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10"/>
        </w:trPr>
        <w:tc>
          <w:tcPr>
            <w:tcW w:w="7820" w:type="dxa"/>
            <w:vAlign w:val="bottom"/>
          </w:tcPr>
          <w:p>
            <w:pPr>
              <w:ind w:left="380"/>
              <w:spacing w:after="0" w:line="203" w:lineRule="exact"/>
              <w:rPr>
                <w:sz w:val="20"/>
                <w:szCs w:val="20"/>
                <w:color w:val="auto"/>
              </w:rPr>
            </w:pPr>
            <w:r>
              <w:rPr>
                <w:rFonts w:ascii="Arial" w:cs="Arial" w:eastAsia="Arial" w:hAnsi="Arial"/>
                <w:sz w:val="18"/>
                <w:szCs w:val="18"/>
                <w:color w:val="auto"/>
              </w:rPr>
              <w:t>Income taxes</w:t>
            </w:r>
          </w:p>
        </w:tc>
        <w:tc>
          <w:tcPr>
            <w:tcW w:w="940" w:type="dxa"/>
            <w:vAlign w:val="bottom"/>
            <w:tcBorders>
              <w:bottom w:val="single" w:sz="8" w:color="auto"/>
            </w:tcBorders>
          </w:tcPr>
          <w:p>
            <w:pPr>
              <w:jc w:val="right"/>
              <w:ind w:right="734"/>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9,777</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3,596</w:t>
            </w:r>
          </w:p>
        </w:tc>
        <w:tc>
          <w:tcPr>
            <w:tcW w:w="24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2004. Results of operations for interim periods are not necessarily indicative of results that may be expected for any other interim periods or the full fiscal year. Certain prior year balances have been reclassified for comparative purposes.</w:t>
      </w:r>
    </w:p>
    <w:p>
      <w:pPr>
        <w:sectPr>
          <w:pgSz w:w="11900" w:h="16838" w:orient="portrait"/>
          <w:cols w:equalWidth="0" w:num="1">
            <w:col w:w="11420"/>
          </w:cols>
          <w:pgMar w:left="240" w:top="337"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is required to perform an annual impairment review of goodwill. The Company performs its annual review during the fourth quarter of each year and, therefore, did not record an impairment charge related to goodwill during the second quarter of 2005. Management is not aware of any impairment charge, which may be required; however, a change in economic conditions, if one occurs, could result in an impairment charge in the future.</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 – Discontinued Operations</w:t>
      </w:r>
    </w:p>
    <w:p>
      <w:pPr>
        <w:spacing w:after="0" w:line="229"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On November 12, 2002, the Company decided to discontinue its Retail Segment (“D&amp;D”), which operated three farm and ranch retail stores in Seguin, Hockley and Denton, Texas. The Company decided that the retail segment did not fit into its long-term plans of growing its core heavy-duty truck and construction equipment businesses. The Denton store was closed in December 2002, the Hockley store began liquidating inventory during November 2002 and completed the liquidation on March 9, 2003. The Company sold the Seguin store and Hockley real estate during the fourth quarter of 2004. As a result of these actions, the Retail Segment is no longer reported as a separate business segment.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results of these businesses are reported as discontinued operations in the Company’s unaudited consolidated statements of operations for all periods presented, and excluded from business segment information. Similarly, certain assets of these businesses were separately identified in the consolidated balance sheet as being held for sale. The Company sold these assets in the fourth quarter of 2004.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ind w:left="620"/>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Retail Segment Stores (D&amp;D)</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7,030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Results of operations from discontinued operations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Commitments and Contingencies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Company is contingently liable to finance companies for certain notes initiated on behalf of such finance companies related to the sale of trucks and construction equipment. The majority of finance contracts are sold without recourse to the Company.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The Company does not expect to finance a significant percentage of its truck sales under this 100% liability finance program in the future. The Company provides an allowance for repossession losses and early repayment penalties.</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part of the acquisition of certain assets of American Truck Source, Inc. (“ATS”) effective January 1, 2005, the Company assumed certain liabilities to finance companies for notes that ATS initiated on behalf of such finance companies related to the sale of trucks. ATS’s portfolio to which the liability is 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7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74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Numerator for basic and diluted earnings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available to common shareholders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11,235,000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4,128,000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18,919,000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Denominator for basic earnings per share, adjusted weighted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shares outstanding</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24,064,146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14,766,616</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23,998,180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14,428,091</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and Director stock options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935,562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828,279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1,035,749</w:t>
            </w: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w w:val="99"/>
              </w:rPr>
              <w:t>Denominator for diluted earnings per share, adjusted weighted</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24,854,783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15,702,178</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24,826,459</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15,463,840</w:t>
            </w:r>
          </w:p>
        </w:tc>
        <w:tc>
          <w:tcPr>
            <w:tcW w:w="100" w:type="dxa"/>
            <w:vAlign w:val="bottom"/>
          </w:tcPr>
          <w:p>
            <w:pPr>
              <w:spacing w:after="0"/>
              <w:rPr>
                <w:sz w:val="19"/>
                <w:szCs w:val="19"/>
                <w:color w:val="auto"/>
              </w:rPr>
            </w:pPr>
          </w:p>
        </w:tc>
      </w:tr>
    </w:tbl>
    <w:p>
      <w:pPr>
        <w:sectPr>
          <w:pgSz w:w="11900" w:h="16838" w:orient="portrait"/>
          <w:cols w:equalWidth="0" w:num="1">
            <w:col w:w="11420"/>
          </w:cols>
          <w:pgMar w:left="240" w:top="337" w:right="2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average shares and assumed conversions</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Diluted earnings per common share and common share equivalents</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6 – Stock Options</w:t>
            </w:r>
          </w:p>
        </w:tc>
        <w:tc>
          <w:tcPr>
            <w:tcW w:w="6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FASB Statement of Financial Accounting Standards No. 123, “Accounting for Stock-Based Compensation” (“SFAS 123”), was issued in October 1995. SFAS 123 defines a fair value based method of accounting for employee stock options or similar equity instruments and encourages all entities to adopt that method of accounting for all of their employee stock compensation plans. Under the fair value based method, compensation cost is measured at the grant date based on the value of the award and is recognized over the service period of the award, which is usually the vesting period. However, SFAS 123 also allows entities to continue to measure compensation costs for employee stock compensation plans using the intrinsic value method of accounting prescribed by APB Opinion No. 25, “Accounting for Stock Issued to Employees” (“APB 25”). Because the Company elected to continue to follow APB 25, SFAS 123 requires disclosure of pro forma net income and earnings per share as if the new fair value accounting method were adopted.</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the Company had adopted the fair value accounting method under SFAS 123, the Company’s net income and earnings per share would have been reduced to the pro forma amounts indicated below (in thousands, except per share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90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r>
      <w:tr>
        <w:trPr>
          <w:trHeight w:val="196"/>
        </w:trPr>
        <w:tc>
          <w:tcPr>
            <w:tcW w:w="46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Income from continuing operations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11,235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4,084</w:t>
            </w:r>
          </w:p>
        </w:tc>
        <w:tc>
          <w:tcPr>
            <w:tcW w:w="24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18,919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6,186</w:t>
            </w: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Stock based employee costs, net of tax effects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r>
      <w:tr>
        <w:trPr>
          <w:trHeight w:val="210"/>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10,783</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As reported</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As reported</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Net income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As reported</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11,235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w:t>
            </w: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Stock based employee costs, net of tax effects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0"/>
        </w:trPr>
        <w:tc>
          <w:tcPr>
            <w:tcW w:w="46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Pro forma</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jc w:val="right"/>
              <w:ind w:right="3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4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these options was estimated using a Black-Scholes option pricing model.</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the second quarter of 2005, employees and directors of the Company exercised stock options granted under the Rush Enterprises, Inc. Long-Term Incentive Plan and the Non-Employee Director Stock Option Plan. The Company issued 136,206 shares of Class A Common Stock and 67,492 shares of Class B Common Stock upon exercise of the employee and director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Acquisitions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Effective January 1, 2005, the Company acquired certain assets of American Truck Source, Inc., including its Peterbilt truck dealerships in Texas and Tennessee, for a total purchase price of $132.3 million. The acquisition provides the Company with rights to sell Peterbilt trucks and parts at new locations in Dallas, Fort Worth, Abilene and Tyler, Texas and Nashville, Tennessee. The transaction was financed with cash of $78.0 million, expansion of the Company’s existing floor plan agreement for truck inventory of $34.6 million, and the issuance of debt of approximately $19.7 million to finance the purchase of real estate and certain vehicles used in ATS’s leasing operations. Of the $78.0 million paid in cash, $21.9 million was for the purchase of a note receivable from the selling shareholders of ATS. This $21.9 million was immediately repaid by the selling shareholders at closing, resulting in net cash used in the acquisition of $56.1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ATS acquisition has been accounted for as a purchase. The preliminary purchase price has been allocated based on the fair values of the assets at the date of acquisition as follows (in thousands):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38,664</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Notes &amp; leases receivable</w:t>
            </w:r>
          </w:p>
        </w:tc>
        <w:tc>
          <w:tcPr>
            <w:tcW w:w="22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23,211</w:t>
            </w:r>
          </w:p>
        </w:tc>
      </w:tr>
      <w:tr>
        <w:trPr>
          <w:trHeight w:val="138"/>
        </w:trPr>
        <w:tc>
          <w:tcPr>
            <w:tcW w:w="32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53,376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purchase price may continue to change based on finalization of asset values and additional acquisition related expenses. The goodwill acquired in the ATS acquisition is included in the “other assets” line item of the Rush Enterprises, Inc. and Subsidiaries Consolidated Balance Sheet for the period ended June 30, 2005.</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unaudited pro forma summary presents information as if the ATS acquisition had taken place at the beginning of 2004. The pro forma information is provided for informational purposes only. It is based on historical information and does not necessarily reflect the actual results that would have occurred nor is it necessarily indicative of future results of operations of the Company. The following summary is for the three months and six months ended June 30, 2004 (unaudited) (in thousands, except per share amounts):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Three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2004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352,726</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7"/>
              </w:rPr>
              <w:t>Income from continuing operations after pro forma provision for income taxes</w:t>
            </w:r>
          </w:p>
        </w:tc>
        <w:tc>
          <w:tcPr>
            <w:tcW w:w="3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6,697</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10,334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income from continuing operations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line="203" w:lineRule="exact"/>
              <w:rPr>
                <w:sz w:val="20"/>
                <w:szCs w:val="20"/>
                <w:color w:val="auto"/>
              </w:rPr>
            </w:pPr>
            <w:r>
              <w:rPr>
                <w:rFonts w:ascii="Arial" w:cs="Arial" w:eastAsia="Arial" w:hAnsi="Arial"/>
                <w:sz w:val="18"/>
                <w:szCs w:val="18"/>
                <w:color w:val="auto"/>
              </w:rPr>
              <w:t>Diluted income from continuing operations per share</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As previously mentioned, in November 2002 the Company announced its decision to discontinue its D&amp;D operations. In connection with this decision, financial information related to the Company’s Retail Segment is no longer presented as a separate operating segment.</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June 30, 2004 and 2005.</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Assets held for sale and goodwill related to discontinued operations were included in the Truck Segment for the quarter ended June 30, 2004. The following table contains summarized information about reportable segment profit or loss and segment assets for the periods ended June 30, 2004 and 2005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Truck</w:t>
            </w: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Construction</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Equipment</w:t>
            </w:r>
          </w:p>
        </w:tc>
        <w:tc>
          <w:tcPr>
            <w:tcW w:w="26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442,504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16,277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Segment income from continuing operations before taxes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16,002</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702,167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22,577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830,962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27,568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Segment income from continuing operations before taxes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27,842</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2,478</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702,167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22,577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253,282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11,469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Segment income from continuing operations before taxes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5,933</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359,649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16,897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470,994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21,923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497,063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920" w:type="dxa"/>
            <w:vAlign w:val="bottom"/>
          </w:tcPr>
          <w:p>
            <w:pPr>
              <w:jc w:val="right"/>
              <w:ind w:right="510"/>
              <w:spacing w:after="0"/>
              <w:rPr>
                <w:sz w:val="20"/>
                <w:szCs w:val="20"/>
                <w:color w:val="auto"/>
              </w:rPr>
            </w:pPr>
            <w:r>
              <w:rPr>
                <w:rFonts w:ascii="Arial" w:cs="Arial" w:eastAsia="Arial" w:hAnsi="Arial"/>
                <w:sz w:val="18"/>
                <w:szCs w:val="18"/>
                <w:color w:val="auto"/>
              </w:rPr>
              <w:t>8,937</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1,244</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130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10,311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9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359,649</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16,897</w:t>
            </w:r>
          </w:p>
        </w:tc>
        <w:tc>
          <w:tcPr>
            <w:tcW w:w="1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10,451</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386,997</w:t>
            </w: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Other 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16, 2004, FASB issued Statement No. 123 (revised 2004), “Share-Based Payment” (“SFAS 123(R)”), which is a revision of SFAS</w:t>
      </w:r>
    </w:p>
    <w:p>
      <w:pPr>
        <w:spacing w:after="0" w:line="46" w:lineRule="exact"/>
        <w:rPr>
          <w:sz w:val="20"/>
          <w:szCs w:val="20"/>
          <w:color w:val="auto"/>
        </w:rPr>
      </w:pPr>
    </w:p>
    <w:p>
      <w:pPr>
        <w:ind w:right="80" w:firstLine="8"/>
        <w:spacing w:after="0" w:line="253"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SFAS 123(R) supersedes APB 25 and amends FASB Statement No. 95</w:t>
      </w:r>
      <w:r>
        <w:rPr>
          <w:rFonts w:ascii="Arial" w:cs="Arial" w:eastAsia="Arial" w:hAnsi="Arial"/>
          <w:sz w:val="18"/>
          <w:szCs w:val="18"/>
          <w:i w:val="1"/>
          <w:iCs w:val="1"/>
          <w:color w:val="auto"/>
        </w:rPr>
        <w:t>,</w:t>
      </w:r>
      <w:r>
        <w:rPr>
          <w:rFonts w:ascii="Arial" w:cs="Arial" w:eastAsia="Arial" w:hAnsi="Arial"/>
          <w:sz w:val="18"/>
          <w:szCs w:val="18"/>
          <w:color w:val="auto"/>
        </w:rPr>
        <w:t xml:space="preserve"> “Statement of Cash Flows.” Generally, the approach in SFAS 123(R) is similar to the approach described in SFAS 123. However, SFAS 123(R) requires all share-based payments to employees, including grants of employee stock options, to be recognized in the income statement based on their fair values. Pro forma disclosure is no longer an alternative. SFAS 123(R) must be adopted no later than the first interim reporting period of 2006. Early adoption will be permitted in periods in which financial statements have not yet been issued. We expect to adopt SFAS 123(R) on January 1, 2006.</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July 14 2005, FASB issued its Exposure Draft, Accounting for Uncertain Tax Positions, which is a proposed interpretation to FASB Statement No. 109, Accounting for Income Taxes</w:t>
      </w:r>
      <w:r>
        <w:rPr>
          <w:rFonts w:ascii="Arial" w:cs="Arial" w:eastAsia="Arial" w:hAnsi="Arial"/>
          <w:sz w:val="17"/>
          <w:szCs w:val="17"/>
          <w:i w:val="1"/>
          <w:iCs w:val="1"/>
          <w:color w:val="auto"/>
        </w:rPr>
        <w:t>.</w:t>
      </w:r>
      <w:r>
        <w:rPr>
          <w:rFonts w:ascii="Arial" w:cs="Arial" w:eastAsia="Arial" w:hAnsi="Arial"/>
          <w:sz w:val="17"/>
          <w:szCs w:val="17"/>
          <w:color w:val="auto"/>
        </w:rPr>
        <w:t xml:space="preserve"> This proposed interpretation would require an enterprise to recognize in its financial statements the best estimate of the impact of a tax position only if that position is probable of being sustained on audit based solely on the technical merits of the position. In evaluating whether the probable recognition threshold has been met, this proposed interpretation would require the presumption that the tax position will be evaluated during an audit by taxing authorities. The term probable is used in this proposed interpretation consistent with its use in FASB Statement No. 5, Accounting for Contingencies, to mean “the future event or events are likely to occur.” Individual tax positions that fail to meet the probable recognition threshold will generally result in either (a) a reduction in the deferred tax asset or an increase in a deferred tax liability or (b) an increase in a liability for income taxes payable or the reduction of an income tax refund receivable. The impact may also include both (a) and (b). The proposed interpretation would be effective as of the end of the first fiscal year ending after December 15, 2005. The initial recognition of the effect of applying the proposed interpretation would be a cumulative effect of a change in accounting principle. The comment period for the proposed interpretation ends on October 28, 2005. The Company is currently evaluating the impact of the Exposure Draft on its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Subsequent Events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Effective July 25, 2005, the Company acquired certain assets of Fountain Motor Co., Inc.’s (“FMC”) GMC and Isuzu medium-duty truck dealership in Orlando, Florida. The acquisition provides the Company with the rights to sell GMC and Isuzu medium-duty trucks and parts in Orlando. The net cost of this acquisition to the Company was approximately $2.8 million, with the purchase price paid in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are “forward-looking statements” within the meaning of Section 27A of the Securities Act of 1933, as amended, and Section 21E of the Exchange Act of 1934, as amended. Specifically, all statements other than statements of historical fact included in this Form 10-Q regarding the Company’s financial position, business strategy and plans and objectives of management of the Company for future operations are forward-looking statements. These forward-looking statements are based on the beliefs of the Company’s management as well as assumptions made by and information currently available to the Company’s management. When used in this report, the words “may,” “should,” “continue,” “plan,” “potential,” “anticipate,” “believe,” “estimate,” “expect,” “intend” and words or phrases of similar import, as they relate to the Company or its subsidiaries or Company management, are intended to identify forward-looking statements. Such statements reflect the current view of the Company with respect to future events and are subject to certain risks, uncertainties and assumptions related to certain important factors that could cause actual results to differ materially from those in the forward-looking statements including, without limitation, competitive factors, general economic conditions, cyclicality, possible inaccuracy of estimates of future truck and construction equipment sales by third parties,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Registration Statement on Form S-3 (File No. 333-119131) and in the Company’s annual,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herein as anticipated, believed, estimated, expected, or intended.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are a full-service, integrated retailer of premium transportation and construction equipment and related services. Our Rush Truck Centers primarily sell heavy-duty trucks manufactured by Peterbilt Motors Company (“Peterbilt”), a division of PACCAR, Inc. (“PACCAR”). Some of our Rush Truck Centers sell medium-duty trucks manufactured by Peterbilt, GMC, Hino, UD (Nissan) or Isuzu. We also operate a John Deere construction equipment dealership at our Rush Equipment Center in Houston, Texas. Through our strategically located network of Rush Truck Centers and our Rush Equipment</w:t>
      </w:r>
    </w:p>
    <w:p>
      <w:pPr>
        <w:sectPr>
          <w:pgSz w:w="11900" w:h="16838" w:orient="portrait"/>
          <w:cols w:equalWidth="0" w:num="1">
            <w:col w:w="11420"/>
          </w:cols>
          <w:pgMar w:left="240" w:top="125" w:right="239" w:bottom="0" w:gutter="0" w:footer="0" w:header="0"/>
        </w:sectPr>
      </w:pPr>
    </w:p>
    <w:bookmarkStart w:id="8" w:name="page9"/>
    <w:bookmarkEnd w:id="8"/>
    <w:p>
      <w:pPr>
        <w:ind w:right="340"/>
        <w:spacing w:after="0" w:line="277" w:lineRule="auto"/>
        <w:rPr>
          <w:sz w:val="20"/>
          <w:szCs w:val="20"/>
          <w:color w:val="auto"/>
        </w:rPr>
      </w:pPr>
      <w:r>
        <w:rPr>
          <w:rFonts w:ascii="Arial" w:cs="Arial" w:eastAsia="Arial" w:hAnsi="Arial"/>
          <w:sz w:val="18"/>
          <w:szCs w:val="18"/>
          <w:color w:val="auto"/>
        </w:rPr>
        <w:t>Center, we provide one-stop service for the needs of our customers, including retail sales of new and used trucks and construction equipment, aftermarket parts sales, service and repair facilities, and financing, leasing and rental, and insurance services.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Effective January 1, 2005, we acquired certain assets of American Truck Source, Inc.(“ATS”), including its Peterbilt truck dealerships in Texas and Tennessee for a total purchase price of $132.3 million. The acquisition provides us with rights to sell Peterbilt trucks and parts from new locations in Dallas, Fort Worth, Abilene and Tyler, Texas and Nashville, Tennessee. See Note 7 of the Notes to Consolidated Financial Statements for a detailed discussion of the preliminary allocation of the purchase price of the acquisition of certain assets of ATS. Unless otherwise indicated, all of the financial data for the three months and six months ending June 30, 2005 includes the operating results of ATS.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Rush Truck Centers are principally located in high traffic areas throughout the southern United States. Since commencing operations as a Peterbilt heavy-duty truck dealer in 1966, we have grown to operate Rush Truck Centers at 44 locations in Alabama, Arizona, California, Colorado, Florida, New Mexico, Oklahoma, Tennessee and Texas.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Rush Equipment Center in Houston, Texas sells, leases and rents a full line of John Deere construction equipment for light to medium sized applications, as well as a variety of construction equipment trailers.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Other assets consist primarily of goodwill related to acquisitions and other intangible assets. As stated in Note 2, 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second quarter of 2005. Management is not aware of any impairment charge, which may be required; however, a change in economic conditions, if one occurs, could result in an impairment charge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During 2004 and 2005, no finance contracts were retained by the Company for any significant length of time because finance contracts are generally sold to finance companies concurrent with the sale of the related unit. The majority of finance contracts are sold without recourse.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therefore, less than 1%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As part of the acquisition of certain assets of American Truck Source, Inc. (“ATS”), the Company assumed certain contingent liabilities to finance companies for notes that ATS initiated on behalf of such finance companies related to the sale of trucks. ATS’s portfolio to which the contingent liability is</w:t>
      </w:r>
    </w:p>
    <w:p>
      <w:pPr>
        <w:sectPr>
          <w:pgSz w:w="11900" w:h="16838" w:orient="portrait"/>
          <w:cols w:equalWidth="0" w:num="1">
            <w:col w:w="11420"/>
          </w:cols>
          <w:pgMar w:left="240" w:top="125" w:right="239" w:bottom="0" w:gutter="0" w:footer="0" w:header="0"/>
        </w:sectPr>
      </w:pPr>
    </w:p>
    <w:bookmarkStart w:id="9" w:name="page10"/>
    <w:bookmarkEnd w:id="9"/>
    <w:p>
      <w:pPr>
        <w:ind w:right="60"/>
        <w:spacing w:after="0" w:line="308" w:lineRule="auto"/>
        <w:rPr>
          <w:sz w:val="20"/>
          <w:szCs w:val="20"/>
          <w:color w:val="auto"/>
        </w:rPr>
      </w:pPr>
      <w:r>
        <w:rPr>
          <w:rFonts w:ascii="Arial" w:cs="Arial" w:eastAsia="Arial" w:hAnsi="Arial"/>
          <w:sz w:val="17"/>
          <w:szCs w:val="17"/>
          <w:color w:val="auto"/>
        </w:rPr>
        <w:t>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4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 and extended service contracts.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 backs has not been significantly different than the Company’s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is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they perform.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and six months ended June 30, 2005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2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2"/>
              </w:rPr>
              <w:t>Three months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center"/>
              <w:ind w:right="5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4"/>
                <w:szCs w:val="14"/>
                <w:b w:val="1"/>
                <w:bCs w:val="1"/>
                <w:color w:val="auto"/>
                <w:w w:val="88"/>
              </w:rPr>
              <w:t>ended 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Parts and service</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27.1</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Lease and rental</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84.5</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83.0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84.6</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13.1</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(loss) from discontinued operations, net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2005 Compared to Three Months Ended June 30, 2004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Revenues increased $194.6 million, or 72.8%, from $267.2 million in the second quarter of 2004 to $461.8 million in the second quarter of 2005. Sales of new and used trucks increased $166.4 million, or 93.7%, from $177.5 million in the second quarter of 2004 to $343.9 million in the second quarter of 2005. This increase in revenue is due to continued strong demand for class 8 trucks and the acquisition of ATS, which was effective January 1, 2005.</w:t>
      </w:r>
    </w:p>
    <w:p>
      <w:pPr>
        <w:spacing w:after="0" w:line="14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Unit sales of new class 8 trucks increased 92.4%, from 1,283 units in the second quarter of 2004 to 2,469 units in the second quarter of 2005. The increase in class 8 unit sales is largely attributable to the acquisition of certain assets of ATS, but also evidences continuing demand for class 8 trucks due to the transportation industry’s need to replace aging equipment. Based on estimates from A.C.T. Research Co., LLC, a truck industry data and forecasting service provider, the Company believes that the deliveries of class 8 trucks in the United States will increase from approximately 203,000 units in 2004 to approximately 255,000 units in 2005. In 2004, the Company retained a 2.7% share of the class 8 truck sales market in the U.S. and due to the Company’s recent acquisition of ATS, the Company expects this share to increase to between 3.5% and 4.0% in 2005, which would result in the sale of approximately 9,000 to 10,000 class 8 trucks based on the number of deliveries estimated by A.C.T. Research. Manufacturers and component suppliers currently expect class 8 truck deliveries to continue to increase through 2006 and then soften in 2007 primarily due to future emission laws, which are expected to increase the cost and reduce the efficiency of engines built on or after January 1, 2007. Federal legislation has been proposed that provides incentives to purchasers of engines that meet the 2007 requirements, but it is too early to estimate the effect that the proposed legislation might have on truck buyers’ purchasing decisions if the legislation is actually passed into law.</w:t>
      </w:r>
    </w:p>
    <w:p>
      <w:pPr>
        <w:sectPr>
          <w:pgSz w:w="11900" w:h="16838" w:orient="portrait"/>
          <w:cols w:equalWidth="0" w:num="1">
            <w:col w:w="11400"/>
          </w:cols>
          <w:pgMar w:left="240" w:top="125" w:right="259" w:bottom="179" w:gutter="0" w:footer="0" w:header="0"/>
        </w:sectPr>
      </w:pPr>
    </w:p>
    <w:bookmarkStart w:id="10" w:name="page11"/>
    <w:bookmarkEnd w:id="10"/>
    <w:p>
      <w:pPr>
        <w:ind w:right="20" w:firstLine="648"/>
        <w:spacing w:after="0" w:line="259" w:lineRule="auto"/>
        <w:rPr>
          <w:sz w:val="20"/>
          <w:szCs w:val="20"/>
          <w:color w:val="auto"/>
        </w:rPr>
      </w:pPr>
      <w:r>
        <w:rPr>
          <w:rFonts w:ascii="Arial" w:cs="Arial" w:eastAsia="Arial" w:hAnsi="Arial"/>
          <w:sz w:val="18"/>
          <w:szCs w:val="18"/>
          <w:color w:val="auto"/>
        </w:rPr>
        <w:t>Unit sales of new medium-duty trucks increased 57.3%, from 433 units in the second quarter of 2004 to 681 units in the second quarter of 2005. The increase is attributable to the acquisition of ATS and the Company’s ongoing efforts to improve its medium-duty truck sales by adding experienced medium-duty sales personnel and introducing new non-Peterbilt class 4 through 6 medium-duty franchises at some of our Rush Truck Centers to complement the existing Peterbilt medium-duty line, which consists primarily of class 7 trucks. Class 4 through 6</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truck sales accounted for 60% of our total medium-duty truck sales in the second quarter of 2005, an increase from 48% in the second quarter of 2004. The average sales price for non-Peterbilt class 4 through 6 truck during the second quarter of 2005 was approximately $42,800 compared to an average sales price of approximately $81,600 for the Peterbilt medium-duty models. Overall, new medium-duty truck sales revenue increased approximately $17.1 million, or 75.3%, in the second quarter of 2005 compared to the second quarter of 2004. In 2005, the Company expects to continue adding medium-duty franchises to certain Rush Truck Centers and expects to sell approximately 2,500 to 3,000 medium-duty trucks in 2005.</w:t>
      </w:r>
    </w:p>
    <w:p>
      <w:pPr>
        <w:spacing w:after="0" w:line="173"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Unit sales of used trucks increased 35.1%, from 647 units in the second quarter of 2004 to 874 units in the second quarter of 2005. Used truck average sales price per unit increased by 28.0% due to increased demand for high quality used trucks and the mix of products sold, which continually changes. Historically, used truck demand is consistent with new truck demand. The Company expects used truck demand to remain high; however, our ability to sell used trucks is ultimately dependent upon our ability to acquire used trucks for resale. The Company expects to sell approximately 3,500 to 4,000 used trucks in 2005 if it is able to acquire a sufficient number of used trucks for resale.</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Parts and service sales increased $19.7 million, or 27.2%, from $72.3 million in the second quarter of 2004 to $92.0 million in the second quarter of 2005. The parts and service sales increase in the second quarter of 2005 was consistent with management’s expectations, which take into account business development combined with price increases for parts and labor and the recent acquisition of ATS. The Company expects parts and service sales to maintain this level of growth during the remainder of 2005.</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Sales of new and used construction equipment increased $3.9 million, or 50.0%, from $7.8 million in the second quarter of 2004 to $11.7 million in the second quarter of 2005. Currently, the construction equipment sales increase is primarily attributable to the improved market conditions in Houston, Texas and the need to replace aging equipment. Approximately 2,200 units of construction equipment were put into use in our area of responsibility in 2004, and the construction equipment industry expects to sell approximately 2,800 units of new construction equipment in the Houston area in 2005. Because the Company operates only one construction equipment location, new and used construction equipment revenue can fluctuate significantly from quarter to quarter depending on the mix of product sold and the timing of deliveries.</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Lease and rental revenues increased $1.6 million, or 23.5%, from $6.8 million in the second quarter of 2004 to $8.4 million in the second quarter of 2005. This increase in lease and rental revenue is consistent with management’s expectations taking into account the acquisition of ATS and the increased demand for heavy-duty trucks. The Company expects lease and rental revenue to increase approximately 18% to 20% during 2005 compared to 2004 due to an increased number of units in the lease and rental fleet and the recent acquisition of ATS.</w:t>
      </w:r>
    </w:p>
    <w:p>
      <w:pPr>
        <w:spacing w:after="0" w:line="171"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Finance and insurance revenues increased $2.0 million, or 95.2%, from $2.1 million in the second quarter of 2004 to $4.1 million in the second quarter of 2005. The Company expects finance and insurance revenues to continue to increase as sales of new and used trucks increases. Finance and insurance revenues have limited direct costs and, therefore, contribute a disproportionate share of the Company’s operating profits.</w:t>
      </w:r>
    </w:p>
    <w:p>
      <w:pPr>
        <w:spacing w:after="0" w:line="14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Other income increased $1.0 million, or 142.9%, from $0.7 million in the second quarter of 2004 to $1.7 million in the second quarter of 2005. The increase in other income is primarily attributable to the gains on sales of trucks from the lease and rental fleet, commissions earned from John Deere for direct manufacturer sales into our area of responsibility, and the acquisition of ATS. Other income also consists of document fees related to truck sales and purchase discounts.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Gross profit increased $26.3 million, or 57.8%, from $45.5 million in the second quarter of 2004 to $71.8 million in the second quarter of 2005. Gross profit as a percentage of sales decreased from 17.0% in the second quarter of 2004 to 15.5% in the second quarter of 2005. This decrease is primarily a result of a change in our product mix. Truck sales, a lower margin revenue item, increased as a percent of total revenue from 66.4% in the second quarter of 2004 to 74.5% in the second quarter of 2005. Parts and service revenue, a higher margin revenue item, decreased as a percent of total revenue from 27.1% in the second quarter of 2004 to 19.9% in the second quarter of 2005.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Gross margins on class 8 truck sales decreased from 6.7% in the second quarter of 2004 to 6.4% in the second quarter of 2005. Manufacturers’ incentives for class 8 trucks accounted for 25.0% of the gross margin in the second quarter of 2004 and 19.3% in the second quarter of 2005. Historically, manufacturers’ incentives have varied significantly on a quarterly basis. Gross margins, excluding manufacturers’ incentives, increased from 4.5% in the second quarter of 2004 to 4.6% in the second quarter of 2005. For the fiscal year ending 2005, the Company expects overall gross margins from class 8 truck sales to approximate 6.5% to 7.0% compared to 7.0% for fiscal year 2004.</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Gross margins on medium-duty truck sales increased from 6.2% in the second quarter of 2004 to 6.9% in the second quarter of 2005. Manufacturers’ incentives for medium-duty trucks accounted for 3.8% of the gross margin in the second quarter of 2004 and 4.9% in the second quarter of 2005. We expect sales of non-Peterbilt medium-duty models to increase as a percentage of total medium-duty sales, which may result in a slight decrease in medium-duty gross margins during the remainder of 2005 because non-Peterbilt medium-duty trucks are traditionally sold at a lower gross margin.</w:t>
      </w:r>
    </w:p>
    <w:p>
      <w:pPr>
        <w:spacing w:after="0" w:line="15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Gross margins on used truck sales decreased from 9.5% in the second quarter of 2004 to 9.4% in the second quarter of 2005. The current challenge for the used truck business is procuring a sufficient quantity of quality used trucks for resale at an acceptable price, in a market where demand is exceeding supply. The Company believes it will be able to continue to achieve margins of approximately 8.5% to 10.0% during the remainder of 2005 due to the high demand for used trucks.</w:t>
      </w:r>
    </w:p>
    <w:p>
      <w:pPr>
        <w:sectPr>
          <w:pgSz w:w="11900" w:h="16838" w:orient="portrait"/>
          <w:cols w:equalWidth="0" w:num="1">
            <w:col w:w="11420"/>
          </w:cols>
          <w:pgMar w:left="240" w:top="125" w:right="239" w:bottom="88" w:gutter="0" w:footer="0" w:header="0"/>
        </w:sectPr>
      </w:pPr>
    </w:p>
    <w:bookmarkStart w:id="11" w:name="page12"/>
    <w:bookmarkEnd w:id="11"/>
    <w:p>
      <w:pPr>
        <w:ind w:right="40" w:firstLine="648"/>
        <w:spacing w:after="0" w:line="255" w:lineRule="auto"/>
        <w:rPr>
          <w:sz w:val="20"/>
          <w:szCs w:val="20"/>
          <w:color w:val="auto"/>
        </w:rPr>
      </w:pPr>
      <w:r>
        <w:rPr>
          <w:rFonts w:ascii="Arial" w:cs="Arial" w:eastAsia="Arial" w:hAnsi="Arial"/>
          <w:sz w:val="18"/>
          <w:szCs w:val="18"/>
          <w:color w:val="auto"/>
        </w:rPr>
        <w:t>Gross margins from the Company’s parts, service and body shop operations increased from 38.1% in the second quarter of 2004 to 42.2% in the second quarter of 2005. Gross profit dollars for the parts, service and body shop departments increased from $27.6 million in the second quarter of 2004 to $38.8 million in the second quarter of 2005. The increase in gross profit dollars is partially attributable to the recent acquisition of ATS. The increase in the gross margins for parts, service and body shop sales is partially attributable to the restructuring of the compensation plans for parts and service personnel. In the second half of 2004, the Company made significant revisions to the compensation plans that resulted in sales personnel being compensated based on the profitability of sales rather than the sales volume alone. The Company expects to maintain gross margins of approximately 38.0% to 42.0% for the remainder of 2005.</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increased from 11.3% in the second quarter of 2004 to 14.2% in the second quarter of 2005. The Company expects 2005 gross margins on new and used construction equipment sales to remain in a range of 10.0% to 14.0%, depending on the product mix.</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Gross margins generated from lease and rental sales decreased from approximately 27.2% in the second quarter of 2004 to 24.5% in the second quarter of 2005. The decrease in gross margin from lease and rental sales is primarily due to the increase in interest rates and the increase in the cost of new trucks for use in the lease and rental fleet. The Company expects to maintain gross margins from lease and rental sales of approximately 24.0% to 26.0% for the remainder of 2005.</w:t>
      </w:r>
    </w:p>
    <w:p>
      <w:pPr>
        <w:spacing w:after="0" w:line="18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(“SG&amp;A”) expenses increased $12.7 million, or 36.3%, from $35.0 million in the second quarter of 2004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$47.7 million in the second quarter of 2005. The increase in SG&amp;A is attributable in part to increased commissions corresponding to the increase in sales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recent acquisition of ATS. SG&amp;A expenses as a percentage of sales decreased from 13.1% in the second quarter of 2004 to 10.3% in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SG&amp;A expenses as a percentage of sales have historically ranged from 11.0% to 16.0%. The Company expects SG&amp;A expenses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to remain at the lower end of this range while the demand for trucks remains high. The Company’s management continually monitors SG&amp;A expenses.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interest expense increased $1.7 million, or 113.3%, from $1.5 million in the second quarter of 2004 to $3.2 million in the second quarter of 2005. Net interest expense increased as a result of increased truck inventory,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which increases our floor plan interest expense, and the assumption of debt associated with real estate acquired from ATS.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Income from continuing operations before income taxes increased $11.5 million, or 169.1%, from $6.8 million in the second quarter of 2004 to $18.3 million in the second quarter of 2005, as a result of the factors described above. Manufacturers and component suppliers expect an increase in unit sales of class 8 trucks for 2005 compared to 2004. Based on this predicted increase in sales of class 8 trucks and our acquisition of ATS, the Company believes that income from continuing operations in 2005 will continue to significantly exceed that of 2004.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Income taxes from continuing operations increased $4.3 million, or 159.3%, from $2.7 million in the second quarter of 2004 to $7.0 million in the second quarter of 2005. In the second quarter of 2005, the Company has provided for taxes at a 38.5% effective rate compared to 40.0% for the second quarter of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2005 Compared to Six Months Ended June 30, 2004</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Unless otherwise stated below, the Company’s future expectations with regards to the items discussed in this section are set forth in the discussion of the “Three Months Ended June 30, 2005 Compared to Three Months Ended June 30,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Revenues increased $366.8 million, or 73.8%, from $497.1 million in the first six months of 2004 to $863.9 million in the first six months of 2005. Sales of new and used trucks increased $319.2 million, or 98.6%, from $323.7 million in the first six months of 2004 to $642.9 million in the first six months of 2005. This increase in revenue is due to continued strong demand for class 8 trucks and the acquisition of ATS, which was effective January 1, 2005.</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Unit sales of new class 8 trucks increased 103.9%, from 2,282 units in the first six months of 2004 to 4,654 units in the first six months of 2005. The increase in class 8 unit sales is largely attributable to the continuing demand for class 8 trucks and the acquisition of ATS.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Unit sales of new medium-duty trucks increased 71.7%, from 760 units in the first six months of 2004 to 1,305 units in the first six months of 2005. The increase is attributable to the acquisition of ATS and the Company’s previously discussed efforts to improve its medium-duty truck sales. The average sales price for non-Peterbilt class 4 through 6 trucks during the first six months of 2005 was approximately $40,500 compared to an average sales price of approximately $76,900 for the Peterbilt medium-duty models. Overall, new medium-duty truck sales revenue increased approximately $33.4 million, or 85.0%, in the first six months of 2005 compared to the first six months of 2004.</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Unit sales of used trucks increased 30.4%, from 1,422 units in the first six months of 2004 to 1,854 units in the first six months of 2005. Used truck average sales price per unit increased by approximately 26.0% compared to the same period in 2004. Historically, average used truck sales prices increase during periods of increased demand.</w:t>
      </w:r>
    </w:p>
    <w:p>
      <w:pPr>
        <w:sectPr>
          <w:pgSz w:w="11900" w:h="16838" w:orient="portrait"/>
          <w:cols w:equalWidth="0" w:num="1">
            <w:col w:w="11420"/>
          </w:cols>
          <w:pgMar w:left="240" w:top="125" w:right="239" w:bottom="0" w:gutter="0" w:footer="0" w:header="0"/>
        </w:sectPr>
      </w:pPr>
    </w:p>
    <w:bookmarkStart w:id="12" w:name="page13"/>
    <w:bookmarkEnd w:id="12"/>
    <w:p>
      <w:pPr>
        <w:spacing w:after="0" w:line="42"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Parts and service sales increased $35.7 million, or 25.6%, from $139.3 million in the first six months of 2004 to $175.0 million in the first six months of 2005. The parts and service sales increase during the first six months of 2005 was consistent with management’s expectations, which take into account business development combined with price increases for parts and labor and the recent acquisition of ATS.</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Sales of new and used construction equipment increased $4.3 million, or 27.9%, from $15.4 million in the first six months of 2004 to $19.7 million in the first six months of 2005. The year-to-date construction equipment sales increase is primarily attributable to the improved market conditions for construction equipment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According to John Deere, the Company’s market share in the Houston area construction equipment market was 21.0% in the first six months of 2005 compared to 16.6% in the first six months of 2004.</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Lease and rental revenues increased $2.6 million, or 19.3%, from $13.5 million in the first six months of 2004 to $16.1 million in the first six months of 2005. This increase in lease and rental revenue is due to an increased number of units in the lease and rental fleet and the recent acquisition of ATS.</w:t>
      </w:r>
    </w:p>
    <w:p>
      <w:pPr>
        <w:spacing w:after="0" w:line="124"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Finance and insurance revenues increased $3.4 million, or 89.5%, from $3.8 million in the first six months of 2004 to $7.2 million in the first six months of 2005. The increase in finance and insurance revenues is due to the increase in sales of new and used trucks and the recent acquisition of ATS.</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Other income increased $1.5 million, or 107.1%, from $1.4 million in the first six months of 2004 to $2.9 million in the first six months of 2005. The increase in other income is primarily related to the gain on sale realized on trucks from the lease and rental fleet, commissions earned from John Deere for direct manufacturer sales into our area of responsibility, and the acquisition of ATS.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Gross profit increased $45.9 million, or 52.9%, from $86.8 million in the first six months of 2004 to $132.7 million in the first six months of 2005. Gross profit as a percentage of sales decreased from 17.5% in the first six months of 2004 to 15.4% in the first six months of 2005. Truck sales, a lower margin revenue item, increased as a percent of total revenue from 65.1% in the first six months of 2004 to 74.4% in the first six months of 2005. Parts and service revenue, a higher margin revenue item, decreased as a percent of total revenue from 28.0% in the first six months of 2004 to 20.3% in the first six months of 2005.</w:t>
      </w:r>
    </w:p>
    <w:p>
      <w:pPr>
        <w:spacing w:after="0" w:line="18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Gross margins on class 8 truck sales decreased from 7.1% in the first six months of 2004 to 6.5% in the first six months of 2005. Manufacturers’ incentives for class 8 trucks accounted for 31.7% of the gross margin in the first six months of 2004 and 20.3% in the first six months of 2005. Gross margins, excluding manufacturers’ incentives, increased from 4.3% in the first six months of 2004 to 4.7% in the first six months of 2005.</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Gross margins on medium-duty truck sales increased from 5.9% in the first six months of 2004 to 6.3% in the first six months of 2005. Manufacturers’ incentives for medium-duty trucks accounted for 5.9% of the gross margin in the first six months of 2004 and 5.6% in the first six months of 2005. As previously discussed, we expect sales of non-Peterbilt class 4 through 6 models to increase as a percentage of total medium-duty sales, which may result in a slight decrease in medium-duty gross margins during the remainder of 2005 because non-Peterbilt medium-duty trucks are traditionally sold at a lower gross margin.</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Gross margins on used truck sales increased from 8.8% in the first six months of 2004 to 9.5% in the first six months of 2005. The Company believes it will be able to continue to achieve margins of approximately 8.5% to 10.0% for the remainder of the year due to the high demand for used trucks.</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Gross margins from the Company’s parts, service and body shop operations increased from 38.0% in the first six months of 2004 to 41.0% in the first six months of 2005. Gross profit dollars for the parts, service and body shop departments increased from $52.9 million in the first six months of 2004 to $71.8 million in the first six months of 2005. The increase in gross profit dollars is partially attributable to the recent acquisition of ATS. The increase in the gross margins for parts, service and body shop sales is partially attributable to the restructuring of the compensation plans for parts and service personnel. In the second half of 2004, the Company made significant revisions to the compensation plans that resulted in sales personnel being compensated based on the profitability of sales rather than the sales volume alone.</w:t>
      </w:r>
    </w:p>
    <w:p>
      <w:pPr>
        <w:spacing w:after="0" w:line="193"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Gross margins on new and used construction equipment sales increased from 11.5% in the first six months of 2004 to 13.3% in the first six months of 2005. The increase in gross margin is consistent with the increased demand for construction equipment in the Houston, Texas market. The Company expects 2005 gross margins on new and used construction equipment sales to remain in a range of 10.0% to 14.0%, depending on the product mix.</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margins generated from lease and rental sales decreased from approximately 28.0% in the first six months of 2004 to 25.2% in the first six months of 2005. The decrease in gross margin from lease and rental sales is primarily due to the increase in interest rates and the increase in the cost of new trucks for use in the lease and rental fleet.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Selling, General and Administrative expenses increased $21.7 million, or 31.2%, from $69.6 million in the first six months of 2004 to $91.3 million in the first six months of 2005. The increase in SG&amp;A is primarily attributable to the increased commissions corresponding to the increase in sales and the recent acquisition of ATS. SG&amp;A expenses as a percentage of sales decreased from 14.0% in the first six months of 2004 to 10.6% in the first six months of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Net interest expense increased $2.8 million, or 96.6%, from $2.9 million in the first six months of 2004 to $5.7 million in the first six months of 2005. Net interest expense increased as a result of increased truck inventory, which increases our floor plan interest expense, and the assumption of debt</w:t>
      </w:r>
    </w:p>
    <w:p>
      <w:pPr>
        <w:sectPr>
          <w:pgSz w:w="11900" w:h="16881" w:orient="portrait"/>
          <w:cols w:equalWidth="0" w:num="1">
            <w:col w:w="11400"/>
          </w:cols>
          <w:pgMar w:left="240" w:top="125" w:right="259" w:bottom="0" w:gutter="0" w:footer="0" w:header="0"/>
        </w:sectPr>
      </w:pPr>
    </w:p>
    <w:bookmarkStart w:id="13" w:name="page14"/>
    <w:bookmarkEnd w:id="13"/>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real estate acquired from ATS.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Income from continuing operations before income taxes increased $20.5 million, or 199.0%, from $10.3 million in the first six months of 2004 to $30.8 million in the first six months of 2005, as a result of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Income taxes from continuing operations increased $7.7 million, or 187.8%, from $4.1 million in the first six months of 2004 to $11.8 million in the first six months of 2005. In the first six months of 2005, the Company has provided for taxes at a 38.5% effective rate compared to 40.0% for the first six months of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 If the demand for heavy-duty trucks remains strong through 2006, the Company expects to experience net increases in cash and cash equivalents.</w:t>
      </w:r>
    </w:p>
    <w:p>
      <w:pPr>
        <w:spacing w:after="0" w:line="18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At June 30, 2005, the Company had working capital of approximately $92.5 million, including $95.5 million in cash, $50.6 million in accounts receivable, $311.1 million in inventories, $1.4 million in prepaid expenses and other, and $2.4 million in deferred income taxes, offset by $279.5 million outstanding under floor plan notes payable, $19.2 million in current maturities of long-term debt, $1.6 million in current maturities of capital lease obligations, $2.8 million in advances outstanding under lines of credit, $21.3 million of trade accounts payable and $44.0 million in accrued expenses. The aggregate maximum borrowing limit under working capital lines of credit with its primary truck lender is approximately $13.5 million. There were no advances outstanding under this line of credit at June 30, 2005, leaving $13.5 million available for future borrowings. The Company has four separate secured lines of credit that provide for an aggregate maximum borrowing of $16.8 million. Advances outstanding under these secured lines of credit in aggregate were $2.8 million, with an additional $5.2 million pledged to secure various letters of credit related to self-insurance products, leaving $8.8 million available for future borrowings as of June 30, 2005.</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committed $1.5 million to renovate a building purchased for the relocation of the recently acquired Nashville, Tennessee Rush Truck Center. The Company has no other material commitments for capital expenditures as of June 30, 2005. However, the Company will continue to purchase vehicles that are necessary to operate its lease and rental division. Furthermore, management will continue to authorize capital expenditures for new buildings and expansion of facilities based on market opportunities.</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first six months of 2005, operating activities resulted in net cash used in operations of $67.7 million. Cash provided by operations was primarily due to income from continuing operations of $18.9 million coupled with provisions for depreciation and amortization of $9.9 million, and an increase of accounts payable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accrued expenses of $5.1 million, which was offset by an increase in inventories of $82.7 million and an increase in accounts receivable of $20.0 million. The Company typically increases truck inventories during periods of high demand in order to meet customer needs. The increase in accounts receivable is consistent with the increase in truck sales.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first six months of 2005, the Company used $79.9 million in investing activities. This consisted primarily of $56.1 million used in the acquisition of certain assets of ATS and purchases of property and equipment of $26.5 million offset by proceeds from the sale of property and equipment of $2.7 million. Approximately $3.8 million of property and equipment expenditures was used for construction of new dealerships and remodeling of existing dealerships and $17.8 million was for the purchase of additional trucks for the leasing operations. The remaining amount was used for routine replacement of capital equipment.</w:t>
      </w:r>
    </w:p>
    <w:p>
      <w:pPr>
        <w:spacing w:after="0" w:line="18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Net cash provided by financing activities in the first six months of 2005 amounted to $84.9 million. Net cash provided by financing activities was primarily due to proceeds from notes payable of $9.2 million, proceeds from capital lease obligations of $9.9 million and net draws of floor plan notes payable of $76.9 million, offset by principal payments on notes payable of $12.0 million. The increase in floor plan notes payable is directly related to the increase in truck inventory during the first six months of 2005. The proceeds from notes payable and capital lease obligations are primarily related to financing of trucks for the leasing operations.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Substantially all of the Company’s Peterbilt truck purchases from PACCAR are made on terms requiring payment within 15 days or less from the date the trucks are shipped from the factory. The Company finances substantially all of the purchase price of its new truck inventory, and 75% of the loan value of its used truck inventory under a floor plan arrangement with GMAC, under which GMAC pays PACCAR directly with respect to new trucks. The Company makes monthly interest payments to GMAC on the amount financed, but is not required to commence loan principal repayments prior to the sale of new vehicles for a period of 12 months or prior to the sale of used vehicles for a period of three months. On June 30, 2005, the Company had approximately $267.4 million outstanding under its floor plan financing arrangement with GMAC. The Company earns interest on overnight funds deposited by the Company with GMAC at the prime rate less 0.90%. The Company is permitted to earn interest on overnight funds of up to 10% of the amount borrowed under its floor plan financing arrangement with GMAC.</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Citicapital. The Company finances substantially all of the purchase price of its new equipment inventory under 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 arrangement. The Company makes principal payments for</w:t>
      </w:r>
    </w:p>
    <w:p>
      <w:pPr>
        <w:spacing w:after="0" w:line="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sold inventory to Citicapital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 payments for sold used construction equipment are made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w:t>
      </w:r>
    </w:p>
    <w:p>
      <w:pPr>
        <w:sectPr>
          <w:pgSz w:w="11900" w:h="17001" w:orient="portrait"/>
          <w:cols w:equalWidth="0" w:num="1">
            <w:col w:w="11400"/>
          </w:cols>
          <w:pgMar w:left="240" w:top="125" w:right="259" w:bottom="0" w:gutter="0" w:footer="0" w:header="0"/>
        </w:sectPr>
      </w:pPr>
    </w:p>
    <w:bookmarkStart w:id="14" w:name="page15"/>
    <w:bookmarkEnd w:id="14"/>
    <w:p>
      <w:pPr>
        <w:ind w:right="40"/>
        <w:spacing w:after="0" w:line="302" w:lineRule="auto"/>
        <w:rPr>
          <w:sz w:val="20"/>
          <w:szCs w:val="20"/>
          <w:color w:val="auto"/>
        </w:rPr>
      </w:pPr>
      <w:r>
        <w:rPr>
          <w:rFonts w:ascii="Arial" w:cs="Arial" w:eastAsia="Arial" w:hAnsi="Arial"/>
          <w:sz w:val="16"/>
          <w:szCs w:val="16"/>
          <w:color w:val="auto"/>
        </w:rPr>
        <w:t>each month following the sale. The loans are collateralized by a lien on the construction equipment. The Company’s floor plan agreements limit the aggregate amount of borrowings based on the book value of new and used construction equipment units. As of June 30, 2005, the Company’s floor plan arrangement with Citicapital permits the financing of up to $10.5 million in construction equipment. On June 30, 2005, the Company had $4.3 million outstanding under its floor plan financing arrangements with John Deere and $7.9 million outstanding under its floor plan financing arrangement with Citicapital.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On June 30, 2005, the Company’s backlog of truck orders was approximately $434.5 million as compared to a backlog of truck orders of approximately $300.0 million on June 30, 2004. The Company includes in its backlog only confirmed orders. It currently takes between 45 days and six months for the Company to receive delivery of a truck once an order is placed depending on the truck specifications and demand for the particular model ordered. The Company sells the majority of its new trucks by customer special order, with the remainder sold out of inventory.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government regulation and customer business cycles. Unit sales of new heavy-duty trucks have historically been subject to substantial cyclical variation based on these general economic conditions. According to R.L. Polk, an industry research and publication firm, industry-wide domestic retail sales of class 8 trucks resulted in approximately 203,000 new class 8 truck registrations in 2004. A.C.T. Research forecasts U.S. heavy-duty new truck sales to increase to approximately 255,000 units during 2005. Through geographic expansion, concentration on higher margin parts and service operations and diversification of its customer base, the Company believes it can reduce the negative impact on the Company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operations are subject to numerous federal, state and local laws and regulations, including laws and regulations designed to protect the environment by regulating the discharge of materials into the environment. The EPA mandated that heavy-duty engine manufacturers meet new, stricter emissions guidelines regarding nitrous oxides for all engines built subsequent to October 1, 2002 and the EPA has placed additional guidelines, further restricting the emissions of nitrous oxides for all engines built subsequent to January 1, 2007. In 2002, the industry experienced an increased demand for trucks, as it historically has in the months preceding the effective date of a change in EPA engine emission guidelines; this period of increased demand was followed by a decrease in demand in the months subsequent to the change. The Company does not expect the change in emission guidelines that is scheduled to take effect on January 1, 2007 to have an affect on its 2005 results from operations. The Company believes it is too early to accurately determine how the 2007 change in emission guidelines will affect its results of operations subsequent to 2005. The Company expects continued high demand for trucks through 2006 and some fall-off in demand for trucks in 2007 due to the emissions guidelines. The severity of the fall-off in demand for trucks in 2007 will depend upon several factors including, without limitation, the results of tests on engines designed to meet the 2007 standards and the availability of tax incentives for purchasers of truck subsequent to January 1,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Dealership Agreements Upon a Change of Control</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 substantial percentage of our revenues is derived from sales of Peterbilt trucks and John Deere construction equipment products. Therefore, our business is highly dependent on our dealership agreements with Peterbilt and John Deere, which authorize us to sell Peterbilt and John Deere products in our market areas. Our dealership agreements with Peterbilt are terminable by Peterbilt in the event the aggregate voting power of Mr. W. Marvin Rush (“Mr. Rush”) and his family decreases below 30% with respect to the election of directors. The John Deere dealership agreement would similarly be terminable by John Deere if the aggregate voting power of Mr. Rush and his family were to decrease below 25%. As of June 30, 2005, Mr. Rush and his family beneficially owned 109,075 shares of the Company’s Class A Common Stock, and 2,838,675 shares of the Company’s Class B Common Stock, or approximately 32.1% of the Company’s outstanding voting power. The Company has no control over the transfer or disposition of the shares of the Company’s common stock by Mr. Rush or by Mr. Rush’s estate. If Mr. Rush sells his Class B Common Stock, bequests his Class B Common Stock to nonfamily members or if Mr. Rush’s estate is required to liquidate his Class B Common Stock to pay estate taxes or otherwise, the change of control provisions of the dealership agreements described above could be triggered and cause the Company to lose its critical right to sell Peterbilt or John Deere products. Any loss of rights under its dealership agreements would have a severely adverse effect on the Company’s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The Company believes that the relatively moderate rates of inflation over the last few years have not had a significant impact on revenues or profitability. The Company does not expect inflation to have any near-term material effects on the sale of our products and services.</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is exposed to some market risk through interest rates related to our floor plan borrowing arrangements, variable rate debt and discount rates related to finance sales. Floor plan borrowings are based on the prime rate of interest and are used to meet working capital needs. As of June 30, 2005, the Company had floor plan borrowings of approximately $279.5 million. Assuming an increase in the prime rate of interest of 100 basis points, interest expense could increase by approximately $2.8 million. The interest rate variability on all other debt would not have a material adverse effect on the Company’s financial position.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also exposed to some market risk through interest rates related to the investment of our current cash and cash equivalents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$95.5 million at June 30, 2005. These funds are generally invested in highly liquid money market accounts, government-sponsored enterprises and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bonds that do not expose the Company to a loss of principal. As such instruments mature and the funds are reinvested, we are exposed to changes in market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rates. This risk is mitigated by management’s ongoing evaluation of the best investment rates available for current and noncurrent high quality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investments. If market interest rates were to increase or decrease immediately and uniformly by 50 basis points, the Company’s interest income could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correspondingly increase or decrease by approximately $0.5 million. We have not used derivative financial instruments in our investment portfolio.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2005 to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2005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From time to time, we are involved in certain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We believe that there are no other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matters were voted upon at the Annual Meeting of Stockholders held on May 25, 2005, and received the votes set forth below:</w:t>
      </w:r>
    </w:p>
    <w:p>
      <w:pPr>
        <w:spacing w:after="0" w:line="237" w:lineRule="exact"/>
        <w:rPr>
          <w:sz w:val="20"/>
          <w:szCs w:val="20"/>
          <w:color w:val="auto"/>
        </w:rPr>
      </w:pPr>
    </w:p>
    <w:p>
      <w:pPr>
        <w:ind w:left="1300" w:right="700" w:hanging="644"/>
        <w:spacing w:after="0" w:line="277"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following persons nominated were elected to serve as directors and received the number of votes set forth opposite their respective names: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Number of Votes FOR FOR</w:t>
            </w:r>
          </w:p>
        </w:tc>
        <w:tc>
          <w:tcPr>
            <w:tcW w:w="2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 Votes</w:t>
            </w:r>
          </w:p>
        </w:tc>
        <w:tc>
          <w:tcPr>
            <w:tcW w:w="0" w:type="dxa"/>
            <w:vAlign w:val="bottom"/>
          </w:tcPr>
          <w:p>
            <w:pPr>
              <w:spacing w:after="0"/>
              <w:rPr>
                <w:sz w:val="1"/>
                <w:szCs w:val="1"/>
                <w:color w:val="auto"/>
              </w:rPr>
            </w:pPr>
          </w:p>
        </w:tc>
      </w:tr>
      <w:tr>
        <w:trPr>
          <w:trHeight w:val="171"/>
        </w:trPr>
        <w:tc>
          <w:tcPr>
            <w:tcW w:w="2440" w:type="dxa"/>
            <w:vAlign w:val="bottom"/>
            <w:gridSpan w:val="3"/>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Marvin Rush</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7,842,270</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W.M. “Rusty” Rush</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7,895,603</w:t>
            </w:r>
          </w:p>
        </w:tc>
        <w:tc>
          <w:tcPr>
            <w:tcW w:w="2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22,314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Rock</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7,866,079</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Harold D. Marshall</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7,866,444</w:t>
            </w:r>
          </w:p>
        </w:tc>
        <w:tc>
          <w:tcPr>
            <w:tcW w:w="2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51,473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Krause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7,864,484</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Thomas A. Akin</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7,868,539</w:t>
            </w:r>
          </w:p>
        </w:tc>
        <w:tc>
          <w:tcPr>
            <w:tcW w:w="2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49,378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right="100" w:hanging="64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Independent Public Accountants received 7,876,982 votes FOR and 40,810 votes AGAINST, with 125 abstentions.</w:t>
      </w:r>
    </w:p>
    <w:p>
      <w:pPr>
        <w:sectPr>
          <w:pgSz w:w="11900" w:h="16929" w:orient="portrait"/>
          <w:cols w:equalWidth="0" w:num="1">
            <w:col w:w="11380"/>
          </w:cols>
          <w:pgMar w:left="240" w:top="580" w:right="27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960" w:right="380" w:hanging="647"/>
        <w:spacing w:after="0" w:line="277" w:lineRule="auto"/>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the Registrant (incorporated herein by reference to Exhibit 3.1 of the Company’s Annual Report on Form 10-K (File No. 000-20797), for the year ended December 31, 2004).</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the Registrant, as amended (incorporated herein by reference to Exhibit 3.3 of the Company’s Form 8-A (File No. 000-</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20797) filed July 9, 2002).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CEO pursuant to Rules 13a-14(a) and 15d-14(a) adopted pursuant to Section 302 of the Sarbanes-Oxley Act 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CFO pursuant to Rules 13a-14(a) and 15d-14(a) adopted pursuant to Section 302 of the Sarbanes-Oxley Act 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pursuant to 18 U.S.C. Section 1350 as adopted pursuant to Section 906 of the Sarbanes-Oxley Act of 2002.</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00" w:type="dxa"/>
            <w:vAlign w:val="bottom"/>
            <w:gridSpan w:val="4"/>
          </w:tcPr>
          <w:p>
            <w:pPr>
              <w:ind w:left="1720"/>
              <w:spacing w:after="0"/>
              <w:rPr>
                <w:sz w:val="20"/>
                <w:szCs w:val="20"/>
                <w:color w:val="auto"/>
              </w:rPr>
            </w:pPr>
            <w:r>
              <w:rPr>
                <w:rFonts w:ascii="Arial" w:cs="Arial" w:eastAsia="Arial" w:hAnsi="Arial"/>
                <w:sz w:val="18"/>
                <w:szCs w:val="18"/>
                <w:color w:val="auto"/>
              </w:rPr>
              <w:t>RUSH ENTERPRISES, INC.</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9, 2005</w:t>
            </w:r>
          </w:p>
        </w:tc>
        <w:tc>
          <w:tcPr>
            <w:tcW w:w="2240" w:type="dxa"/>
            <w:vAlign w:val="bottom"/>
            <w:gridSpan w:val="3"/>
          </w:tcPr>
          <w:p>
            <w:pPr>
              <w:ind w:left="1720"/>
              <w:spacing w:after="0"/>
              <w:rPr>
                <w:sz w:val="20"/>
                <w:szCs w:val="20"/>
                <w:color w:val="auto"/>
              </w:rPr>
            </w:pPr>
            <w:r>
              <w:rPr>
                <w:rFonts w:ascii="Arial" w:cs="Arial" w:eastAsia="Arial" w:hAnsi="Arial"/>
                <w:sz w:val="18"/>
                <w:szCs w:val="18"/>
                <w:color w:val="auto"/>
              </w:rPr>
              <w:t>By:</w:t>
            </w:r>
          </w:p>
        </w:tc>
        <w:tc>
          <w:tcPr>
            <w:tcW w:w="5660" w:type="dxa"/>
            <w:vAlign w:val="bottom"/>
          </w:tcPr>
          <w:p>
            <w:pPr>
              <w:ind w:left="60"/>
              <w:spacing w:after="0"/>
              <w:rPr>
                <w:sz w:val="20"/>
                <w:szCs w:val="20"/>
                <w:color w:val="auto"/>
              </w:rPr>
            </w:pPr>
            <w:r>
              <w:rPr>
                <w:rFonts w:ascii="Arial" w:cs="Arial" w:eastAsia="Arial" w:hAnsi="Arial"/>
                <w:sz w:val="18"/>
                <w:szCs w:val="18"/>
                <w:color w:val="auto"/>
              </w:rPr>
              <w:t>/S/ W. MARVIN RUSH</w:t>
            </w:r>
          </w:p>
        </w:tc>
      </w:tr>
      <w:tr>
        <w:trPr>
          <w:trHeight w:val="195"/>
        </w:trPr>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120" w:type="dxa"/>
            <w:vAlign w:val="bottom"/>
            <w:gridSpan w:val="2"/>
          </w:tcPr>
          <w:p>
            <w:pPr>
              <w:ind w:left="1720"/>
              <w:spacing w:after="0" w:line="195" w:lineRule="exact"/>
              <w:rPr>
                <w:sz w:val="20"/>
                <w:szCs w:val="20"/>
                <w:color w:val="auto"/>
              </w:rPr>
            </w:pPr>
            <w:r>
              <w:rPr>
                <w:rFonts w:ascii="Arial" w:cs="Arial" w:eastAsia="Arial" w:hAnsi="Arial"/>
                <w:sz w:val="18"/>
                <w:szCs w:val="18"/>
                <w:color w:val="auto"/>
                <w:w w:val="71"/>
              </w:rPr>
              <w:t>Name:</w:t>
            </w:r>
          </w:p>
        </w:tc>
        <w:tc>
          <w:tcPr>
            <w:tcW w:w="120" w:type="dxa"/>
            <w:vAlign w:val="bottom"/>
            <w:tcBorders>
              <w:top w:val="single" w:sz="8" w:color="auto"/>
            </w:tcBorders>
          </w:tcPr>
          <w:p>
            <w:pPr>
              <w:spacing w:after="0"/>
              <w:rPr>
                <w:sz w:val="16"/>
                <w:szCs w:val="16"/>
                <w:color w:val="auto"/>
              </w:rPr>
            </w:pPr>
          </w:p>
        </w:tc>
        <w:tc>
          <w:tcPr>
            <w:tcW w:w="5660" w:type="dxa"/>
            <w:vAlign w:val="bottom"/>
            <w:tcBorders>
              <w:top w:val="single" w:sz="8" w:color="auto"/>
            </w:tcBorders>
          </w:tcPr>
          <w:p>
            <w:pPr>
              <w:ind w:left="3860"/>
              <w:spacing w:after="0" w:line="195" w:lineRule="exact"/>
              <w:rPr>
                <w:sz w:val="20"/>
                <w:szCs w:val="20"/>
                <w:color w:val="auto"/>
              </w:rPr>
            </w:pPr>
            <w:r>
              <w:rPr>
                <w:rFonts w:ascii="Arial" w:cs="Arial" w:eastAsia="Arial" w:hAnsi="Arial"/>
                <w:sz w:val="18"/>
                <w:szCs w:val="18"/>
                <w:color w:val="auto"/>
              </w:rPr>
              <w:t>W. Marvin Rush</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gridSpan w:val="3"/>
          </w:tcPr>
          <w:p>
            <w:pPr>
              <w:ind w:left="1720"/>
              <w:spacing w:after="0"/>
              <w:rPr>
                <w:sz w:val="20"/>
                <w:szCs w:val="20"/>
                <w:color w:val="auto"/>
              </w:rPr>
            </w:pPr>
            <w:r>
              <w:rPr>
                <w:rFonts w:ascii="Arial" w:cs="Arial" w:eastAsia="Arial" w:hAnsi="Arial"/>
                <w:sz w:val="18"/>
                <w:szCs w:val="18"/>
                <w:color w:val="auto"/>
              </w:rPr>
              <w:t>Title:</w:t>
            </w:r>
          </w:p>
        </w:tc>
        <w:tc>
          <w:tcPr>
            <w:tcW w:w="5660" w:type="dxa"/>
            <w:vAlign w:val="bottom"/>
          </w:tcPr>
          <w:p>
            <w:pPr>
              <w:ind w:left="3860"/>
              <w:spacing w:after="0"/>
              <w:rPr>
                <w:sz w:val="20"/>
                <w:szCs w:val="20"/>
                <w:color w:val="auto"/>
              </w:rPr>
            </w:pPr>
            <w:r>
              <w:rPr>
                <w:rFonts w:ascii="Arial" w:cs="Arial" w:eastAsia="Arial" w:hAnsi="Arial"/>
                <w:sz w:val="18"/>
                <w:szCs w:val="18"/>
                <w:color w:val="auto"/>
              </w:rPr>
              <w:t>Chairman and Chief</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Pr>
          <w:p>
            <w:pPr>
              <w:ind w:left="3860"/>
              <w:spacing w:after="0"/>
              <w:rPr>
                <w:sz w:val="20"/>
                <w:szCs w:val="20"/>
                <w:color w:val="auto"/>
              </w:rPr>
            </w:pPr>
            <w:r>
              <w:rPr>
                <w:rFonts w:ascii="Arial" w:cs="Arial" w:eastAsia="Arial" w:hAnsi="Arial"/>
                <w:sz w:val="18"/>
                <w:szCs w:val="18"/>
                <w:color w:val="auto"/>
              </w:rPr>
              <w:t>Executive Officer</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Pr>
          <w:p>
            <w:pPr>
              <w:ind w:left="3860"/>
              <w:spacing w:after="0"/>
              <w:rPr>
                <w:sz w:val="20"/>
                <w:szCs w:val="20"/>
                <w:color w:val="auto"/>
              </w:rPr>
            </w:pPr>
            <w:r>
              <w:rPr>
                <w:rFonts w:ascii="Arial" w:cs="Arial" w:eastAsia="Arial" w:hAnsi="Arial"/>
                <w:sz w:val="18"/>
                <w:szCs w:val="18"/>
                <w:color w:val="auto"/>
              </w:rPr>
              <w:t>(Principal Executive</w:t>
            </w:r>
          </w:p>
        </w:tc>
      </w:tr>
      <w:tr>
        <w:trPr>
          <w:trHeight w:val="230"/>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60" w:type="dxa"/>
            <w:vAlign w:val="bottom"/>
          </w:tcPr>
          <w:p>
            <w:pPr>
              <w:ind w:left="3860"/>
              <w:spacing w:after="0"/>
              <w:rPr>
                <w:sz w:val="20"/>
                <w:szCs w:val="20"/>
                <w:color w:val="auto"/>
              </w:rPr>
            </w:pPr>
            <w:r>
              <w:rPr>
                <w:rFonts w:ascii="Arial" w:cs="Arial" w:eastAsia="Arial" w:hAnsi="Arial"/>
                <w:sz w:val="18"/>
                <w:szCs w:val="18"/>
                <w:color w:val="auto"/>
              </w:rPr>
              <w:t>Officer)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9, 2005</w:t>
            </w:r>
          </w:p>
        </w:tc>
        <w:tc>
          <w:tcPr>
            <w:tcW w:w="2240" w:type="dxa"/>
            <w:vAlign w:val="bottom"/>
            <w:gridSpan w:val="3"/>
          </w:tcPr>
          <w:p>
            <w:pPr>
              <w:ind w:left="1720"/>
              <w:spacing w:after="0"/>
              <w:rPr>
                <w:sz w:val="20"/>
                <w:szCs w:val="20"/>
                <w:color w:val="auto"/>
              </w:rPr>
            </w:pPr>
            <w:r>
              <w:rPr>
                <w:rFonts w:ascii="Arial" w:cs="Arial" w:eastAsia="Arial" w:hAnsi="Arial"/>
                <w:sz w:val="18"/>
                <w:szCs w:val="18"/>
                <w:color w:val="auto"/>
              </w:rPr>
              <w:t>By:</w:t>
            </w:r>
          </w:p>
        </w:tc>
        <w:tc>
          <w:tcPr>
            <w:tcW w:w="5660" w:type="dxa"/>
            <w:vAlign w:val="bottom"/>
          </w:tcPr>
          <w:p>
            <w:pPr>
              <w:ind w:left="40"/>
              <w:spacing w:after="0"/>
              <w:rPr>
                <w:sz w:val="20"/>
                <w:szCs w:val="20"/>
                <w:color w:val="auto"/>
              </w:rPr>
            </w:pPr>
            <w:r>
              <w:rPr>
                <w:rFonts w:ascii="Arial" w:cs="Arial" w:eastAsia="Arial" w:hAnsi="Arial"/>
                <w:sz w:val="18"/>
                <w:szCs w:val="18"/>
                <w:color w:val="auto"/>
              </w:rPr>
              <w:t>/S/ MARTIN A. NAEGELIN, JR.</w:t>
            </w:r>
          </w:p>
        </w:tc>
      </w:tr>
      <w:tr>
        <w:trPr>
          <w:trHeight w:val="195"/>
        </w:trPr>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100" w:type="dxa"/>
            <w:vAlign w:val="bottom"/>
          </w:tcPr>
          <w:p>
            <w:pPr>
              <w:ind w:left="1720"/>
              <w:spacing w:after="0"/>
              <w:rPr>
                <w:sz w:val="20"/>
                <w:szCs w:val="20"/>
                <w:color w:val="auto"/>
              </w:rPr>
            </w:pPr>
            <w:r>
              <w:rPr>
                <w:rFonts w:ascii="Arial" w:cs="Arial" w:eastAsia="Arial" w:hAnsi="Arial"/>
                <w:sz w:val="17"/>
                <w:szCs w:val="17"/>
                <w:color w:val="auto"/>
                <w:w w:val="71"/>
              </w:rPr>
              <w:t>Name:</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60" w:type="dxa"/>
            <w:vAlign w:val="bottom"/>
            <w:tcBorders>
              <w:top w:val="single" w:sz="8" w:color="auto"/>
            </w:tcBorders>
          </w:tcPr>
          <w:p>
            <w:pPr>
              <w:ind w:left="3860"/>
              <w:spacing w:after="0" w:line="195" w:lineRule="exact"/>
              <w:rPr>
                <w:sz w:val="20"/>
                <w:szCs w:val="20"/>
                <w:color w:val="auto"/>
              </w:rPr>
            </w:pPr>
            <w:r>
              <w:rPr>
                <w:rFonts w:ascii="Arial" w:cs="Arial" w:eastAsia="Arial" w:hAnsi="Arial"/>
                <w:sz w:val="18"/>
                <w:szCs w:val="18"/>
                <w:color w:val="auto"/>
                <w:w w:val="99"/>
              </w:rPr>
              <w:t>Martin A. Naegelin, Jr.</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gridSpan w:val="3"/>
          </w:tcPr>
          <w:p>
            <w:pPr>
              <w:ind w:left="1720"/>
              <w:spacing w:after="0"/>
              <w:rPr>
                <w:sz w:val="20"/>
                <w:szCs w:val="20"/>
                <w:color w:val="auto"/>
              </w:rPr>
            </w:pPr>
            <w:r>
              <w:rPr>
                <w:rFonts w:ascii="Arial" w:cs="Arial" w:eastAsia="Arial" w:hAnsi="Arial"/>
                <w:sz w:val="18"/>
                <w:szCs w:val="18"/>
                <w:color w:val="auto"/>
              </w:rPr>
              <w:t>Title:</w:t>
            </w:r>
          </w:p>
        </w:tc>
        <w:tc>
          <w:tcPr>
            <w:tcW w:w="5660" w:type="dxa"/>
            <w:vAlign w:val="bottom"/>
          </w:tcPr>
          <w:p>
            <w:pPr>
              <w:ind w:left="3860"/>
              <w:spacing w:after="0"/>
              <w:rPr>
                <w:sz w:val="20"/>
                <w:szCs w:val="20"/>
                <w:color w:val="auto"/>
              </w:rPr>
            </w:pPr>
            <w:r>
              <w:rPr>
                <w:rFonts w:ascii="Arial" w:cs="Arial" w:eastAsia="Arial" w:hAnsi="Arial"/>
                <w:sz w:val="18"/>
                <w:szCs w:val="18"/>
                <w:color w:val="auto"/>
              </w:rPr>
              <w:t>Senior Vice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Pr>
          <w:p>
            <w:pPr>
              <w:ind w:left="3860"/>
              <w:spacing w:after="0"/>
              <w:rPr>
                <w:sz w:val="20"/>
                <w:szCs w:val="20"/>
                <w:color w:val="auto"/>
              </w:rPr>
            </w:pPr>
            <w:r>
              <w:rPr>
                <w:rFonts w:ascii="Arial" w:cs="Arial" w:eastAsia="Arial" w:hAnsi="Arial"/>
                <w:sz w:val="18"/>
                <w:szCs w:val="18"/>
                <w:color w:val="auto"/>
              </w:rPr>
              <w:t>and Chief Financial</w:t>
            </w:r>
          </w:p>
        </w:tc>
      </w:tr>
      <w:tr>
        <w:trPr>
          <w:trHeight w:val="230"/>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60" w:type="dxa"/>
            <w:vAlign w:val="bottom"/>
          </w:tcPr>
          <w:p>
            <w:pPr>
              <w:ind w:left="3860"/>
              <w:spacing w:after="0"/>
              <w:rPr>
                <w:sz w:val="20"/>
                <w:szCs w:val="20"/>
                <w:color w:val="auto"/>
              </w:rPr>
            </w:pPr>
            <w:r>
              <w:rPr>
                <w:rFonts w:ascii="Arial" w:cs="Arial" w:eastAsia="Arial" w:hAnsi="Arial"/>
                <w:sz w:val="18"/>
                <w:szCs w:val="18"/>
                <w:color w:val="auto"/>
              </w:rPr>
              <w:t>Officer</w:t>
            </w:r>
          </w:p>
        </w:tc>
      </w:tr>
    </w:tbl>
    <w:p>
      <w:pPr>
        <w:ind w:left="9620"/>
        <w:spacing w:after="0"/>
        <w:rPr>
          <w:sz w:val="20"/>
          <w:szCs w:val="20"/>
          <w:color w:val="auto"/>
        </w:rPr>
      </w:pPr>
      <w:r>
        <w:rPr>
          <w:rFonts w:ascii="Arial" w:cs="Arial" w:eastAsia="Arial" w:hAnsi="Arial"/>
          <w:sz w:val="17"/>
          <w:szCs w:val="17"/>
          <w:color w:val="auto"/>
        </w:rPr>
        <w:t>(Principal Financial and</w:t>
      </w:r>
    </w:p>
    <w:p>
      <w:pPr>
        <w:spacing w:after="0" w:line="21"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Marvin Rush,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62"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30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20" w:firstLine="656"/>
        <w:spacing w:after="0" w:line="308" w:lineRule="auto"/>
        <w:tabs>
          <w:tab w:leader="none" w:pos="1312"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00" w:firstLine="656"/>
        <w:spacing w:after="0" w:line="264" w:lineRule="auto"/>
        <w:tabs>
          <w:tab w:leader="none" w:pos="13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6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12"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August 9, 2005</w:t>
            </w:r>
          </w:p>
        </w:tc>
        <w:tc>
          <w:tcPr>
            <w:tcW w:w="7680" w:type="dxa"/>
            <w:vAlign w:val="bottom"/>
            <w:gridSpan w:val="2"/>
          </w:tcPr>
          <w:p>
            <w:pPr>
              <w:ind w:left="2820"/>
              <w:spacing w:after="0"/>
              <w:rPr>
                <w:sz w:val="20"/>
                <w:szCs w:val="20"/>
                <w:color w:val="auto"/>
              </w:rPr>
            </w:pPr>
            <w:r>
              <w:rPr>
                <w:rFonts w:ascii="Arial" w:cs="Arial" w:eastAsia="Arial" w:hAnsi="Arial"/>
                <w:sz w:val="18"/>
                <w:szCs w:val="18"/>
                <w:color w:val="auto"/>
              </w:rPr>
              <w:t>By   /S/ W. MARVIN RUSH</w:t>
            </w:r>
          </w:p>
        </w:tc>
        <w:tc>
          <w:tcPr>
            <w:tcW w:w="2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Marvin Rush</w:t>
            </w:r>
          </w:p>
        </w:tc>
        <w:tc>
          <w:tcPr>
            <w:tcW w:w="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3300" w:type="dxa"/>
            <w:vAlign w:val="bottom"/>
          </w:tcPr>
          <w:p>
            <w:pPr>
              <w:jc w:val="right"/>
              <w:ind w:right="1190"/>
              <w:spacing w:after="0"/>
              <w:rPr>
                <w:sz w:val="20"/>
                <w:szCs w:val="20"/>
                <w:color w:val="auto"/>
              </w:rPr>
            </w:pPr>
            <w:r>
              <w:rPr>
                <w:rFonts w:ascii="Arial" w:cs="Arial" w:eastAsia="Arial" w:hAnsi="Arial"/>
                <w:sz w:val="18"/>
                <w:szCs w:val="18"/>
                <w:color w:val="auto"/>
              </w:rPr>
              <w:t>1</w:t>
            </w: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4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6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6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30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08" w:lineRule="auto"/>
        <w:tabs>
          <w:tab w:leader="none" w:pos="1343"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656"/>
        <w:spacing w:after="0" w:line="264" w:lineRule="auto"/>
        <w:tabs>
          <w:tab w:leader="none" w:pos="135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6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00" w:firstLine="656"/>
        <w:spacing w:after="0" w:line="308" w:lineRule="auto"/>
        <w:tabs>
          <w:tab w:leader="none" w:pos="1343"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656"/>
        <w:spacing w:after="0" w:line="277" w:lineRule="auto"/>
        <w:tabs>
          <w:tab w:leader="none" w:pos="135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80"/>
              <w:spacing w:after="0"/>
              <w:rPr>
                <w:sz w:val="20"/>
                <w:szCs w:val="20"/>
                <w:color w:val="auto"/>
              </w:rPr>
            </w:pPr>
            <w:r>
              <w:rPr>
                <w:rFonts w:ascii="Arial" w:cs="Arial" w:eastAsia="Arial" w:hAnsi="Arial"/>
                <w:sz w:val="18"/>
                <w:szCs w:val="18"/>
                <w:color w:val="auto"/>
              </w:rPr>
              <w:t>August 9, 2005</w:t>
            </w:r>
          </w:p>
        </w:tc>
        <w:tc>
          <w:tcPr>
            <w:tcW w:w="3240" w:type="dxa"/>
            <w:vAlign w:val="bottom"/>
          </w:tcPr>
          <w:p>
            <w:pPr>
              <w:jc w:val="right"/>
              <w:ind w:right="27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20" w:type="dxa"/>
            <w:vAlign w:val="bottom"/>
          </w:tcPr>
          <w:p>
            <w:pPr>
              <w:spacing w:after="0"/>
              <w:rPr>
                <w:sz w:val="20"/>
                <w:szCs w:val="20"/>
                <w:color w:val="auto"/>
              </w:rPr>
            </w:pPr>
          </w:p>
        </w:tc>
      </w:tr>
      <w:tr>
        <w:trPr>
          <w:trHeight w:val="195"/>
        </w:trPr>
        <w:tc>
          <w:tcPr>
            <w:tcW w:w="5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40" w:type="dxa"/>
            <w:vAlign w:val="bottom"/>
          </w:tcPr>
          <w:p>
            <w:pPr>
              <w:jc w:val="right"/>
              <w:ind w:right="1150"/>
              <w:spacing w:after="0"/>
              <w:rPr>
                <w:sz w:val="20"/>
                <w:szCs w:val="20"/>
                <w:color w:val="auto"/>
              </w:rPr>
            </w:pPr>
            <w:r>
              <w:rPr>
                <w:rFonts w:ascii="Arial" w:cs="Arial" w:eastAsia="Arial" w:hAnsi="Arial"/>
                <w:sz w:val="18"/>
                <w:szCs w:val="18"/>
                <w:color w:val="auto"/>
              </w:rPr>
              <w:t>1</w:t>
            </w: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6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2005,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 Marvin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380" w:hanging="4"/>
        <w:spacing w:after="0" w:line="27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820" w:type="dxa"/>
            <w:vAlign w:val="bottom"/>
          </w:tcPr>
          <w:p>
            <w:pPr>
              <w:ind w:left="120"/>
              <w:spacing w:after="0"/>
              <w:rPr>
                <w:sz w:val="20"/>
                <w:szCs w:val="20"/>
                <w:color w:val="auto"/>
              </w:rPr>
            </w:pPr>
            <w:r>
              <w:rPr>
                <w:rFonts w:ascii="Arial" w:cs="Arial" w:eastAsia="Arial" w:hAnsi="Arial"/>
                <w:sz w:val="18"/>
                <w:szCs w:val="18"/>
                <w:color w:val="auto"/>
              </w:rPr>
              <w:t>/S/ W. MARVIN RUSH</w:t>
            </w:r>
          </w:p>
        </w:tc>
      </w:tr>
      <w:tr>
        <w:trPr>
          <w:trHeight w:val="195"/>
        </w:trPr>
        <w:tc>
          <w:tcPr>
            <w:tcW w:w="400" w:type="dxa"/>
            <w:vAlign w:val="bottom"/>
          </w:tcPr>
          <w:p>
            <w:pPr>
              <w:spacing w:after="0" w:line="195" w:lineRule="exact"/>
              <w:rPr>
                <w:sz w:val="20"/>
                <w:szCs w:val="20"/>
                <w:color w:val="auto"/>
              </w:rPr>
            </w:pPr>
            <w:r>
              <w:rPr>
                <w:rFonts w:ascii="Arial" w:cs="Arial" w:eastAsia="Arial" w:hAnsi="Arial"/>
                <w:sz w:val="18"/>
                <w:szCs w:val="18"/>
                <w:color w:val="auto"/>
                <w:w w:val="71"/>
              </w:rPr>
              <w:t>Name:</w:t>
            </w:r>
          </w:p>
        </w:tc>
        <w:tc>
          <w:tcPr>
            <w:tcW w:w="200" w:type="dxa"/>
            <w:vAlign w:val="bottom"/>
            <w:tcBorders>
              <w:top w:val="single" w:sz="8" w:color="auto"/>
            </w:tcBorders>
          </w:tcPr>
          <w:p>
            <w:pPr>
              <w:spacing w:after="0"/>
              <w:rPr>
                <w:sz w:val="16"/>
                <w:szCs w:val="16"/>
                <w:color w:val="auto"/>
              </w:rPr>
            </w:pPr>
          </w:p>
        </w:tc>
        <w:tc>
          <w:tcPr>
            <w:tcW w:w="4820" w:type="dxa"/>
            <w:vAlign w:val="bottom"/>
            <w:tcBorders>
              <w:top w:val="single" w:sz="8" w:color="auto"/>
            </w:tcBorders>
          </w:tcPr>
          <w:p>
            <w:pPr>
              <w:ind w:left="2260"/>
              <w:spacing w:after="0" w:line="195" w:lineRule="exact"/>
              <w:rPr>
                <w:sz w:val="20"/>
                <w:szCs w:val="20"/>
                <w:color w:val="auto"/>
              </w:rPr>
            </w:pPr>
            <w:r>
              <w:rPr>
                <w:rFonts w:ascii="Arial" w:cs="Arial" w:eastAsia="Arial" w:hAnsi="Arial"/>
                <w:sz w:val="18"/>
                <w:szCs w:val="18"/>
                <w:color w:val="auto"/>
              </w:rPr>
              <w:t>W. Marvin Rush</w:t>
            </w:r>
          </w:p>
        </w:tc>
      </w:t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ind w:left="2260"/>
              <w:spacing w:after="0"/>
              <w:rPr>
                <w:sz w:val="20"/>
                <w:szCs w:val="20"/>
                <w:color w:val="auto"/>
              </w:rPr>
            </w:pPr>
            <w:r>
              <w:rPr>
                <w:rFonts w:ascii="Arial" w:cs="Arial" w:eastAsia="Arial" w:hAnsi="Arial"/>
                <w:sz w:val="18"/>
                <w:szCs w:val="18"/>
                <w:color w:val="auto"/>
              </w:rPr>
              <w:t>Chairman and Chief Executive</w:t>
            </w:r>
          </w:p>
        </w:tc>
      </w:tr>
      <w:tr>
        <w:trPr>
          <w:trHeight w:val="216"/>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ind w:left="2260"/>
              <w:spacing w:after="0"/>
              <w:rPr>
                <w:sz w:val="20"/>
                <w:szCs w:val="20"/>
                <w:color w:val="auto"/>
              </w:rPr>
            </w:pPr>
            <w:r>
              <w:rPr>
                <w:rFonts w:ascii="Arial" w:cs="Arial" w:eastAsia="Arial" w:hAnsi="Arial"/>
                <w:sz w:val="18"/>
                <w:szCs w:val="18"/>
                <w:color w:val="auto"/>
              </w:rPr>
              <w:t>Officer</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ind w:left="2260"/>
              <w:spacing w:after="0"/>
              <w:rPr>
                <w:sz w:val="20"/>
                <w:szCs w:val="20"/>
                <w:color w:val="auto"/>
              </w:rPr>
            </w:pPr>
            <w:r>
              <w:rPr>
                <w:rFonts w:ascii="Arial" w:cs="Arial" w:eastAsia="Arial" w:hAnsi="Arial"/>
                <w:sz w:val="18"/>
                <w:szCs w:val="18"/>
                <w:color w:val="auto"/>
              </w:rPr>
              <w:t>August 9, 2005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2005,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400" w:hanging="4"/>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532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20" w:type="dxa"/>
            <w:vAlign w:val="bottom"/>
          </w:tcPr>
          <w:p>
            <w:pPr>
              <w:spacing w:after="0"/>
              <w:rPr>
                <w:sz w:val="20"/>
                <w:szCs w:val="20"/>
                <w:color w:val="auto"/>
              </w:rPr>
            </w:pPr>
          </w:p>
        </w:tc>
      </w:tr>
      <w:tr>
        <w:trPr>
          <w:trHeight w:val="195"/>
        </w:trPr>
        <w:tc>
          <w:tcPr>
            <w:tcW w:w="6000" w:type="dxa"/>
            <w:vAlign w:val="bottom"/>
          </w:tcPr>
          <w:p>
            <w:pPr>
              <w:ind w:left="5320"/>
              <w:spacing w:after="0" w:line="195" w:lineRule="exact"/>
              <w:rPr>
                <w:sz w:val="20"/>
                <w:szCs w:val="20"/>
                <w:color w:val="auto"/>
              </w:rPr>
            </w:pPr>
            <w:r>
              <w:rPr>
                <w:rFonts w:ascii="Arial" w:cs="Arial" w:eastAsia="Arial" w:hAnsi="Arial"/>
                <w:sz w:val="18"/>
                <w:szCs w:val="18"/>
                <w:color w:val="auto"/>
              </w:rPr>
              <w:t>Name:</w:t>
            </w: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6000" w:type="dxa"/>
            <w:vAlign w:val="bottom"/>
          </w:tcPr>
          <w:p>
            <w:pPr>
              <w:ind w:left="5320"/>
              <w:spacing w:after="0"/>
              <w:rPr>
                <w:sz w:val="20"/>
                <w:szCs w:val="20"/>
                <w:color w:val="auto"/>
              </w:rPr>
            </w:pPr>
            <w:r>
              <w:rPr>
                <w:rFonts w:ascii="Arial" w:cs="Arial" w:eastAsia="Arial" w:hAnsi="Arial"/>
                <w:sz w:val="18"/>
                <w:szCs w:val="18"/>
                <w:color w:val="auto"/>
              </w:rPr>
              <w:t>Title:</w:t>
            </w:r>
          </w:p>
        </w:tc>
        <w:tc>
          <w:tcPr>
            <w:tcW w:w="54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r>
      <w:tr>
        <w:trPr>
          <w:trHeight w:val="230"/>
        </w:trPr>
        <w:tc>
          <w:tcPr>
            <w:tcW w:w="6000" w:type="dxa"/>
            <w:vAlign w:val="bottom"/>
          </w:tcPr>
          <w:p>
            <w:pPr>
              <w:ind w:left="5320"/>
              <w:spacing w:after="0"/>
              <w:rPr>
                <w:sz w:val="20"/>
                <w:szCs w:val="20"/>
                <w:color w:val="auto"/>
              </w:rPr>
            </w:pPr>
            <w:r>
              <w:rPr>
                <w:rFonts w:ascii="Arial" w:cs="Arial" w:eastAsia="Arial" w:hAnsi="Arial"/>
                <w:sz w:val="18"/>
                <w:szCs w:val="18"/>
                <w:color w:val="auto"/>
              </w:rPr>
              <w:t>Date:</w:t>
            </w:r>
          </w:p>
        </w:tc>
        <w:tc>
          <w:tcPr>
            <w:tcW w:w="5420" w:type="dxa"/>
            <w:vAlign w:val="bottom"/>
          </w:tcPr>
          <w:p>
            <w:pPr>
              <w:spacing w:after="0"/>
              <w:rPr>
                <w:sz w:val="20"/>
                <w:szCs w:val="20"/>
                <w:color w:val="auto"/>
              </w:rPr>
            </w:pPr>
            <w:r>
              <w:rPr>
                <w:rFonts w:ascii="Arial" w:cs="Arial" w:eastAsia="Arial" w:hAnsi="Arial"/>
                <w:sz w:val="18"/>
                <w:szCs w:val="18"/>
                <w:color w:val="auto"/>
              </w:rPr>
              <w:t>August 9, 2005</w:t>
            </w:r>
          </w:p>
        </w:tc>
        <w:tc>
          <w:tcPr>
            <w:tcW w:w="20" w:type="dxa"/>
            <w:vAlign w:val="bottom"/>
          </w:tcPr>
          <w:p>
            <w:pPr>
              <w:spacing w:after="0"/>
              <w:rPr>
                <w:sz w:val="20"/>
                <w:szCs w:val="20"/>
                <w:color w:val="auto"/>
              </w:rPr>
            </w:pPr>
          </w:p>
        </w:tc>
      </w:tr>
      <w:tr>
        <w:trPr>
          <w:trHeight w:val="432"/>
        </w:trPr>
        <w:tc>
          <w:tcPr>
            <w:tcW w:w="6000" w:type="dxa"/>
            <w:vAlign w:val="bottom"/>
          </w:tcPr>
          <w:p>
            <w:pPr>
              <w:ind w:left="5660"/>
              <w:spacing w:after="0"/>
              <w:rPr>
                <w:sz w:val="20"/>
                <w:szCs w:val="20"/>
                <w:color w:val="auto"/>
              </w:rPr>
            </w:pPr>
            <w:r>
              <w:rPr>
                <w:rFonts w:ascii="Arial" w:cs="Arial" w:eastAsia="Arial" w:hAnsi="Arial"/>
                <w:sz w:val="18"/>
                <w:szCs w:val="18"/>
                <w:color w:val="auto"/>
              </w:rPr>
              <w:t>1</w:t>
            </w: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000" w:type="dxa"/>
            <w:vAlign w:val="bottom"/>
            <w:tcBorders>
              <w:bottom w:val="single" w:sz="8" w:color="808080"/>
            </w:tcBorders>
          </w:tcPr>
          <w:p>
            <w:pPr>
              <w:spacing w:after="0"/>
              <w:rPr>
                <w:sz w:val="9"/>
                <w:szCs w:val="9"/>
                <w:color w:val="auto"/>
              </w:rPr>
            </w:pPr>
          </w:p>
        </w:tc>
        <w:tc>
          <w:tcPr>
            <w:tcW w:w="5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23"/>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2019-12-12T00:39:59Z</dcterms:created>
  <dcterms:modified xsi:type="dcterms:W3CDTF">2019-12-12T00:39:59Z</dcterms:modified>
</cp:coreProperties>
</file>