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64" w:lineRule="exact"/>
        <w:rPr>
          <w:sz w:val="20"/>
          <w:szCs w:val="20"/>
          <w:color w:val="auto"/>
        </w:rPr>
      </w:pPr>
    </w:p>
    <w:p>
      <w:pPr>
        <w:ind w:left="1460" w:right="296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7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0-20797</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0" w:gutter="0" w:footer="0" w:header="0"/>
        </w:sectPr>
      </w:pPr>
    </w:p>
    <w:p>
      <w:pPr>
        <w:spacing w:after="0" w:line="20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660"/>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2660"/>
        <w:spacing w:after="0"/>
        <w:rPr>
          <w:sz w:val="20"/>
          <w:szCs w:val="20"/>
          <w:color w:val="auto"/>
        </w:rPr>
      </w:pPr>
      <w:r>
        <w:rPr>
          <w:rFonts w:ascii="Arial" w:cs="Arial" w:eastAsia="Arial" w:hAnsi="Arial"/>
          <w:sz w:val="17"/>
          <w:szCs w:val="17"/>
          <w:color w:val="auto"/>
        </w:rPr>
        <w:t>(I.R.S. Employer Identification No.)</w:t>
      </w:r>
    </w:p>
    <w:p>
      <w:pPr>
        <w:spacing w:after="0" w:line="397" w:lineRule="exact"/>
        <w:rPr>
          <w:sz w:val="20"/>
          <w:szCs w:val="20"/>
          <w:color w:val="auto"/>
        </w:rPr>
      </w:pPr>
    </w:p>
    <w:p>
      <w:pPr>
        <w:sectPr>
          <w:pgSz w:w="11900" w:h="16838" w:orient="portrait"/>
          <w:cols w:equalWidth="0" w:num="2">
            <w:col w:w="5420" w:space="720"/>
            <w:col w:w="5280"/>
          </w:cols>
          <w:pgMar w:left="240" w:top="122" w:right="239" w:bottom="140" w:gutter="0" w:footer="0" w:header="0"/>
          <w:type w:val="continuous"/>
        </w:sectPr>
      </w:pPr>
    </w:p>
    <w:p>
      <w:pPr>
        <w:jc w:val="center"/>
        <w:ind w:right="142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(Zip Code)</w:t>
      </w:r>
    </w:p>
    <w:p>
      <w:pPr>
        <w:spacing w:after="0" w:line="18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1760"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0" w:gutter="0" w:footer="0" w:header="0"/>
          <w:type w:val="continuous"/>
        </w:sectPr>
      </w:pP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Large accelerated filer</w:t>
      </w:r>
    </w:p>
    <w:p>
      <w:pPr>
        <w:spacing w:after="0" w:line="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1960" w:space="320"/>
            <w:col w:w="1400" w:space="320"/>
            <w:col w:w="3360" w:space="200"/>
            <w:col w:w="3860"/>
          </w:cols>
          <w:pgMar w:left="240" w:top="122" w:right="239" w:bottom="140" w:gutter="0" w:footer="0" w:header="0"/>
          <w:type w:val="continuous"/>
        </w:sectPr>
      </w:pPr>
    </w:p>
    <w:p>
      <w:pPr>
        <w:ind w:left="340" w:right="1760"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4,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 of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Common Stock, $.01 Par Value</w:t>
            </w:r>
          </w:p>
        </w:tc>
        <w:tc>
          <w:tcPr>
            <w:tcW w:w="460" w:type="dxa"/>
            <w:vAlign w:val="bottom"/>
          </w:tcPr>
          <w:p>
            <w:pPr>
              <w:spacing w:after="0"/>
              <w:rPr>
                <w:sz w:val="16"/>
                <w:szCs w:val="16"/>
                <w:color w:val="auto"/>
              </w:rPr>
            </w:pPr>
          </w:p>
        </w:tc>
        <w:tc>
          <w:tcPr>
            <w:tcW w:w="4440" w:type="dxa"/>
            <w:vAlign w:val="bottom"/>
          </w:tcPr>
          <w:p>
            <w:pPr>
              <w:jc w:val="center"/>
              <w:spacing w:after="0" w:line="195" w:lineRule="exact"/>
              <w:rPr>
                <w:sz w:val="20"/>
                <w:szCs w:val="20"/>
                <w:color w:val="auto"/>
              </w:rPr>
            </w:pPr>
            <w:r>
              <w:rPr>
                <w:rFonts w:ascii="Arial" w:cs="Arial" w:eastAsia="Arial" w:hAnsi="Arial"/>
                <w:sz w:val="18"/>
                <w:szCs w:val="18"/>
                <w:color w:val="auto"/>
                <w:w w:val="88"/>
              </w:rPr>
              <w:t>26,432,073</w:t>
            </w: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Class B Common Stock, $.01 Par Value</w:t>
            </w:r>
          </w:p>
        </w:tc>
        <w:tc>
          <w:tcPr>
            <w:tcW w:w="490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10,686,983</w:t>
            </w:r>
          </w:p>
        </w:tc>
        <w:tc>
          <w:tcPr>
            <w:tcW w:w="176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2"/>
          </w:tcPr>
          <w:p>
            <w:pPr>
              <w:jc w:val="center"/>
              <w:ind w:right="152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27"/>
            <w:vMerge w:val="restart"/>
          </w:tcPr>
          <w:p>
            <w:pPr>
              <w:ind w:left="3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760" w:type="dxa"/>
            <w:vAlign w:val="bottom"/>
            <w:gridSpan w:val="2"/>
          </w:tcPr>
          <w:p>
            <w:pPr>
              <w:jc w:val="right"/>
              <w:ind w:righ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60" w:type="dxa"/>
            <w:vAlign w:val="bottom"/>
            <w:gridSpan w:val="27"/>
            <w:vMerge w:val="continue"/>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00" w:type="dxa"/>
            <w:vAlign w:val="bottom"/>
            <w:tcBorders>
              <w:top w:val="single" w:sz="8" w:color="0000EE"/>
            </w:tcBorders>
            <w:gridSpan w:val="3"/>
          </w:tcPr>
          <w:p>
            <w:pPr>
              <w:spacing w:after="0"/>
              <w:rPr>
                <w:sz w:val="24"/>
                <w:szCs w:val="24"/>
                <w:color w:val="auto"/>
              </w:rPr>
            </w:pPr>
          </w:p>
        </w:tc>
        <w:tc>
          <w:tcPr>
            <w:tcW w:w="526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 September 30, 2009 (unaudited) and December 31, 2008</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Operations — For the Three Months and Nine Months Ended September 30,</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2009 and 2008 (unaudited)</w:t>
              </w:r>
            </w:hyperlink>
          </w:p>
        </w:tc>
        <w:tc>
          <w:tcPr>
            <w:tcW w:w="380" w:type="dxa"/>
            <w:vAlign w:val="bottom"/>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Cash Flows — For the Nine Months Ended September 30, 2009 and 2008</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300" w:type="dxa"/>
            <w:vAlign w:val="bottom"/>
            <w:tcBorders>
              <w:top w:val="single" w:sz="8" w:color="0000EE"/>
            </w:tcBorders>
            <w:gridSpan w:val="15"/>
          </w:tcPr>
          <w:p>
            <w:pPr>
              <w:spacing w:after="0"/>
              <w:rPr>
                <w:sz w:val="17"/>
                <w:szCs w:val="17"/>
                <w:color w:val="auto"/>
              </w:rPr>
            </w:pPr>
          </w:p>
        </w:tc>
        <w:tc>
          <w:tcPr>
            <w:tcW w:w="580" w:type="dxa"/>
            <w:vAlign w:val="bottom"/>
            <w:gridSpan w:val="2"/>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120" w:type="dxa"/>
            <w:vAlign w:val="bottom"/>
            <w:gridSpan w:val="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7"/>
          </w:tcPr>
          <w:p>
            <w:pPr>
              <w:ind w:left="34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5560" w:type="dxa"/>
            <w:vAlign w:val="bottom"/>
            <w:gridSpan w:val="11"/>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240" w:type="dxa"/>
            <w:vAlign w:val="bottom"/>
            <w:gridSpan w:val="1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3220" w:type="dxa"/>
            <w:vAlign w:val="bottom"/>
            <w:gridSpan w:val="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 Defaults Upon Senior Securities</w:t>
              </w:r>
            </w:hyperlink>
          </w:p>
        </w:tc>
        <w:tc>
          <w:tcPr>
            <w:tcW w:w="5240" w:type="dxa"/>
            <w:vAlign w:val="bottom"/>
            <w:gridSpan w:val="9"/>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4. Submission of Matters to a Vote of Security Holders</w:t>
              </w:r>
            </w:hyperlink>
          </w:p>
        </w:tc>
        <w:tc>
          <w:tcPr>
            <w:tcW w:w="3800" w:type="dxa"/>
            <w:vAlign w:val="bottom"/>
            <w:gridSpan w:val="7"/>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 Other Information</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3"/>
          </w:tcPr>
          <w:p>
            <w:pPr>
              <w:spacing w:after="0"/>
              <w:rPr>
                <w:sz w:val="24"/>
                <w:szCs w:val="24"/>
                <w:color w:val="auto"/>
              </w:rPr>
            </w:pPr>
          </w:p>
        </w:tc>
        <w:tc>
          <w:tcPr>
            <w:tcW w:w="6260" w:type="dxa"/>
            <w:vAlign w:val="bottom"/>
            <w:gridSpan w:val="1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8660" w:type="dxa"/>
            <w:vAlign w:val="bottom"/>
            <w:gridSpan w:val="27"/>
          </w:tcPr>
          <w:p>
            <w:pPr>
              <w:ind w:left="34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Exhibit 31.1</w:t>
            </w:r>
          </w:p>
        </w:tc>
        <w:tc>
          <w:tcPr>
            <w:tcW w:w="240" w:type="dxa"/>
            <w:vAlign w:val="bottom"/>
            <w:tcBorders>
              <w:top w:val="single" w:sz="8" w:color="0000EE"/>
            </w:tcBorders>
          </w:tcPr>
          <w:p>
            <w:pPr>
              <w:spacing w:after="0"/>
              <w:rPr>
                <w:sz w:val="24"/>
                <w:szCs w:val="24"/>
                <w:color w:val="auto"/>
              </w:rPr>
            </w:pPr>
          </w:p>
        </w:tc>
        <w:tc>
          <w:tcPr>
            <w:tcW w:w="716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31.2</w:t>
            </w:r>
          </w:p>
        </w:tc>
        <w:tc>
          <w:tcPr>
            <w:tcW w:w="74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32.1</w:t>
            </w:r>
          </w:p>
        </w:tc>
        <w:tc>
          <w:tcPr>
            <w:tcW w:w="74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80" w:type="dxa"/>
            <w:vAlign w:val="bottom"/>
            <w:gridSpan w:val="25"/>
          </w:tcPr>
          <w:p>
            <w:pPr>
              <w:spacing w:after="0" w:line="196" w:lineRule="exact"/>
              <w:rPr>
                <w:sz w:val="20"/>
                <w:szCs w:val="20"/>
                <w:color w:val="auto"/>
              </w:rPr>
            </w:pPr>
            <w:r>
              <w:rPr>
                <w:rFonts w:ascii="Arial" w:cs="Arial" w:eastAsia="Arial" w:hAnsi="Arial"/>
                <w:sz w:val="18"/>
                <w:szCs w:val="18"/>
                <w:color w:val="0000EE"/>
              </w:rPr>
              <w:t>Exhibit 32.2</w:t>
            </w: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380" w:type="dxa"/>
            <w:vAlign w:val="bottom"/>
            <w:gridSpan w:val="2"/>
          </w:tcPr>
          <w:p>
            <w:pPr>
              <w:spacing w:after="0"/>
              <w:rPr>
                <w:sz w:val="24"/>
                <w:szCs w:val="24"/>
                <w:color w:val="auto"/>
              </w:rPr>
            </w:pPr>
          </w:p>
        </w:tc>
        <w:tc>
          <w:tcPr>
            <w:tcW w:w="860" w:type="dxa"/>
            <w:vAlign w:val="bottom"/>
            <w:tcBorders>
              <w:top w:val="single" w:sz="8" w:color="0000EE"/>
            </w:tcBorders>
            <w:gridSpan w:val="4"/>
          </w:tcPr>
          <w:p>
            <w:pPr>
              <w:spacing w:after="0"/>
              <w:rPr>
                <w:sz w:val="24"/>
                <w:szCs w:val="24"/>
                <w:color w:val="auto"/>
              </w:rPr>
            </w:pPr>
          </w:p>
        </w:tc>
        <w:tc>
          <w:tcPr>
            <w:tcW w:w="4160" w:type="dxa"/>
            <w:vAlign w:val="bottom"/>
            <w:gridSpan w:val="15"/>
          </w:tcPr>
          <w:p>
            <w:pPr>
              <w:jc w:val="center"/>
              <w:ind w:left="327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SEPTEMBER 30, 2009 AND DECEMBER 31, 2008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136,731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7,575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55,274</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274,758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362,234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471,853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581,593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343,545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332,147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141,904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957,510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1,056,790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Floor plan notes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196,649</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282,702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57,576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31,530</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39,660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49,125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404,476</w:t>
            </w: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132,755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172,011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51,411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52,896</w:t>
            </w:r>
          </w:p>
        </w:tc>
        <w:tc>
          <w:tcPr>
            <w:tcW w:w="0" w:type="dxa"/>
            <w:vAlign w:val="bottom"/>
          </w:tcPr>
          <w:p>
            <w:pPr>
              <w:spacing w:after="0"/>
              <w:rPr>
                <w:sz w:val="1"/>
                <w:szCs w:val="1"/>
                <w:color w:val="auto"/>
              </w:rPr>
            </w:pPr>
          </w:p>
        </w:tc>
      </w:tr>
      <w:tr>
        <w:trPr>
          <w:trHeight w:val="202"/>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200"/>
              <w:spacing w:after="0" w:line="201" w:lineRule="exact"/>
              <w:rPr>
                <w:sz w:val="20"/>
                <w:szCs w:val="20"/>
                <w:color w:val="auto"/>
              </w:rPr>
            </w:pPr>
            <w:r>
              <w:rPr>
                <w:rFonts w:ascii="Arial" w:cs="Arial" w:eastAsia="Arial" w:hAnsi="Arial"/>
                <w:sz w:val="18"/>
                <w:szCs w:val="18"/>
                <w:color w:val="auto"/>
              </w:rPr>
              <w:t>Preferred stock, par value $.01 per share; 1,000,000 shares authorized; 0 shares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00"/>
              <w:spacing w:after="0"/>
              <w:rPr>
                <w:sz w:val="20"/>
                <w:szCs w:val="20"/>
                <w:color w:val="auto"/>
              </w:rPr>
            </w:pPr>
            <w:r>
              <w:rPr>
                <w:rFonts w:ascii="Arial" w:cs="Arial" w:eastAsia="Arial" w:hAnsi="Arial"/>
                <w:sz w:val="18"/>
                <w:szCs w:val="18"/>
                <w:color w:val="auto"/>
              </w:rPr>
              <w:t>outstanding in 2009 and 2008</w:t>
            </w:r>
          </w:p>
        </w:tc>
        <w:tc>
          <w:tcPr>
            <w:tcW w:w="10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class B shares authorized; 26,578,748 class A shares and 12,325,737 class B shares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issued and 26,430,122 class A shares and 10,685,894 class B shares outstanding in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 26,327,734 class A shares and 12,324,987 class B shares issued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26,255,974 class A shares and 10,685,144 class B shares outstanding in 2008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187,930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183,818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1,639,843 shares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254,135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416,041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6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957,510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1,056,790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60" w:type="dxa"/>
            <w:vAlign w:val="bottom"/>
            <w:gridSpan w:val="9"/>
          </w:tcPr>
          <w:p>
            <w:pPr>
              <w:jc w:val="center"/>
              <w:ind w:right="260"/>
              <w:spacing w:after="0" w:line="196" w:lineRule="exact"/>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7"/>
          </w:tcPr>
          <w:p>
            <w:pPr>
              <w:jc w:val="center"/>
              <w:ind w:right="1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New and used truck sales</w:t>
            </w:r>
          </w:p>
        </w:tc>
        <w:tc>
          <w:tcPr>
            <w:tcW w:w="1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179,121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259,518</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562,263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808,181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102,830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314,760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362,174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Construction equipment sales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4,424</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11,672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16,908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47,571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Finance and insurance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1,748</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5,731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660" w:type="dxa"/>
            <w:vAlign w:val="bottom"/>
            <w:gridSpan w:val="3"/>
          </w:tcPr>
          <w:p>
            <w:pPr>
              <w:ind w:left="400"/>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302,438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413,696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943,652</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1,272,272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New and used truck sales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167,396</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241,923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530,069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754,265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61,949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191,173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Construction equipment sales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4,333</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10,634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15,715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43,006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660" w:type="dxa"/>
            <w:vAlign w:val="bottom"/>
            <w:gridSpan w:val="3"/>
          </w:tcPr>
          <w:p>
            <w:pPr>
              <w:ind w:left="400"/>
              <w:spacing w:after="0"/>
              <w:rPr>
                <w:sz w:val="20"/>
                <w:szCs w:val="20"/>
                <w:color w:val="auto"/>
              </w:rPr>
            </w:pPr>
            <w:r>
              <w:rPr>
                <w:rFonts w:ascii="Arial" w:cs="Arial" w:eastAsia="Arial" w:hAnsi="Arial"/>
                <w:sz w:val="18"/>
                <w:szCs w:val="18"/>
                <w:color w:val="auto"/>
              </w:rPr>
              <w:t>Total cost of products sold</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245,434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337,311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772,230</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1,043,295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57,004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171,422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228,977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w w:val="95"/>
              </w:rPr>
              <w:t>Selling, general and administrative</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51,934</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58,371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154,363</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174,328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66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4,402</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42,808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w w:val="93"/>
              </w:rPr>
              <w:t>(Benefit) provision for income taxes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(4,456)</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13,612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66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60" w:type="dxa"/>
            <w:vAlign w:val="bottom"/>
            <w:gridSpan w:val="3"/>
            <w:vMerge w:val="restart"/>
          </w:tcPr>
          <w:p>
            <w:pPr>
              <w:ind w:left="20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660" w:type="dxa"/>
            <w:vAlign w:val="bottom"/>
            <w:gridSpan w:val="3"/>
            <w:vMerge w:val="continue"/>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Basic</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37,110</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38,417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37,047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38,416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38,908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STATEMENTS OF CASH FLOWS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4,350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30,617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tcPr>
          <w:p>
            <w:pPr>
              <w:ind w:left="400"/>
              <w:spacing w:after="0" w:line="201" w:lineRule="exact"/>
              <w:rPr>
                <w:sz w:val="20"/>
                <w:szCs w:val="20"/>
                <w:color w:val="auto"/>
              </w:rPr>
            </w:pPr>
            <w:r>
              <w:rPr>
                <w:rFonts w:ascii="Arial" w:cs="Arial" w:eastAsia="Arial" w:hAnsi="Arial"/>
                <w:sz w:val="18"/>
                <w:szCs w:val="18"/>
                <w:color w:val="auto"/>
              </w:rPr>
              <w:t>Stock-based compensation expense related to stock options and employee stock</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3,086</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Provision (benefit) for deferred income tax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Change in inventories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97,047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prepaid expenses and other,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Change in trade accounts payable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(5,860)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accrued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130,709</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66,026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Purchase of investments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(355,575)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the sale of investments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(32,978)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(46,511)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Business acquisitions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(32,503)</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(89,968)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14,423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(3,489)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Draws (payments) on floor plan notes payable,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(86,053)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Proceeds from issuance of shares relating to employee stock options and employee stock</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(107,886)</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(18,532)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146,411</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187,009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136,731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11,055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ind w:left="200"/>
              <w:spacing w:after="0"/>
              <w:rPr>
                <w:sz w:val="20"/>
                <w:szCs w:val="20"/>
                <w:color w:val="auto"/>
              </w:rPr>
            </w:pPr>
            <w:r>
              <w:rPr>
                <w:rFonts w:ascii="Arial" w:cs="Arial" w:eastAsia="Arial" w:hAnsi="Arial"/>
                <w:sz w:val="18"/>
                <w:szCs w:val="18"/>
                <w:color w:val="auto"/>
              </w:rPr>
              <w:t>Noncash investing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Assets acquired under capital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17,953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59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9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2008. Results of operations for interim periods are not necessarily indicative of results that may be expected for any other interim periods or the full fiscal year.</w:t>
      </w:r>
    </w:p>
    <w:p>
      <w:pPr>
        <w:spacing w:after="0" w:line="13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has reviewed and evaluated events and transactions which have occurred subsequent to September 30, 2009 through November 9, 2009, the date of issuance of these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however, an interim evaluation of goodwill was required during the second quarter of 2009 due to General Motors’ decision to terminate production of medium-duty GMC trucks, which resulted in the winding-down of the Company’s medium-duty GMC truck franchises.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Management is not aware of any additional impairment charge that may currently be required; however, a change in economic conditions, if one occurs, could result in an impairment charge in future periods.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For those finance contracts sold with recourse, the liability associated with a majority of such contracts is generally limited to 5% to 20% of the outstanding amount of each note initiated on behalf of the finance company. 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w:t>
      </w:r>
    </w:p>
    <w:p>
      <w:pPr>
        <w:spacing w:after="0" w:line="14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 Earnings Per Share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460"/>
              <w:spacing w:after="0"/>
              <w:rPr>
                <w:sz w:val="20"/>
                <w:szCs w:val="20"/>
                <w:color w:val="auto"/>
              </w:rPr>
            </w:pPr>
            <w:r>
              <w:rPr>
                <w:rFonts w:ascii="Arial" w:cs="Arial" w:eastAsia="Arial" w:hAnsi="Arial"/>
                <w:sz w:val="14"/>
                <w:szCs w:val="14"/>
                <w:color w:val="auto"/>
                <w:w w:val="91"/>
              </w:rPr>
              <w:t>Three Months Ended September 30,</w:t>
            </w:r>
          </w:p>
        </w:tc>
        <w:tc>
          <w:tcPr>
            <w:tcW w:w="80" w:type="dxa"/>
            <w:vAlign w:val="bottom"/>
          </w:tcPr>
          <w:p>
            <w:pPr>
              <w:spacing w:after="0"/>
              <w:rPr>
                <w:sz w:val="14"/>
                <w:szCs w:val="14"/>
                <w:color w:val="auto"/>
              </w:rPr>
            </w:pPr>
          </w:p>
        </w:tc>
        <w:tc>
          <w:tcPr>
            <w:tcW w:w="220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Nine Months Ended September 30,</w:t>
            </w:r>
          </w:p>
        </w:tc>
      </w:tr>
      <w:tr>
        <w:trPr>
          <w:trHeight w:val="142"/>
        </w:trPr>
        <w:tc>
          <w:tcPr>
            <w:tcW w:w="4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2009</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2008</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2009</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2008</w:t>
            </w:r>
          </w:p>
        </w:tc>
        <w:tc>
          <w:tcPr>
            <w:tcW w:w="80" w:type="dxa"/>
            <w:vAlign w:val="bottom"/>
          </w:tcPr>
          <w:p>
            <w:pPr>
              <w:spacing w:after="0"/>
              <w:rPr>
                <w:sz w:val="12"/>
                <w:szCs w:val="12"/>
                <w:color w:val="auto"/>
              </w:rPr>
            </w:pPr>
          </w:p>
        </w:tc>
      </w:tr>
      <w:tr>
        <w:trPr>
          <w:trHeight w:val="142"/>
        </w:trPr>
        <w:tc>
          <w:tcPr>
            <w:tcW w:w="4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4400" w:type="dxa"/>
            <w:vAlign w:val="bottom"/>
          </w:tcPr>
          <w:p>
            <w:pPr>
              <w:ind w:left="200"/>
              <w:spacing w:after="0" w:line="130" w:lineRule="exact"/>
              <w:rPr>
                <w:sz w:val="20"/>
                <w:szCs w:val="20"/>
                <w:color w:val="auto"/>
              </w:rPr>
            </w:pPr>
            <w:r>
              <w:rPr>
                <w:rFonts w:ascii="Arial" w:cs="Arial" w:eastAsia="Arial" w:hAnsi="Arial"/>
                <w:sz w:val="14"/>
                <w:szCs w:val="14"/>
                <w:color w:val="auto"/>
              </w:rPr>
              <w:t>Numerator for basic and diluted earnings per share, net income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2"/>
        </w:trPr>
        <w:tc>
          <w:tcPr>
            <w:tcW w:w="4400" w:type="dxa"/>
            <w:vAlign w:val="bottom"/>
          </w:tcPr>
          <w:p>
            <w:pPr>
              <w:ind w:left="400"/>
              <w:spacing w:after="0"/>
              <w:rPr>
                <w:sz w:val="20"/>
                <w:szCs w:val="20"/>
                <w:color w:val="auto"/>
              </w:rPr>
            </w:pPr>
            <w:r>
              <w:rPr>
                <w:rFonts w:ascii="Arial" w:cs="Arial" w:eastAsia="Arial" w:hAnsi="Arial"/>
                <w:sz w:val="14"/>
                <w:szCs w:val="14"/>
                <w:color w:val="auto"/>
              </w:rPr>
              <w:t>available to common shareholders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3,008,000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8,000,000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4,350,000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23,742,000</w:t>
            </w:r>
          </w:p>
        </w:tc>
      </w:tr>
      <w:tr>
        <w:trPr>
          <w:trHeight w:val="134"/>
        </w:trPr>
        <w:tc>
          <w:tcPr>
            <w:tcW w:w="4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4400" w:type="dxa"/>
            <w:vAlign w:val="bottom"/>
          </w:tcPr>
          <w:p>
            <w:pPr>
              <w:ind w:left="200"/>
              <w:spacing w:after="0" w:line="130" w:lineRule="exact"/>
              <w:rPr>
                <w:sz w:val="20"/>
                <w:szCs w:val="20"/>
                <w:color w:val="auto"/>
              </w:rPr>
            </w:pPr>
            <w:r>
              <w:rPr>
                <w:rFonts w:ascii="Arial" w:cs="Arial" w:eastAsia="Arial" w:hAnsi="Arial"/>
                <w:sz w:val="14"/>
                <w:szCs w:val="14"/>
                <w:color w:val="auto"/>
              </w:rPr>
              <w:t>Denominator for basic earnings per share, adjusted weighted</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400" w:type="dxa"/>
            <w:vAlign w:val="bottom"/>
          </w:tcPr>
          <w:p>
            <w:pPr>
              <w:ind w:left="400"/>
              <w:spacing w:after="0"/>
              <w:rPr>
                <w:sz w:val="20"/>
                <w:szCs w:val="20"/>
                <w:color w:val="auto"/>
              </w:rPr>
            </w:pPr>
            <w:r>
              <w:rPr>
                <w:rFonts w:ascii="Arial" w:cs="Arial" w:eastAsia="Arial" w:hAnsi="Arial"/>
                <w:sz w:val="14"/>
                <w:szCs w:val="14"/>
                <w:color w:val="auto"/>
              </w:rPr>
              <w:t>average shares outstanding</w:t>
            </w:r>
          </w:p>
        </w:tc>
        <w:tc>
          <w:tcPr>
            <w:tcW w:w="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37,109,673</w:t>
            </w:r>
          </w:p>
        </w:tc>
        <w:tc>
          <w:tcPr>
            <w:tcW w:w="1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38,416,823</w:t>
            </w:r>
          </w:p>
        </w:tc>
        <w:tc>
          <w:tcPr>
            <w:tcW w:w="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37,046,915</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38,415,892</w:t>
            </w:r>
          </w:p>
        </w:tc>
      </w:tr>
      <w:tr>
        <w:trPr>
          <w:trHeight w:val="149"/>
        </w:trPr>
        <w:tc>
          <w:tcPr>
            <w:tcW w:w="4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Effect of dilutive securities: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Employee and director stock options and restricted share awards</w:t>
            </w:r>
          </w:p>
        </w:tc>
        <w:tc>
          <w:tcPr>
            <w:tcW w:w="80" w:type="dxa"/>
            <w:vAlign w:val="bottom"/>
          </w:tcPr>
          <w:p>
            <w:pPr>
              <w:spacing w:after="0"/>
              <w:rPr>
                <w:sz w:val="13"/>
                <w:szCs w:val="13"/>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670,701</w:t>
            </w:r>
          </w:p>
        </w:tc>
        <w:tc>
          <w:tcPr>
            <w:tcW w:w="180" w:type="dxa"/>
            <w:vAlign w:val="bottom"/>
          </w:tcPr>
          <w:p>
            <w:pPr>
              <w:spacing w:after="0"/>
              <w:rPr>
                <w:sz w:val="13"/>
                <w:szCs w:val="13"/>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425,654</w:t>
            </w:r>
          </w:p>
        </w:tc>
        <w:tc>
          <w:tcPr>
            <w:tcW w:w="80" w:type="dxa"/>
            <w:vAlign w:val="bottom"/>
          </w:tcPr>
          <w:p>
            <w:pPr>
              <w:spacing w:after="0"/>
              <w:rPr>
                <w:sz w:val="13"/>
                <w:szCs w:val="13"/>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421,659</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491,654</w:t>
            </w:r>
          </w:p>
        </w:tc>
      </w:tr>
      <w:tr>
        <w:trPr>
          <w:trHeight w:val="130"/>
        </w:trPr>
        <w:tc>
          <w:tcPr>
            <w:tcW w:w="4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Denominator for diluted earnings per share, adjusted weighted</w:t>
            </w: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4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average shares outstanding and assumed conversions</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37,780,374</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38,842,477</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37,468,574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38,907,546</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4400" w:type="dxa"/>
            <w:vAlign w:val="bottom"/>
          </w:tcPr>
          <w:p>
            <w:pPr>
              <w:spacing w:after="0"/>
              <w:rPr>
                <w:sz w:val="20"/>
                <w:szCs w:val="20"/>
                <w:color w:val="auto"/>
              </w:rPr>
            </w:pPr>
            <w:r>
              <w:rPr>
                <w:rFonts w:ascii="Arial" w:cs="Arial" w:eastAsia="Arial" w:hAnsi="Arial"/>
                <w:sz w:val="14"/>
                <w:szCs w:val="14"/>
                <w:color w:val="auto"/>
              </w:rPr>
              <w:t>Basic (loss) earnings per common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0.08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0.21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0.12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0.62</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0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Diluted (loss) earnings per common share and common share</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7"/>
        </w:trPr>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0.08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0.12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0.61</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three months and nine months ended September 30, 2009 and 2008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640" w:type="dxa"/>
            <w:vAlign w:val="bottom"/>
            <w:gridSpan w:val="4"/>
          </w:tcPr>
          <w:p>
            <w:pPr>
              <w:ind w:left="380"/>
              <w:spacing w:after="0"/>
              <w:rPr>
                <w:sz w:val="20"/>
                <w:szCs w:val="20"/>
                <w:color w:val="auto"/>
              </w:rPr>
            </w:pPr>
            <w:r>
              <w:rPr>
                <w:rFonts w:ascii="Arial" w:cs="Arial" w:eastAsia="Arial" w:hAnsi="Arial"/>
                <w:sz w:val="18"/>
                <w:szCs w:val="18"/>
                <w:color w:val="auto"/>
              </w:rPr>
              <w:t>Three Months Ended</w:t>
            </w:r>
          </w:p>
        </w:tc>
        <w:tc>
          <w:tcPr>
            <w:tcW w:w="228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400" w:type="dxa"/>
            <w:vAlign w:val="bottom"/>
          </w:tcPr>
          <w:p>
            <w:pPr>
              <w:spacing w:after="0"/>
              <w:rPr>
                <w:sz w:val="20"/>
                <w:szCs w:val="20"/>
                <w:color w:val="auto"/>
              </w:rPr>
            </w:pPr>
          </w:p>
        </w:tc>
        <w:tc>
          <w:tcPr>
            <w:tcW w:w="2640" w:type="dxa"/>
            <w:vAlign w:val="bottom"/>
            <w:gridSpan w:val="4"/>
          </w:tcPr>
          <w:p>
            <w:pPr>
              <w:ind w:left="620"/>
              <w:spacing w:after="0"/>
              <w:rPr>
                <w:sz w:val="20"/>
                <w:szCs w:val="20"/>
                <w:color w:val="auto"/>
              </w:rPr>
            </w:pPr>
            <w:r>
              <w:rPr>
                <w:rFonts w:ascii="Arial" w:cs="Arial" w:eastAsia="Arial" w:hAnsi="Arial"/>
                <w:sz w:val="18"/>
                <w:szCs w:val="18"/>
                <w:color w:val="auto"/>
              </w:rPr>
              <w:t>September 30,</w:t>
            </w:r>
          </w:p>
        </w:tc>
        <w:tc>
          <w:tcPr>
            <w:tcW w:w="228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September 30,</w:t>
            </w:r>
          </w:p>
        </w:tc>
      </w:tr>
      <w:tr>
        <w:trPr>
          <w:trHeight w:val="210"/>
        </w:trPr>
        <w:tc>
          <w:tcPr>
            <w:tcW w:w="44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505,830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1,532,218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1,557,356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1,083,759</w:t>
            </w:r>
          </w:p>
        </w:tc>
      </w:tr>
      <w:tr>
        <w:trPr>
          <w:trHeight w:val="20"/>
        </w:trPr>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Company accounts for stock-based compensation in accordance with Accounting Standards Codification (“ASC”) topic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(“SG&amp;A”) expense, was $0.6 million for the three months ended September 30, 2009 and September 30, 2008. Stock-based compensation expense, included in SG&amp;A expense, for the nine months ended September 30, 2009 was $3.1 million and for the nine months ended September 30, 2008 was $3.0 million. As of September 30, 2009, there was $4.4 million of total unrecognized compensation cost related to non-vested share-based compensation arrangements granted under the Rush Enterprises, Inc. Long-Term Incentive Plan to be recognized over a weighted-average period of 2.9 years.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Investments</w:t>
      </w:r>
    </w:p>
    <w:p>
      <w:pPr>
        <w:spacing w:after="0" w:line="20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1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believes that its auction rate securities will liquidate within the next twelve months and has classified them as a current asset on its consolidated balance sheet.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52"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As of September 30, 2009, the Company holds $7.6 million of auction rate securities with underlying tax-exempt municipal bonds with stated maturities of 21 years. These bonds have credit wrap insurance and a credit rating of A by Standard &amp; Poor’s.</w:t>
      </w:r>
    </w:p>
    <w:p>
      <w:pPr>
        <w:spacing w:after="0" w:line="83"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believes that the credit quality and fair value of the auction rate securities it holds has not been negatively impacted; therefore, no impairment charges have been recorded as of September 30, 2009. As of September 30, 2009,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topic 820-10, “Fair Value Measurements and Disclosures” (formerly SFAS No. 157, Fair Value Measurements). If the credit quality of these investments deteriorates, or adverse developments occur in the bond insurance market, the Company may be required to record an impairment charge on these investments in the future.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 Inventory</w:t>
      </w:r>
    </w:p>
    <w:p>
      <w:pPr>
        <w:spacing w:after="0" w:line="20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the quarter ended June 30, 2009, the Company recorded a net write-down of $3.4 million on new medium-duty GMC truck inventory and a net write-down of $0.6 million on its GMC parts inventory due to General Motors’ decision to discontinue manufacturing GMC medium-duty trucks and to wind-down the Company’s medium-duty GMC truck franchise agreements. During the third quarter of 2009, the Company adjusted the estimated impairment charge related to the medium-duty GMC truck and parts inventories because it was able to sell some of the inventory at higher prices than originally estimated, which resulted in a net credit to cost of sales of $1.5 million, or $0.02 per diluted share, in the third quarter of 2009. See Note 11 for further discussion of the wind-down of the Company’s medium-duty GMC truck franchise agreements.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Segment Information</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5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4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accounts for intersegment sales and transfers as if the sales or transfers were to third parties; that is, at current market prices. There were no material intersegment sales during the quarters ended September 30, 2009 and 2008.</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September 30, 2009 and 2008 (in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Construction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Truck</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Equipment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Segment</w:t>
            </w:r>
          </w:p>
        </w:tc>
        <w:tc>
          <w:tcPr>
            <w:tcW w:w="12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All Other</w:t>
            </w: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Totals</w:t>
            </w:r>
          </w:p>
        </w:tc>
      </w:tr>
      <w:tr>
        <w:trPr>
          <w:trHeight w:val="210"/>
        </w:trPr>
        <w:tc>
          <w:tcPr>
            <w:tcW w:w="4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289,994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302,438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900,657</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30,671</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26,182</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957,510</w:t>
            </w:r>
          </w:p>
        </w:tc>
      </w:tr>
      <w:tr>
        <w:trPr>
          <w:trHeight w:val="202"/>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901,504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943,652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432"/>
        </w:trPr>
        <w:tc>
          <w:tcPr>
            <w:tcW w:w="4400" w:type="dxa"/>
            <w:vAlign w:val="bottom"/>
          </w:tcPr>
          <w:p>
            <w:pPr>
              <w:spacing w:after="0"/>
              <w:rPr>
                <w:sz w:val="20"/>
                <w:szCs w:val="20"/>
                <w:color w:val="auto"/>
              </w:rPr>
            </w:pPr>
            <w:r>
              <w:rPr>
                <w:rFonts w:ascii="Arial" w:cs="Arial" w:eastAsia="Arial" w:hAnsi="Arial"/>
                <w:sz w:val="18"/>
                <w:szCs w:val="18"/>
                <w:i w:val="1"/>
                <w:iCs w:val="1"/>
                <w:color w:val="auto"/>
              </w:rPr>
              <w:t>Three months ended September 30, 2008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392,686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413,696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11,727</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12,167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984,214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1,041,857</w:t>
            </w:r>
          </w:p>
        </w:tc>
      </w:tr>
      <w:tr>
        <w:trPr>
          <w:trHeight w:val="432"/>
        </w:trPr>
        <w:tc>
          <w:tcPr>
            <w:tcW w:w="4400" w:type="dxa"/>
            <w:vAlign w:val="bottom"/>
          </w:tcPr>
          <w:p>
            <w:pPr>
              <w:spacing w:after="0"/>
              <w:rPr>
                <w:sz w:val="20"/>
                <w:szCs w:val="20"/>
                <w:color w:val="auto"/>
              </w:rPr>
            </w:pPr>
            <w:r>
              <w:rPr>
                <w:rFonts w:ascii="Arial" w:cs="Arial" w:eastAsia="Arial" w:hAnsi="Arial"/>
                <w:sz w:val="18"/>
                <w:szCs w:val="18"/>
                <w:i w:val="1"/>
                <w:iCs w:val="1"/>
                <w:color w:val="auto"/>
              </w:rPr>
              <w:t>Nine months ended September 30, 2008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1,194,984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1,272,272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33,910</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37,354</w:t>
            </w:r>
          </w:p>
        </w:tc>
      </w:tr>
    </w:tbl>
    <w:p>
      <w:pPr>
        <w:spacing w:after="0" w:line="16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Income Taxes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accrued unrecognized income tax benefits totaling $1.9 million as a component of accrued liabilities as of September 30, 2009 and December 31, 2008. The unrecognized tax benefits of $1.9 million at September 30, 2009, if recognized, would impact the Company’s effective tax rate. Included in this $1.9 million accrual is accrued interest of $185,000 related to unrecognized tax benefits. No amounts were accrued for penalties.</w:t>
      </w:r>
    </w:p>
    <w:p>
      <w:pPr>
        <w:spacing w:after="0" w:line="16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As of September 30, 2009, the tax years ended December 31, 2005, through 2008 remained subject to examination by tax authorities. The U.S. Internal Revenue Service is currently examining the Company’s federal income tax return for the tax years 2005, 2006 and 2007. Although the ultimate resolution on these examinations has not been reached, management previously recorded and reassessed its estimate of uncertain tax positions as of September 30, 2009.</w:t>
      </w:r>
    </w:p>
    <w:p>
      <w:pPr>
        <w:spacing w:after="0" w:line="13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Prior to the application of alternative fuel vehicle tax credits, the Company provided for taxes at a 63.0% rate in the third quarter of 2009, compared to a rate of 37.5% in the third quarter of 2008. The tax rate in the third quarter of 2009 was offset $3.8 million by tax credits for sales of alternative fuel vehicles to tax-exempt entities. The tax rate in the third quarter of 2008 was offset $0.4 million by tax credits for sales of alternative fuel vehicles to tax-exempt entities. During 2009, the Company has applied for $5.0 million of alternative fuel vehicle tax credits for sales of alternative fuel vehicles to tax-exempt municipalities. For the remainder of 2009, the Company expects to provide for taxes at a rate of 62.0% prior to the application of alternative fuel vehicle tax credits. The increase in the Company’s tax rate during 2009 is primarily due to state taxation regulations and non-deductible expenses. As a result, the Company’s effective tax rate may vary significantly depending on the number of alternative fuel vehicles sold to tax-exempt entities in any given period.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Fair Value of Financial Instruments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methods and assumptions were used by the Company in estimating the fair value of financial instruments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2009:</w:t>
      </w:r>
    </w:p>
    <w:p>
      <w:pPr>
        <w:spacing w:after="0" w:line="17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carrying value of current assets and current liabilities approximates the fair value due to the short maturity of these items.</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 Medium-Duty GMC Truck Franchises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In the second quarter of 2009, this impairment charge resulted in a net charge to cost of sales of $4.0 million, a net charge to SG&amp;A expense of $0.1 million and a charge to amortization expense of $0.8 million. During the third quarter of 2009, the Company adjusted the estimated impairment charge related to the medium-duty GMC truck and parts inventories, which resulted in a net credit to cost of sales of $1.5 million.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 Recent Accounting Pronouncements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June 2009, the Financial Accounting Standards Board (“FASB”) issued the FASB Accounting Standards Codification (“ASC” or the “Codification”) as the source of authoritative GAAP recognized by the FASB to be applied by nongovernmental entities. Rules and interpretive releases of the Securities and Exchange Commission under federal securities laws are also sources of authoritative GAAP for Securities and Exchange Commission registrants. The Codification supercedes all non-Securities and Exchange Commission accounting and reporting standards that existed at the Codification’s effective date. All guidance contained in the Codification carries an equal level of authority. These standards are effective for interim and annual periods ending after September 15, 2009.</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2008 as well as future growth rates and margins for certain of our products and services, future demand for our products and services, risks associated with the current recession and its impact on capital markets and liquidity, competitive factors, general economic conditions, cyclicality, market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Cummins Intellectual Property, Inc. Eaton is a registered trademark of Eaton Corporation. Arvin Meritor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Meritor Technology, Inc.</w:t>
      </w:r>
      <w:r>
        <w:rPr>
          <w:rFonts w:ascii="Arial" w:cs="Arial" w:eastAsia="Arial" w:hAnsi="Arial"/>
          <w:sz w:val="14"/>
          <w:szCs w:val="14"/>
          <w:color w:val="auto"/>
        </w:rPr>
        <w:t>®</w:t>
      </w:r>
      <w:r>
        <w:rPr>
          <w:rFonts w:ascii="Arial" w:cs="Arial" w:eastAsia="Arial" w:hAnsi="Arial"/>
          <w:sz w:val="17"/>
          <w:szCs w:val="17"/>
          <w:i w:val="1"/>
          <w:iCs w:val="1"/>
          <w:color w:val="auto"/>
        </w:rPr>
        <w:t xml:space="preserve"> Case is a registered trademark of Case Corporation. Komatsu</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Kabushiki Kaisha Komatsu Seisakusho Corporation Japan. The CIT Group</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CIT Group Holdings, Inc. JPMorgan Chase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Blue Bird Investment Corporation.</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Rush Enterprises, Inc. was incorporated in Texas in 1965 and currently consists of two operating segments: the Truck Segment and the Construction Equipment Segment. The Company conducts business through numerous subsidiaries, all of which it wholly owns, directly or indirectly. Its principal offices are located at 555 IH 35 South, New Braunfels, Texas 78130.</w:t>
      </w:r>
    </w:p>
    <w:p>
      <w:pPr>
        <w:spacing w:after="0" w:line="12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Company’s Rush Truck Centers sell vehicles manufactured by Peterbilt Motors Company (a division of PACCAR, Inc.), International, Volvo, GMC, Hino, UD, Ford, Isuzu and Blue Bird. The Company also operates two John Deere construction equipment dealerships at its Rush Equipment Centers in Southeast Texas. The newest construction equipment dealership opened in Rose City, Texas in July 2008. Through its strategically located network of Rush Truck Centers and its Rush Equipment Centers,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5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Company’s discussion and analysis of its financial condition and results of operations are based on the Company’s consolidated financial statements, which have been prepared in accordance with United States generally accepted accounting principles (“U.S. GAAP”).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applies the provisions of ASC topic 350-20, “Intangibles — Goodwill and Other” (formerly SFAS No. 142, “Goodwill and Other Intangible Assets”), in accounting for goodwill. ASC topic 350-20 requires that goodwill and other intangible assets that have indefinite useful lives may not be amortized, but instead must be tested at least annually for impairment, and intangible assets that have finite useful lives should continue to be amortized over their useful lives. ASC topic 350-20 also provides specific guidance for testing goodwill and other non-amortized intangible assets for impairment. ASC topic 350-20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ASC topic 350-20 requires, in lieu of amortization, an annual impairment review of goodwill.</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or when events or circumstances indicate a change may have occurred. An interim evaluation of goodwill was required during the second quarter of 2009 due to General Motors’ decision to terminate production of medium-duty GMC trucks, which resulted in the winding-down of the Company’s medium-duty GMC truck franchises.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Management is not aware of any additional impairment charge that may currently be required; however, a change in economic conditions, if one occurs, could result in an impairment charge in future periods.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 Policies</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Revenue is recognized by the Company upon the sale of such finance and insurance contracts to the finance and insurance companies net of a provision for estimated repossession losses and interest charge-backs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charge-back exposure is based on the Company’s historical charge-back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Effective January 1, 2007, the Company adopted ASC topic 740-10, “Income Taxes,” (formerly Financial Accounting Standards Board Interpretation No. 48). ASC topic 740-10 clarified the accounting for uncertainty in income taxes recognized in the financial statements by prescribing a recognition threshold and measurement attribute for a tax position taken or expected to be taken in a tax return. ASC topic 740-10 prescribes how a company should recognize, measure, present and disclose uncertain tax positions that the company has taken or expects to take in its income tax returns. ASC topic 740-10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applies the provisions of ASC topic 718-10, “Compensation — Stock Compensation” (formerly SFAS No. 123 (revised 2004), “Share-Based Payment”),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1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Operations.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2009 and 2008.</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4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Parts and service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34.0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33.4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Lease and rental</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products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81.2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81.5</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81.8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millions):</w:t>
      </w: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2"/>
              </w:rPr>
              <w:t>Three Months Ended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260"/>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2008</w:t>
            </w:r>
          </w:p>
        </w:tc>
        <w:tc>
          <w:tcPr>
            <w:tcW w:w="4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Truck unit sales: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1,350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4,281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0"/>
              <w:spacing w:after="0"/>
              <w:rPr>
                <w:sz w:val="20"/>
                <w:szCs w:val="20"/>
                <w:color w:val="auto"/>
              </w:rPr>
            </w:pPr>
            <w:r>
              <w:rPr>
                <w:rFonts w:ascii="Arial" w:cs="Arial" w:eastAsia="Arial" w:hAnsi="Arial"/>
                <w:sz w:val="18"/>
                <w:szCs w:val="18"/>
                <w:color w:val="auto"/>
              </w:rPr>
              <w:t>Total new truck unit sales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40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5,045</w:t>
            </w: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84"/>
              </w:rPr>
              <w:t>7,151</w:t>
            </w:r>
          </w:p>
        </w:tc>
        <w:tc>
          <w:tcPr>
            <w:tcW w:w="420" w:type="dxa"/>
            <w:vAlign w:val="bottom"/>
            <w:vMerge w:val="continue"/>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truck unit sales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2,631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54.2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truck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682.1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Used truck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122.8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truck revenue</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108.6%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24"/>
                <w:szCs w:val="24"/>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106.3%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sales of glider kits, truck bodies, trailers and other new equipment.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Management uses many performance metrics to evaluate the performance of its truck dealerships, but considers its “absorption rate” to be of critical importance. Absorption rate is calculated by dividing the gross profit from the parts, service and body shop departments by the overhead expenses of all of a truck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108.6% absorption rate for the third quarter of 2008, and 96.4% absorption rate for the third quarter in 2009.</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2009 Compared to Three Months Ended September 30, 2008</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expected, continued weak truck and aftermarket sales caused the third quarter of 2009 to be another challenging operating period. The Company’s Class 8 truck deliveries increased in the third quarter of 2009 over the second quarter of 2009, as several large fleet customers took delivery of trucks. This helped mitigate the effect of continued depressed U.S. Class 8 retail truck sales, which were down 33.0% over the third quarter of 2008, while the Company’s truck sales were down only 24.0% for the same time period.</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does not anticipate a significant truck pre-buy to occur in the fourth quarter of 2009 as lingering depressed conditions in the overall economy and tight credit continue to negatively impact freight movement, causing continued excess capacity and depressed trade values. These factors have forced both vocational and fleet buyers to lengthen their replacement cycles beyond historical norms, most likely extending any substantial upturn in new truck purchases well into the second half of 2010.</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Aftermarket parts, service and body shop sales were negatively impacted by excess capacity again this quarter, as many customers have been able to put their excess truck capacity into service, allowing them to delay repair and maintenance and use parked trucks for replacement parts needs. A 21.0% decline in parts, service and body shop gross profit was offset by a reduction in general and administrative expenses of 9.0%, resulting in an absorption rate of 96.4% in the third quarter of 2009.</w:t>
      </w:r>
    </w:p>
    <w:p>
      <w:pPr>
        <w:spacing w:after="0" w:line="127"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A.C.T. Research Co., LLC (“A.C.T. Research”), a truck industry data and forecasting service provider, currently predicts U.S. retail sales of Class 8 trucks of approximately 94,800 units in 2009, a 32.2% decline from the number of units sold in 2008. The Company believes the Class 8 truck market will remain weak until general economic conditions in the U.S. begin to improve. A.C.T. Research currently predicts U.S. retail sales of Class 8 trucks of approximately 119,500 units in 2010.</w:t>
      </w:r>
    </w:p>
    <w:p>
      <w:pPr>
        <w:spacing w:after="0" w:line="11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A.C.T. Research currently predicts U.S. retail sales of Class 4, 5, 6, and 7 medium-duty trucks of approximately 106,000 units in 2009, a 38.9% decline from the number of units sold in 2008. The Company believes the medium-duty truck market will remain weak until general economic conditions in the U.S. begin to improve. A.C.T. Research currently predicts U.S. retail sales of Class 4, 5, 6, and 7 medium-duty trucks of approximately 123,500 units in 2010.</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overall parts, service and body shop sales decreased 17.2% in the third quarter of 2009 compared to the third quarter of 2008. We anticipate parts, service and body shop sales to remain weak until general economic conditions improve.</w:t>
      </w:r>
    </w:p>
    <w:p>
      <w:pPr>
        <w:spacing w:after="0" w:line="154"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the third quarter of 2009, the Company’s construction equipment segment revenue decreased by 49.6% compared to the third quarter of 2008. This decrease is attributable to the weakening construction equipment market in the Houston area. Current industry forecasts suggest that construction equipment sales will decline approximately 50% in the Company’s area of responsibility during 2009 due to lower housing starts, decreased oil and gas activity and general economic conditions.</w:t>
      </w:r>
    </w:p>
    <w:p>
      <w:pPr>
        <w:spacing w:after="0" w:line="114"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During the second quarter of 2009, the Company incurred a $4.9 million pre-tax impairment charge related to General Motors’ decision to discontinue manufacturing medium-duty trucks and to wind-down the Company’s GMC Medium-Duty Truck Dealership Agreements. A significant portion of the impairment charge was an estimate of the inventory valuation allowance associated with the disposal of the Company</w:t>
      </w:r>
      <w:r>
        <w:rPr>
          <w:rFonts w:ascii="Arial" w:cs="Arial" w:eastAsia="Arial" w:hAnsi="Arial"/>
          <w:sz w:val="17"/>
          <w:szCs w:val="17"/>
          <w:b w:val="1"/>
          <w:bCs w:val="1"/>
          <w:color w:val="auto"/>
        </w:rPr>
        <w:t>‘</w:t>
      </w:r>
      <w:r>
        <w:rPr>
          <w:rFonts w:ascii="Arial" w:cs="Arial" w:eastAsia="Arial" w:hAnsi="Arial"/>
          <w:sz w:val="17"/>
          <w:szCs w:val="17"/>
          <w:color w:val="auto"/>
        </w:rPr>
        <w:t>s remaining GMC truck and parts inventories. During the third quarter, the Company adjusted the estimated impairment charge related to its GMC truck and parts inventory because it was able to sell some of the GMC inventory at higher prices than originally estimated, which resulted in an increase to pre-tax earnings of approximately $1.5 million, or $0.02 per diluted share, in the third quarter of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earns federal income tax credits on the sale of alternative fuel vehicles to tax-exempt entities. These tax credits are reflected as tax benefits in the Company’s Consolidated Statements of Operations. A portion of these tax credits are passed back to the tax-exempt customer and are reflected as SG&amp;A expense to the Company in the quarter in which the trucks are sold. These alternative fuel tax credits and the amount passed back to the customers are directly attributable to the sale of a truck. Accordingly, the Company believes the tax credits and the amounts passed back to customers should be considered operating items when analyzing the financial performance of the Company. The Company believes its history of serving municipalities and other tax-exempt customers that cannot claim these federal tax credits, its ability to utilize tax credits and pass back savings to these tax-exempt customers, and its position as a leading dealer of alternative fuel vehicles provide the Company with a distinct advantage over its competition when offering alternative fuel vehicles to tax-exempt entities.</w:t>
      </w:r>
    </w:p>
    <w:p>
      <w:pPr>
        <w:spacing w:after="0" w:line="14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ongoing weakness in the economy and tight credit markets continue to impact consumer confidence and spending, which have a direct impact on freight demand and, ultimately, our financial performance. Overall economic uncertainty continues to make it difficult for the Company to forecast future results of operations.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Revenues decreased $111.3 million, or 26.9%, in the third quarter of 2009, compared to the third quarter of 2008. Sales of new and used trucks decreased $80.4 million, or 31.0%, in the third quarter of 2009, compared to the third quarter of 2008. Uncertain economic conditions, the weak freight environment, slowing construction markets and tight credit markets contributed to decreased demand for trucks and construction equipment as well as aftermarket service in the third quarter of 2009. The Company does not believe that demand for its products and services will increase until general economic conditions begin to improve and credit is made available on reasonable terms to a wider range of buyers.</w:t>
      </w:r>
    </w:p>
    <w:p>
      <w:pPr>
        <w:spacing w:after="0" w:line="15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sold 1,030 heavy-duty units in the third quarter of 2009, a 23.7% decrease compared to 1,350 heavy-duty trucks in the third quarter of 2008. According to A.C.T. Research, the U.S. Class 8 truck market decreased 33.0% in the third quarter of 2009, compared to the third quarter of 2008. The Company’s share of the U.S. Class 8 truck sales market was approximately 3.9% in 2008. The Company expects its share to range between 3.9% and 4.2% of the U.S. Class 8 truck market in 2009, which would result in the sale of approximately 3,600 to 4,000 Class 8 trucks based on A.C.T. Research’s current U.S. retail sales estimates of 94,800 units.</w:t>
      </w:r>
    </w:p>
    <w:p>
      <w:pPr>
        <w:spacing w:after="0" w:line="153"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sold 637 medium-duty trucks, including 76 buses, in the third quarter of 2009, a 30.7% decrease compared to 919 medium-duty trucks, including 74 buses, in the third quarter of 2008. A.C.T. Research estimates that unit sales of Class 4 through 7 trucks in the U.S. decreased approximately 31.0% in the third quarter of 2009, compared to the third quarter of 2008. In 2008, the Company achieved a 2.1% share of the Class 4 through 7 truck sales market in the U.S. The Company expects its share to range between 2.4% and 2.5% of the U.S. Class 4 through 7 truck sales market in 2009. This market share percentage would result in the sale of approximately 2,600 to 2,800 of Class 4 through 7 trucks in 2009 based on A.C.T. Research’s current U.S. retail sales estimates of 106,000 units.</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sold 760 used trucks in the third quarter of 2009, an 18.8% decrease compared to 936 used trucks in the third quarter of 2008. For 2009, used truck sales volumes and prices will be primarily driven by general economic conditions and the availability of credit, which collectively have had a severe impact on this market since 2008. The Company expects to sell approximately 2,700 to 2,900 used trucks in 2009.</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Parts and service sales decreased $21.3 million, or 17.2%, in the third quarter of 2009, compared to the third quarter of 2008. The Company expects parts and service sales to remain weak through the remainder of 2009.</w:t>
      </w:r>
    </w:p>
    <w:p>
      <w:pPr>
        <w:spacing w:after="0" w:line="13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Sales of new and used construction equipment decreased $7.2 million, or 62.1%, in the third quarter of 2009, compared to the third quarter of 2008. This decrease was largely attributable to the weakening construction market in the Houston area. John Deere’s rolling twelve month average market share in the Houston area construction equipment market increased to 20.3% as of September 30, 2009, from a rolling twelve month average of 17.7% as of September 30, 2008. In the fourth quarter of 2009, the Company expects new construction equipment unit sales in our area of responsibility to decrease approximately 60% to 70%, compared to 2008.</w:t>
      </w:r>
    </w:p>
    <w:p>
      <w:pPr>
        <w:spacing w:after="0" w:line="153"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Truck lease and rental revenues decreased $0.9 million, or 6.4%, in the third quarter of 2009, compared to the third quarter of 2008. The decrease in lease and rental revenue is primarily attributable to decreased utilization of vehicles in the Company’s rental fleet and decreased variable rental revenue that is based on the miles that vehicles being leased are driven. The Company expects lease and rental revenue to remain flat for the remainder of 2009, compared to 2008.</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Finance and insurance revenues decreased $1.0 million, or 35.8%, in the third quarter of 2009, compared to the third quarter of 2008. The decrease in finance and insurance revenue is a direct result of the decline in truck sales and the tight credit market. The Company expects finance and insurance revenue to fluctuate proportionately with the new Class 8 truck market in 2009. Finance and insurance revenues have limited direct costs and, therefore, contribute a disproportionate share of the Company’s operating profits.</w:t>
      </w:r>
    </w:p>
    <w:p>
      <w:pPr>
        <w:spacing w:after="0" w:line="16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Other income decreased $0.4 million, or 30.0% in the third quarter of 2009, compared to the third quarter of 2008. Other income consists primarily of the gain on sale realized on trucks from the lease and rental fleet, commissions earned from John Deere for direct manufacturer sales into our area of responsibility, document fees related to truck sales and purchase discounts.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profit decreased $19.4 million, or 25.4%, in the third quarter of 2009, compared to the third quarter of 2008. Gross profit as a percentage of sales increased to 18.8% in the third quarter of 2009, from 18.5% in the third quarter of 2008. This slight increase is primarily a result of a change in our product sales mix. Truck sales, a lower margin revenue item, decreased as a percentage of total revenue to 59.2% in the third quarter of 2009, from 62.7% in the third quarter of 2008. Parts and service revenue, a higher margin revenue item, increased as a percentage of total revenue to 34.0% in the third quarter of 2009, from 30.0% in the third quarter of 2008.</w:t>
      </w:r>
    </w:p>
    <w:p>
      <w:pPr>
        <w:spacing w:after="0" w:line="16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Gross margins on Class 8 truck sales decreased to 4.5% in the third quarter of 2009, from 6.8% in the third quarter of 2008. Gross margins on Class 8 truck sales were negatively impacted by decreased demand for new trucks and a change in our product sales mix that included increased fleet sales, which are a lower margin revenue item. For the remainder of 2009, the Company expects overall gross margins from Class 8 truck sales of approximately 5.0% to 7.0%.</w:t>
      </w:r>
    </w:p>
    <w:p>
      <w:pPr>
        <w:spacing w:after="0" w:line="13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margins on medium-duty truck sales increased to 11.1% in the third quarter of 2009, from 5.2% in the third quarter of 2008. The increase in gross margin during the third quarter of 2009 is largely attributable to a $1.4 million adjustment to the valuation allowance related to GMC medium-duty truck inventory that was recorded in the second quarter of 2009. The Company adjusted the valuation allowance because it was able to sell some of the GMC medium-duty truck inventory at higher prices than originally estimated. For the remainder of 2009, the Company expects overall gross margins from medium-duty truck sales of approximately 5.0% to 7.0%.</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margins on used truck sales increased to 9.3% in the third quarter of 2009, from 8.8% in the third quarter of 2008. The Company expects margins on used trucks will be in the range of approximately 6.5% to 8.5% during the remainder of 2009, but this will largely depend upon general economic conditions and the availability of credit.</w:t>
      </w:r>
    </w:p>
    <w:p>
      <w:pPr>
        <w:spacing w:after="0" w:line="154"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Gross margins from the Company’s parts, service and body shop operations decreased to 39.8% in the third quarter of 2009, from 41.4% in the third quarter of 2008. Gross profit for the parts, service and body shop departments decreased to $40.9 million in the third quarter of 2009, from $51.3 million in the third quarter of 2008. The Company expects gross margins on parts, service and body shop operations of approximately 39.0% to 41.0% during the remainder of 2009.</w:t>
      </w:r>
    </w:p>
    <w:p>
      <w:pPr>
        <w:spacing w:after="0" w:line="13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Gross margins on new and used construction equipment sales decreased to 2.1% in the third quarter of 2009, from 8.9% in the third quarter of 2008. This decrease in gross margin is primarily attributable to a dramatic decrease in demand for construction equipment and change in our product sales mix. The Company expects gross margins for the remainder of 2009 to range from approximately 4.0% to 8.0% as the Company continues its efforts to increase its market share.</w:t>
      </w:r>
    </w:p>
    <w:p>
      <w:pPr>
        <w:spacing w:after="0" w:line="13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Gross margins from truck lease and rental sales decreased to 11.6% in the third quarter of 2009, from approximately 15.7% in the third quarter of 2008. The decrease in lease and rental revenue is primarily attributable to decreased utilization of vehicles in the Company’s rental fleet and decreased variable rental revenue that is based on the miles that vehicles being leased are driven. The Company expects gross margins from lease and rental sales of approximately 11.0% to 16.0% during the remainder of 2009.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Selling, General and Administrative (“SG&amp;A”) expenses decreased $6.4 million, or 11.0%, in the third quarter of 2009, compared to the third quarter of 2008. SG&amp;A expenses as a percentage of sales increased to 17.2% in the third quarter of 2009, from 14.1% in the third quarter of 2008. SG&amp;A expenses as a percentage of sales have historically ranged from 10.0% to 15.0%. In general, when new and used truck revenue decreases as a percentage of revenue, SG&amp;A expenses as a percentage of revenue will be at, or exceed, the higher end of this range. In the third quarter of 2009, the selling portion of SG&amp;A expenses, which consists primarily of commissions on truck and construction equipment sales, decreased 32.7% and the general and administrative portion of SG&amp;A expenses decreased 9.0% compared to the third quarter of 2008. The Company earns federal income tax credits on the sale of alternative fuel vehicles to tax-exempt entities. A portion of these tax credits are passed back to the tax-exempt customer and are reflected as SG&amp;A expense to the Company. For the remainder of 2009, the Company expects the selling portion of SG&amp;A expenses to be approximately 25% to 28% of new and used truck gross profit. The selling portion of SG&amp;A expenses varies based on the gross profit derived from truck sales. The Company has taken continuous action throughout the past two years to reduce overhead expenses to a level more appropriate to serve the declining market. The Company will continue to adjust the general and administrative portion of SG&amp;A expenses in accordance with market conditions.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Net interest expense decreased $0.3 million, or 15.9%, in the third quarter of 2009, compared to the third quarter of 2008. If floor plan interest rates remain at current levels, the Company expects net interest expense in 2009 to decrease approximately 15.0% compared to 2008.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Income before income taxes decreased $12.4 million, or 102.1%, in the third quarter of 2009, compared to the third quarter of 2008, as a result of the factors described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Income taxes decreased $7.4 million, or 178.2%, in the third quarter of 2009, compared to the third quarter of 2008. Prior to the application of alternative fuel vehicle tax credits, the Company provided for taxes at a 63.0% rate in the third quarter of 2009, compared to a rate of 37.5% in the third quarter of 2008. The tax rate in the third quarter of 2009 was offset $3.8 million by tax credits for sales of alternative fuel vehicles to tax-exempt entities. The tax rate in the third quarter of 2008 was offset $0.4 million by tax credits for sales of alternative fuel vehicles to tax-exempt entities. For the remainder of 2009, the Company expects to provide for taxes at a rate of 62.0% prior to the application of alternative fuel vehicle tax credits. The increase in the Company’s tax rate during 2009 is primarily due to state taxation regulations and non-deductible expenses. The Company’s effective tax rate may vary significantly depending on the number of alternative fuel vehicles sold to tax-exempt entities.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2009 Compared to Nine Months Ended September 30, 2008</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September 30, 2009 Compared to Three Months Ended September 30, 2008.”</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Revenues decreased $328.6 million, or 25.8%, in the first nine months of 2009, compared to the first nine months of 2008. Sales of new and used trucks decreased $245.9 million, or 30.4%, in the first nine months of 2009, compared to the first nine months of 2008.</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sold 3,016 heavy-duty units in the first nine months of 2009, a 29.5% decrease compared to 4,281 heavy-duty trucks in the first nine months of 2008. According to A.C.T. Research, the U.S. Class 8 truck market decreased 35.0% in the first nine months of 2009, compared to the first nine months of 2008.</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sold 2,029 medium-duty trucks, including 287 buses, in the first nine months of 2009, a 29.3% decrease compared to 2,870 medium-duty trucks, including 74 buses, in the first nine months of 2008. A.C.T. Research estimates that unit sales of Class 4 through 7 vehicles in the U.S decreased approximately 42.0% in the first nine months of 2009, compared to the first nine months of 2008.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sold 2,113 used trucks in the first nine months of 2009, a 19.7% decrease compared to 2,631 used trucks in the first nine months of 2008.</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Parts and service sales decreased $47.4 million, or 13.1%, in the first nine months of 2009, compared to the first nine months of 2008.</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Sales of new and used construction equipment decreased $30.7 million, or 64.5%, in the first nine months of 2009, compared to the first nine months of 2008.</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Truck lease and rental revenues decreased $0.6 million, or 1.5%, in the first nine months of 2009, compared to the first nine months of 2008.</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decreased $3.8 million, or 39.8%, in the first nine months of 2009, compared to the first nine months of 2008.</w:t>
      </w:r>
    </w:p>
    <w:p>
      <w:pPr>
        <w:spacing w:after="0" w:line="13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Other income decreased $0.2 million, or 5.8%, in the first nine months of 2009, compared to the first nine months of 2008.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Gross profit decreased $57.6 million, or 25.1%, in the first nine months of 2009, compared to the first nine months of 2008. Gross profit as a percentage of sales increased to 18.2% in the first nine months of 2009, from 18.0% in the first nine months of 2008. Truck sales, a lower margin revenue item, decreased as a percentage of total revenue to 59.6% in the first nine months of 2009, from 63.5% in the first nine months of 2008. Parts and service revenue, a higher margin revenue item, increased as a percentage of total revenue to 33.4% in the first nine months of 2009, from 28.5% in the first nine months of 2008.</w:t>
      </w:r>
    </w:p>
    <w:p>
      <w:pPr>
        <w:spacing w:after="0" w:line="11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Class 8 truck sales decreased to 5.7% in the first nine months of 2009, from 7.9% in the first nine months of 2008.</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medium-duty truck sales decreased to 5.2% in the first nine months of 2009, from 5.5% in the first nine months of 2008.</w:t>
      </w:r>
    </w:p>
    <w:p>
      <w:pPr>
        <w:spacing w:after="0" w:line="14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margins on used truck sales increased to 6.6% in the first nine months of 2009, from 3.4% in the first nine months of 2008. The lower level of gross margins in the first nine months of 2008 was primarily the result of a $5.4 million write-down of used truck inventory in the second quarter of 2008.</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Gross margins from the Company’s parts, service and body shop operations decreased to 39.3% in the first nine months of 2009, from 41.6% in the first nine months of 2008. Gross profit for the parts, service and body shop departments was $123.6 million in the first nine months of 2009, compared to $150.8 million in the first nine months of 2008.</w:t>
      </w:r>
    </w:p>
    <w:p>
      <w:pPr>
        <w:spacing w:after="0" w:line="12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new and used construction equipment sales were 7.1% in the first nine months of 2009, compared to 9.6% in the first nine months of 2008.</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from truck lease and rental sales decreased to 11.8% in the first nine months of 2009, from approximately 14.8% in the first nine months of 2008.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SG&amp;A expenses decreased $20.0 million, or 11.5%, in the first nine months of 2009, compared to the first nine months of 2008. SG&amp;A expenses as a percentage of sales was 16.4% in the first nine months of 2009, and 13.7% in the first nine months of 2008.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Net interest expense decreased $0.9 million, or 15.5%, in the first nine months of 2009, compared to the first nine months of 2008.</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Income before income taxes decreased $37.5 million, or 100.3%, in the first nine months of 2009, compared to the first nine months of 2008.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Income taxes decreased $18.1 million, or 132.7%, in the first nine months of 2009, compared to the first nine months of 2008. The Company provided for taxes at a 62.0% rate in the first nine months of 2009, compared to a rate of 37.5% in the first nine months of 2008. The tax rate in the first nine months of 2009 was offset $5.0 million by tax credits for sales of alternative fuel vehicles to tax-exempt entities. The tax rate in the first nine months of 2008 was offset $0.4 million by tax credits for sales of alternative fuel vehicles to tax-exempt entities. The increase in the Company’s tax rate during 2009 is primarily due to state taxation regulations and non-deductible expenses.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Company’s short-term cash requirements are primarily for working capital, inventory financing, the improvement and expansion of existing facilities, the implementation of SAP enterprise software and dealership management system, and the construction of new facilities. Historically, these cash requirements have been met through the retention of profits and borrowings under our floor plan arrangements. As of September 30, 2009, the Company had working capital of approximately $146.6 million, including $136.7 million in cash available to fund our operations. The Company believes that these funds are sufficient to meet its short-term and long-term cash requirements.</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may request working capital advances in the minimum amount of $100,000 under its Amended and Restated Wholesale Security Agreement with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September 30, 2009.</w:t>
      </w:r>
    </w:p>
    <w:p>
      <w:pPr>
        <w:spacing w:after="0" w:line="16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September 30, 2009, however, $6.1 million was pledged to secure various letters of credit related to self-insurance products, leaving $1.9 million available for future borrowings as of September 30, 2009.</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September 30, 2009, the Company was in compliance with all debt covenants. The Company does not anticipate any breach of the covenants in the foreseeable future.</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Titan Technology Partners is currently implementing SAP enterprise software and a new SAP dealership management system for the Company. The total cost of the SAP software and implementation is estimated to be approximately $32.0 million. As of September 30, 2009, the Company had cumulative expenditures of $26.5 million related to the SAP project. The Company expects to spend approximately $2.1 million to $2.6 million related to the SAP project during the remainder of 2009.</w:t>
      </w:r>
    </w:p>
    <w:p>
      <w:pPr>
        <w:spacing w:after="0" w:line="12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is currently constructing a new facility for its Rush Truck Center location in Oklahoma City, Oklahoma at an estimated cost of $14.5 million. As of September 30, 2009, the Company had expenditures of $12.7 million related to the construction of the new facility.</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$5.0 million during 2009. As of September 30, 2009, the Company had expenditures of approximately $4.0 million related to these recurring items.</w:t>
      </w:r>
    </w:p>
    <w:p>
      <w:pPr>
        <w:spacing w:after="0" w:line="14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September 30, 2009, the Company has repurchased 1,639,843 shares of its Class B common stock at an aggregate cost of $17.9 million, none of which occurred during the third quarter of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The Company currently anticipates funding its capital expenditures relating to the SAP software and implementation, construction of new Rush Truck Centers, recurring expenses and any stock repurchases through its operating cash flow. The Company expects to finance 70% to 80% of the appraised value of newly constructed Rush Truck Centers upon completion, which will increase the Company’s cash and cash equivalents by that amount.</w:t>
      </w:r>
    </w:p>
    <w:p>
      <w:pPr>
        <w:spacing w:after="0" w:line="160" w:lineRule="exact"/>
        <w:rPr>
          <w:sz w:val="20"/>
          <w:szCs w:val="20"/>
          <w:color w:val="auto"/>
        </w:rPr>
      </w:pPr>
    </w:p>
    <w:p>
      <w:pPr>
        <w:jc w:val="both"/>
        <w:ind w:left="340" w:right="1760" w:firstLine="373"/>
        <w:spacing w:after="0" w:line="302" w:lineRule="auto"/>
        <w:rPr>
          <w:sz w:val="20"/>
          <w:szCs w:val="20"/>
          <w:color w:val="auto"/>
        </w:rPr>
      </w:pPr>
      <w:r>
        <w:rPr>
          <w:rFonts w:ascii="Arial" w:cs="Arial" w:eastAsia="Arial" w:hAnsi="Arial"/>
          <w:sz w:val="16"/>
          <w:szCs w:val="16"/>
          <w:color w:val="auto"/>
        </w:rPr>
        <w:t>The Company has no other material commitments for capital expenditures as of September 30, 2009, except that the Company will continue to purchase vehicles for its lease and rental division and authorize capital expenditures for improvement and expansion of its dealership facilities based on market opportunities. The Company expects to purchase or lease trucks worth approximately $35.0 million for its leasing operations in 2009, depending on customer demand, which it will finance.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760" w:firstLine="373"/>
        <w:spacing w:after="0" w:line="342" w:lineRule="auto"/>
        <w:rPr>
          <w:sz w:val="20"/>
          <w:szCs w:val="20"/>
          <w:color w:val="auto"/>
        </w:rPr>
      </w:pPr>
      <w:r>
        <w:rPr>
          <w:rFonts w:ascii="Arial" w:cs="Arial" w:eastAsia="Arial" w:hAnsi="Arial"/>
          <w:sz w:val="16"/>
          <w:szCs w:val="16"/>
          <w:color w:val="auto"/>
        </w:rPr>
        <w:t>Cash and cash equivalents decreased by $9.7 million during the nine months ended September 30, 2009, and decreased by $42.5 million during the nine months ended September 30, 2008. The major components of these changes are discussed below.</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2009, operating activities resulted in net cash provided by operations of $130.7 million. Cash provided by operating activities was primarily impacted by the decrease in inventories and accounts receivable which was offset by the decrease in accounts payable and accrued expenses. During the first nine months of 2008, operating activities resulted in net cash provided by operations of $66.0 million.</w:t>
      </w:r>
    </w:p>
    <w:p>
      <w:pPr>
        <w:spacing w:after="0" w:line="148" w:lineRule="exact"/>
        <w:rPr>
          <w:sz w:val="20"/>
          <w:szCs w:val="20"/>
          <w:color w:val="auto"/>
        </w:rPr>
      </w:pPr>
    </w:p>
    <w:p>
      <w:pPr>
        <w:jc w:val="both"/>
        <w:ind w:left="340" w:right="1760" w:firstLine="373"/>
        <w:spacing w:after="0" w:line="290" w:lineRule="auto"/>
        <w:rPr>
          <w:sz w:val="20"/>
          <w:szCs w:val="20"/>
          <w:color w:val="auto"/>
        </w:rPr>
      </w:pPr>
      <w:r>
        <w:rPr>
          <w:rFonts w:ascii="Arial" w:cs="Arial" w:eastAsia="Arial" w:hAnsi="Arial"/>
          <w:sz w:val="16"/>
          <w:szCs w:val="16"/>
          <w:color w:val="auto"/>
        </w:rPr>
        <w:t>Cash flows from operating activities as adjusted for all draws and (payments) on floor plan notes (“Adjusted Cash Flows from Operating Activities”) was $44.7 million for the nine months ended September 30, 2009, and $68.6 million for the nine months ended September 30, 2008.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39"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46" w:lineRule="exact"/>
        <w:rPr>
          <w:sz w:val="20"/>
          <w:szCs w:val="20"/>
          <w:color w:val="auto"/>
        </w:rPr>
      </w:pPr>
    </w:p>
    <w:p>
      <w:pPr>
        <w:jc w:val="both"/>
        <w:ind w:left="340" w:right="1760" w:firstLine="373"/>
        <w:spacing w:after="0" w:line="273" w:lineRule="auto"/>
        <w:rPr>
          <w:sz w:val="20"/>
          <w:szCs w:val="20"/>
          <w:color w:val="auto"/>
        </w:rPr>
      </w:pPr>
      <w:r>
        <w:rPr>
          <w:rFonts w:ascii="Arial" w:cs="Arial" w:eastAsia="Arial" w:hAnsi="Arial"/>
          <w:sz w:val="17"/>
          <w:szCs w:val="17"/>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8"/>
                <w:szCs w:val="18"/>
                <w:color w:val="auto"/>
              </w:rPr>
              <w:t>Nine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September 30,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(U.S. GAAP)</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130,709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(Draws) payments on floor plan notes payable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(86,053)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Adjusted Cash Flows from Operating Activities (Non-GAAP)</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40" w:type="dxa"/>
            <w:vAlign w:val="bottom"/>
            <w:vMerge w:val="restart"/>
          </w:tcPr>
          <w:p>
            <w:pPr>
              <w:jc w:val="right"/>
              <w:ind w:right="2030"/>
              <w:spacing w:after="0"/>
              <w:rPr>
                <w:sz w:val="20"/>
                <w:szCs w:val="20"/>
                <w:color w:val="auto"/>
              </w:rPr>
            </w:pPr>
            <w:r>
              <w:rPr>
                <w:rFonts w:ascii="Arial" w:cs="Arial" w:eastAsia="Arial" w:hAnsi="Arial"/>
                <w:sz w:val="18"/>
                <w:szCs w:val="18"/>
                <w:color w:val="auto"/>
                <w:w w:val="99"/>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During the first nine months of 2009, cash used in investing activities was $32.5 million. Cash flows used in investing activities consist primarily of cash used for capital expenditures. Capital expenditures of $33.0 million consisted of purchases of property and equipment, improvements to our existing dealership facilities and construction of our new facility in Oklahoma City, Oklahoma. Property and equipment purchases during the first nine months of 2009 consisted of $9.8 million for additional units for the rental and leasing operations, which was directly offset by borrowings of long-term debt. The Company expects to purchase or lease trucks worth approximately $35.0 million for its leasing operations in 2009, depending on customer demand, all of which will be financed. During 2009, the Company expects to make capital expenditures for recurring items such as computers, shop equipment and vehicles of approximately $5.0 million in addition to $7.0 million to $8.0 million for the SAP project described above.</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first nine months of 2008, cash used in investing activities was $90.0 million. The Company purchased investments of $355.6 million which was offset by proceeds from the sale of these investments of $348.0 million. See Note 6 of Notes to Consolidated Financial Statements for an explanation of these investments. Capital expenditures consisted of purchases of property and equipment, and improvements to our existing dealership facilities of $46.5 million. Property and equipment purchases during the first nine months of 2008 consisted of $17.6 million for additional units for the rental and leasing operations, which was directly offset by borrowings of long-term debt. Cash used in business acquisitions was $37.4 million during the first nine months of 2008.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used in financing activities was $107.9 million during the first nine months of 2009. The Company had borrowings of long-term debt of $14.4 million and repayments of long-term debt and capital lease obligations of $37.3 million during the first nine months of 2009. The Company had net payments of floor plan notes payable of $86.1 million during the first nine months of 2009. The borrowings of long-term debt were primarily related to units for the rental and leasing operations.</w:t>
      </w:r>
    </w:p>
    <w:p>
      <w:pPr>
        <w:spacing w:after="0" w:line="11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Cash used in financing activities was $18.5 million during the first nine months of 2008. The Company had borrowings of long-term debt of $21.1 million and repayments of long-term debt and capital lease obligations of $33.8 million during the first nine months of 2008. The Company had net draws of floor plan notes payable of $2.5 million during the first nine months of 2008. The borrowings of long-term debt were primarily related to refinancing of real estate and financing of the lease and rental fleet.</w:t>
      </w:r>
    </w:p>
    <w:p>
      <w:pPr>
        <w:spacing w:after="0" w:line="14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September 30, 2009, the Company had approximately $176.9 million outstanding under its floor plan financing agreement with GE Capital.</w:t>
      </w:r>
    </w:p>
    <w:p>
      <w:pPr>
        <w:spacing w:after="0" w:line="156"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Chase floor plan arrangement.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new and used construction equipment are made to Chase no later than the 15</w:t>
      </w:r>
      <w:r>
        <w:rPr>
          <w:rFonts w:ascii="Arial" w:cs="Arial" w:eastAsia="Arial" w:hAnsi="Arial"/>
          <w:sz w:val="13"/>
          <w:szCs w:val="13"/>
          <w:color w:val="auto"/>
        </w:rPr>
        <w:t>th</w:t>
      </w:r>
      <w:r>
        <w:rPr>
          <w:rFonts w:ascii="Arial" w:cs="Arial" w:eastAsia="Arial" w:hAnsi="Arial"/>
          <w:sz w:val="16"/>
          <w:szCs w:val="16"/>
          <w:color w:val="auto"/>
        </w:rPr>
        <w:t xml:space="preserve"> day of each month following the sale. The loans are collateralized by a lien on the construction equipment. As of September 30, 2009, the Company’s floor plan arrangement with Chase permitted the financing of up to $20.0 million in construction equipment. On September 30, 2009, the Company had $4.5 million outstanding under its floor plan financing arrangements with John Deere and $15.2 million outstanding under its floor plan financing arrangement with Chase.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September 30, 2009, the Company’s backlog of truck orders was approximately $98.0 million compared to a backlog of truck orders of approximately $168.4 million on September 30, 2008.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Seasonal effects in the construction equipment business are weather-related.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businesses that require construction equipment in their daily operations.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and 2008 to a high of approximately 291,000 in 2006. Through geographic expansion, concentration on higher margin parts and service operations and diversification of its customer base, the Company believes it can reduce the negative impact on the Company’s earnings of cyclical trends affecting the heavy-duty truck industry.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operations are subject to numerous federal, state and local laws and regulations, including laws and regulations designed to protect the environment by regulating the discharge of materials into the environment. EPA emission guidelines have traditionally had a major impact on our operations.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EPA emissions guidelines regarding nitrous oxides are scheduled to go into effect for all diesel engines built subsequent to January 1, 2010. Changes in diesel engine emissions guidelines have traditionally resulted in significant pre-buys of Class 8 trucks in the period prior to the effective date of such emission guidelines. However, based on current economic and market conditions, the Company does not expect as significant of a pre-buy of Class 8 trucks to occur in 2009 as has occurred in the past. The magnitude of any pre-buy will be largely dependent upon general economic conditions in the U.S. through the remainder of 2009.</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Market risk, including interest rate risk and other relevant market rate or price risks, represents the risk of loss that may impact the financial position, results of operations, or cash flows of the Company.</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debt and discount rates related to finance sales. Floor plan borrowings are based on LIBOR and are used to meet working capital needs. As of September 30, 2009, the Company had floor plan borrowings of approximately $196.6 million. Assuming an increase or decrease in LIBOR of 100 basis points, annual interest expense could correspondingly increase or decrease by approximately $2.0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$136.7 million on September 30, 2009. These funds are generally invested as a prepayment against our floor plan financing debt or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earnings on cash and cash equivalents could correspondingly increase or decrease by approximately $1.4 million.</w:t>
      </w:r>
    </w:p>
    <w:p>
      <w:pPr>
        <w:spacing w:after="0" w:line="14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32"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As of September 30, 2009, the Company holds $7.6 million of auction rate securities with underlying tax-exempt municipal bonds with stated maturities of 21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6 of the Notes to Consolidated Financial Statements and Item 1A — Risk Factors in the Company’s Annual Report on Form 10-K for the year ended December 31, 2008 (the “2008 Annual Report”).</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2009 to provide reasonable assurance that information required to be disclosed in the reports filed or submitted under the Exchange Act is (i) recorded, processed, summarized and reported within the time periods specified in the Securities and Exchange Commission’s rules and forms, and</w:t>
      </w:r>
    </w:p>
    <w:p>
      <w:pPr>
        <w:spacing w:after="0" w:line="5" w:lineRule="exact"/>
        <w:rPr>
          <w:sz w:val="20"/>
          <w:szCs w:val="20"/>
          <w:color w:val="auto"/>
        </w:rPr>
      </w:pPr>
    </w:p>
    <w:p>
      <w:pPr>
        <w:ind w:left="340" w:right="559" w:hanging="8"/>
        <w:spacing w:after="0" w:line="261" w:lineRule="auto"/>
        <w:tabs>
          <w:tab w:leader="none" w:pos="633"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accumulated and communicated to Company management, including the Chief Executive Officer and Chief Financial Officer, as appropriate, to allow timely decisions regarding required disclosure.</w:t>
      </w:r>
    </w:p>
    <w:p>
      <w:pPr>
        <w:spacing w:after="0" w:line="14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September 30, 2009 that has materially affected, or is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position or results of operations for the fiscal period in which such resolution occurred.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the 2008 Annual Report describes some of the risks and uncertainties associated with our business that have the potential to materially affect our business, financial condition or results of operations.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has been no material change in our risk factors disclosed in the 2008 Annual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2009.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third quarter of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Total Number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Average Price</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 Purchased</w:t>
            </w: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Paid Per</w:t>
            </w: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as Part of Publicly</w:t>
            </w:r>
          </w:p>
        </w:tc>
        <w:tc>
          <w:tcPr>
            <w:tcW w:w="1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May Yet Be Purchased</w:t>
            </w:r>
          </w:p>
        </w:tc>
      </w:t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Purchased</w:t>
            </w:r>
          </w:p>
        </w:tc>
        <w:tc>
          <w:tcPr>
            <w:tcW w:w="28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80" w:type="dxa"/>
            <w:vAlign w:val="bottom"/>
          </w:tcPr>
          <w:p>
            <w:pPr>
              <w:spacing w:after="0"/>
              <w:rPr>
                <w:sz w:val="20"/>
                <w:szCs w:val="20"/>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Under the Plan (1)(2)</w:t>
            </w:r>
          </w:p>
        </w:tc>
        <w:tc>
          <w:tcPr>
            <w:tcW w:w="8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July 1 – 31, 2009</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August 1 – 31, 2009</w:t>
            </w:r>
          </w:p>
        </w:tc>
        <w:tc>
          <w:tcPr>
            <w:tcW w:w="1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6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2009</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Quarter Total</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2,093,321</w:t>
            </w:r>
          </w:p>
        </w:tc>
        <w:tc>
          <w:tcPr>
            <w:tcW w:w="8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31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The stock repurchase program has no expiration date and may be suspended or discontinued at any time.</w:t>
      </w:r>
    </w:p>
    <w:p>
      <w:pPr>
        <w:ind w:left="680" w:right="559" w:hanging="348"/>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September 30, 2009, the Company has repurchased 1,639,843 shares of its Class B common stock at a cost of $17.9 million, none of which occurred during the 2009 fiscal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0" w:type="dxa"/>
            <w:vAlign w:val="bottom"/>
            <w:gridSpan w:val="2"/>
          </w:tcPr>
          <w:p>
            <w:pPr>
              <w:spacing w:after="0"/>
              <w:rPr>
                <w:sz w:val="17"/>
                <w:szCs w:val="17"/>
                <w:color w:val="auto"/>
              </w:rPr>
            </w:pPr>
          </w:p>
        </w:tc>
        <w:tc>
          <w:tcPr>
            <w:tcW w:w="774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774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c>
          <w:tcPr>
            <w:tcW w:w="77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7740" w:type="dxa"/>
            <w:vAlign w:val="bottom"/>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3.1</w:t>
            </w:r>
          </w:p>
        </w:tc>
        <w:tc>
          <w:tcPr>
            <w:tcW w:w="2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Restated Articles of Incorporation of Rush Enterprises, Inc. (incorporated herein by reference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Exhibit 3.1 of the Company’s Quarterly Report on Form 10-Q (File No. 000-20797) for the quarter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June 30, 2008)</w:t>
            </w:r>
          </w:p>
        </w:tc>
      </w:tr>
      <w:tr>
        <w:trPr>
          <w:trHeight w:val="216"/>
        </w:trPr>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3.2 of</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2"/>
              </w:rPr>
              <w:t>the Company’s Quarterly Report on Form 10-Q (File No. 000-20797) filed for the quarter ended June 30,</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2009).</w:t>
            </w:r>
          </w:p>
        </w:tc>
      </w:tr>
      <w:tr>
        <w:trPr>
          <w:trHeight w:val="216"/>
        </w:trPr>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bl>
    <w:p>
      <w:pPr>
        <w:spacing w:after="0" w:line="107"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940" w:type="dxa"/>
            <w:vAlign w:val="bottom"/>
            <w:gridSpan w:val="2"/>
          </w:tcPr>
          <w:p>
            <w:pPr>
              <w:ind w:left="1260"/>
              <w:spacing w:after="0"/>
              <w:rPr>
                <w:sz w:val="20"/>
                <w:szCs w:val="20"/>
                <w:color w:val="auto"/>
              </w:rPr>
            </w:pPr>
            <w:r>
              <w:rPr>
                <w:rFonts w:ascii="Arial" w:cs="Arial" w:eastAsia="Arial" w:hAnsi="Arial"/>
                <w:sz w:val="18"/>
                <w:szCs w:val="18"/>
                <w:color w:val="auto"/>
              </w:rPr>
              <w:t>RUSH ENTERPRISES, INC.</w:t>
            </w:r>
          </w:p>
        </w:tc>
        <w:tc>
          <w:tcPr>
            <w:tcW w:w="3100" w:type="dxa"/>
            <w:vAlign w:val="bottom"/>
          </w:tcPr>
          <w:p>
            <w:pPr>
              <w:spacing w:after="0"/>
              <w:rPr>
                <w:sz w:val="20"/>
                <w:szCs w:val="20"/>
                <w:color w:val="auto"/>
              </w:rPr>
            </w:pPr>
          </w:p>
        </w:tc>
      </w:tr>
      <w:tr>
        <w:trPr>
          <w:trHeight w:val="432"/>
        </w:trPr>
        <w:tc>
          <w:tcPr>
            <w:tcW w:w="3380" w:type="dxa"/>
            <w:vAlign w:val="bottom"/>
          </w:tcPr>
          <w:p>
            <w:pPr>
              <w:ind w:left="340"/>
              <w:spacing w:after="0"/>
              <w:rPr>
                <w:sz w:val="20"/>
                <w:szCs w:val="20"/>
                <w:color w:val="auto"/>
              </w:rPr>
            </w:pPr>
            <w:r>
              <w:rPr>
                <w:rFonts w:ascii="Arial" w:cs="Arial" w:eastAsia="Arial" w:hAnsi="Arial"/>
                <w:sz w:val="18"/>
                <w:szCs w:val="18"/>
                <w:color w:val="auto"/>
              </w:rPr>
              <w:t>Date: November 9, 2009</w:t>
            </w:r>
          </w:p>
        </w:tc>
        <w:tc>
          <w:tcPr>
            <w:tcW w:w="4940" w:type="dxa"/>
            <w:vAlign w:val="bottom"/>
            <w:gridSpan w:val="2"/>
          </w:tcPr>
          <w:p>
            <w:pPr>
              <w:ind w:left="1260"/>
              <w:spacing w:after="0"/>
              <w:rPr>
                <w:sz w:val="20"/>
                <w:szCs w:val="20"/>
                <w:color w:val="auto"/>
              </w:rPr>
            </w:pPr>
            <w:r>
              <w:rPr>
                <w:rFonts w:ascii="Arial" w:cs="Arial" w:eastAsia="Arial" w:hAnsi="Arial"/>
                <w:sz w:val="18"/>
                <w:szCs w:val="18"/>
                <w:color w:val="auto"/>
              </w:rPr>
              <w:t>By: /s/ W.M. “RUSTY” RUSH</w:t>
            </w:r>
          </w:p>
        </w:tc>
        <w:tc>
          <w:tcPr>
            <w:tcW w:w="310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W.M.“Rusty”Rush</w:t>
            </w:r>
          </w:p>
        </w:tc>
        <w:tc>
          <w:tcPr>
            <w:tcW w:w="310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10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r>
      <w:tr>
        <w:trPr>
          <w:trHeight w:val="432"/>
        </w:trPr>
        <w:tc>
          <w:tcPr>
            <w:tcW w:w="3380" w:type="dxa"/>
            <w:vAlign w:val="bottom"/>
          </w:tcPr>
          <w:p>
            <w:pPr>
              <w:ind w:left="340"/>
              <w:spacing w:after="0"/>
              <w:rPr>
                <w:sz w:val="20"/>
                <w:szCs w:val="20"/>
                <w:color w:val="auto"/>
              </w:rPr>
            </w:pPr>
            <w:r>
              <w:rPr>
                <w:rFonts w:ascii="Arial" w:cs="Arial" w:eastAsia="Arial" w:hAnsi="Arial"/>
                <w:sz w:val="18"/>
                <w:szCs w:val="18"/>
                <w:color w:val="auto"/>
              </w:rPr>
              <w:t>Date: November 9, 2009</w:t>
            </w:r>
          </w:p>
        </w:tc>
        <w:tc>
          <w:tcPr>
            <w:tcW w:w="4940" w:type="dxa"/>
            <w:vAlign w:val="bottom"/>
            <w:gridSpan w:val="2"/>
          </w:tcPr>
          <w:p>
            <w:pPr>
              <w:ind w:left="1260"/>
              <w:spacing w:after="0"/>
              <w:rPr>
                <w:sz w:val="20"/>
                <w:szCs w:val="20"/>
                <w:color w:val="auto"/>
              </w:rPr>
            </w:pPr>
            <w:r>
              <w:rPr>
                <w:rFonts w:ascii="Arial" w:cs="Arial" w:eastAsia="Arial" w:hAnsi="Arial"/>
                <w:sz w:val="18"/>
                <w:szCs w:val="18"/>
                <w:color w:val="auto"/>
              </w:rPr>
              <w:t>By: /s/ STEVEN L. KELLER</w:t>
            </w:r>
          </w:p>
        </w:tc>
        <w:tc>
          <w:tcPr>
            <w:tcW w:w="310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310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Vice President and Chief Financial Officer</w:t>
            </w:r>
          </w:p>
        </w:tc>
        <w:tc>
          <w:tcPr>
            <w:tcW w:w="310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(Principal Financial and Accounting Officer)</w:t>
            </w:r>
          </w:p>
        </w:tc>
        <w:tc>
          <w:tcPr>
            <w:tcW w:w="3100" w:type="dxa"/>
            <w:vAlign w:val="bottom"/>
          </w:tcPr>
          <w:p>
            <w:pPr>
              <w:spacing w:after="0"/>
              <w:rPr>
                <w:sz w:val="20"/>
                <w:szCs w:val="20"/>
                <w:color w:val="auto"/>
              </w:rPr>
            </w:pPr>
          </w:p>
        </w:tc>
      </w:tr>
      <w:tr>
        <w:trPr>
          <w:trHeight w:val="783"/>
        </w:trPr>
        <w:tc>
          <w:tcPr>
            <w:tcW w:w="3380" w:type="dxa"/>
            <w:vAlign w:val="bottom"/>
          </w:tcPr>
          <w:p>
            <w:pPr>
              <w:spacing w:after="0"/>
              <w:rPr>
                <w:sz w:val="24"/>
                <w:szCs w:val="24"/>
                <w:color w:val="auto"/>
              </w:rPr>
            </w:pPr>
          </w:p>
        </w:tc>
        <w:tc>
          <w:tcPr>
            <w:tcW w:w="4940" w:type="dxa"/>
            <w:vAlign w:val="bottom"/>
            <w:gridSpan w:val="2"/>
          </w:tcPr>
          <w:p>
            <w:pPr>
              <w:jc w:val="right"/>
              <w:ind w:right="3150"/>
              <w:spacing w:after="0"/>
              <w:rPr>
                <w:sz w:val="20"/>
                <w:szCs w:val="20"/>
                <w:color w:val="auto"/>
              </w:rPr>
            </w:pPr>
            <w:r>
              <w:rPr>
                <w:rFonts w:ascii="Arial" w:cs="Arial" w:eastAsia="Arial" w:hAnsi="Arial"/>
                <w:sz w:val="18"/>
                <w:szCs w:val="18"/>
                <w:color w:val="auto"/>
              </w:rPr>
              <w:t>28</w:t>
            </w:r>
          </w:p>
        </w:tc>
        <w:tc>
          <w:tcPr>
            <w:tcW w:w="310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77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0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Pr>
          <w:p>
            <w:pPr>
              <w:ind w:left="480"/>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40" w:type="dxa"/>
            <w:vAlign w:val="bottom"/>
          </w:tcPr>
          <w:p>
            <w:pPr>
              <w:spacing w:after="0" w:line="195" w:lineRule="exact"/>
              <w:rPr>
                <w:sz w:val="20"/>
                <w:szCs w:val="20"/>
                <w:color w:val="auto"/>
              </w:rPr>
            </w:pPr>
            <w:r>
              <w:rPr>
                <w:rFonts w:ascii="Arial" w:cs="Arial" w:eastAsia="Arial" w:hAnsi="Arial"/>
                <w:sz w:val="18"/>
                <w:szCs w:val="18"/>
                <w:color w:val="auto"/>
                <w:w w:val="93"/>
              </w:rPr>
              <w:t>Certification of CEO pursuant to Rules 13a-14(a) and 15d-14(a) adopted pursuant to Section 302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360" w:type="dxa"/>
            <w:vAlign w:val="bottom"/>
            <w:gridSpan w:val="2"/>
          </w:tcPr>
          <w:p>
            <w:pPr>
              <w:ind w:left="8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Sarbanes-Oxley Act of 2002.</w:t>
            </w:r>
          </w:p>
        </w:tc>
      </w:tr>
    </w:tbl>
    <w:p>
      <w:pPr>
        <w:spacing w:after="0" w:line="107"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05" w:right="1440" w:bottom="1440" w:gutter="0" w:footer="0" w:header="0"/>
        </w:sectPr>
      </w:pPr>
    </w:p>
    <w:bookmarkStart w:id="30" w:name="page31"/>
    <w:bookmarkEnd w:id="30"/>
    <w:p>
      <w:pPr>
        <w:ind w:left="8248"/>
        <w:spacing w:after="0"/>
        <w:rPr>
          <w:sz w:val="20"/>
          <w:szCs w:val="20"/>
          <w:color w:val="auto"/>
        </w:rPr>
      </w:pPr>
      <w:r>
        <w:rPr>
          <w:rFonts w:ascii="Arial" w:cs="Arial" w:eastAsia="Arial" w:hAnsi="Arial"/>
          <w:sz w:val="17"/>
          <w:szCs w:val="17"/>
          <w:u w:val="single" w:color="auto"/>
          <w:color w:val="auto"/>
        </w:rPr>
        <w:t>EXHIBIT 31.1</w:t>
      </w:r>
    </w:p>
    <w:p>
      <w:pPr>
        <w:spacing w:after="0" w:line="192"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1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559" w:firstLine="365"/>
        <w:spacing w:after="0" w:line="312"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8" w:right="559" w:firstLine="365"/>
        <w:spacing w:after="0" w:line="286" w:lineRule="auto"/>
        <w:tabs>
          <w:tab w:leader="none" w:pos="654"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559" w:firstLine="365"/>
        <w:spacing w:after="0" w:line="286" w:lineRule="auto"/>
        <w:tabs>
          <w:tab w:leader="none" w:pos="647"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8" w:right="559" w:hanging="8"/>
        <w:spacing w:after="0" w:line="264" w:lineRule="auto"/>
        <w:tabs>
          <w:tab w:leader="none" w:pos="1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65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Date: November 9, 2009</w:t>
            </w:r>
          </w:p>
        </w:tc>
        <w:tc>
          <w:tcPr>
            <w:tcW w:w="4920" w:type="dxa"/>
            <w:vAlign w:val="bottom"/>
            <w:gridSpan w:val="2"/>
          </w:tcPr>
          <w:p>
            <w:pPr>
              <w:ind w:left="1280"/>
              <w:spacing w:after="0"/>
              <w:rPr>
                <w:sz w:val="20"/>
                <w:szCs w:val="20"/>
                <w:color w:val="auto"/>
              </w:rPr>
            </w:pPr>
            <w:r>
              <w:rPr>
                <w:rFonts w:ascii="Arial" w:cs="Arial" w:eastAsia="Arial" w:hAnsi="Arial"/>
                <w:sz w:val="18"/>
                <w:szCs w:val="18"/>
                <w:color w:val="auto"/>
              </w:rPr>
              <w:t>By: /s/ W.M.“RUSTY”RUSH</w:t>
            </w:r>
          </w:p>
        </w:tc>
      </w:tr>
      <w:tr>
        <w:trPr>
          <w:trHeight w:val="195"/>
        </w:trPr>
        <w:tc>
          <w:tcPr>
            <w:tcW w:w="3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W.M.“Rusty” Rush</w:t>
            </w:r>
          </w:p>
        </w:tc>
      </w:tr>
      <w:tr>
        <w:trPr>
          <w:trHeight w:val="216"/>
        </w:trPr>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31" w:name="page32"/>
    <w:bookmarkEnd w:id="31"/>
    <w:p>
      <w:pPr>
        <w:ind w:left="8248"/>
        <w:spacing w:after="0"/>
        <w:rPr>
          <w:sz w:val="20"/>
          <w:szCs w:val="20"/>
          <w:color w:val="auto"/>
        </w:rPr>
      </w:pPr>
      <w:r>
        <w:rPr>
          <w:rFonts w:ascii="Arial" w:cs="Arial" w:eastAsia="Arial" w:hAnsi="Arial"/>
          <w:sz w:val="17"/>
          <w:szCs w:val="17"/>
          <w:u w:val="single" w:color="auto"/>
          <w:color w:val="auto"/>
        </w:rPr>
        <w:t>EXHIBIT 31.2</w:t>
      </w:r>
    </w:p>
    <w:p>
      <w:pPr>
        <w:spacing w:after="0" w:line="192"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559" w:firstLine="365"/>
        <w:spacing w:after="0" w:line="312" w:lineRule="auto"/>
        <w:tabs>
          <w:tab w:leader="none" w:pos="647"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8" w:right="559" w:firstLine="365"/>
        <w:spacing w:after="0" w:line="286" w:lineRule="auto"/>
        <w:tabs>
          <w:tab w:leader="none" w:pos="654"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559" w:firstLine="365"/>
        <w:spacing w:after="0" w:line="286" w:lineRule="auto"/>
        <w:tabs>
          <w:tab w:leader="none" w:pos="647"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8" w:right="559" w:hanging="8"/>
        <w:spacing w:after="0" w:line="264" w:lineRule="auto"/>
        <w:tabs>
          <w:tab w:leader="none" w:pos="1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65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64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November 9, 2009</w:t>
            </w:r>
          </w:p>
        </w:tc>
        <w:tc>
          <w:tcPr>
            <w:tcW w:w="4940" w:type="dxa"/>
            <w:vAlign w:val="bottom"/>
            <w:gridSpan w:val="2"/>
          </w:tcPr>
          <w:p>
            <w:pPr>
              <w:ind w:left="1260"/>
              <w:spacing w:after="0"/>
              <w:rPr>
                <w:sz w:val="20"/>
                <w:szCs w:val="20"/>
                <w:color w:val="auto"/>
              </w:rPr>
            </w:pPr>
            <w:r>
              <w:rPr>
                <w:rFonts w:ascii="Arial" w:cs="Arial" w:eastAsia="Arial" w:hAnsi="Arial"/>
                <w:sz w:val="18"/>
                <w:szCs w:val="18"/>
                <w:color w:val="auto"/>
              </w:rPr>
              <w:t>By: /s/ STEVEN L. KELLER</w:t>
            </w:r>
          </w:p>
        </w:tc>
      </w:tr>
      <w:tr>
        <w:trPr>
          <w:trHeight w:val="195"/>
        </w:trPr>
        <w:tc>
          <w:tcPr>
            <w:tcW w:w="3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Vice President and Chief Financial Officer</w:t>
            </w:r>
          </w:p>
        </w:tc>
      </w:tr>
      <w:tr>
        <w:trPr>
          <w:trHeight w:val="230"/>
        </w:trPr>
        <w:tc>
          <w:tcPr>
            <w:tcW w:w="3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(Principal Financial and Accounting Officer)</w:t>
            </w:r>
          </w:p>
        </w:tc>
      </w:tr>
    </w:tbl>
    <w:p>
      <w:pPr>
        <w:sectPr>
          <w:pgSz w:w="11900" w:h="16838" w:orient="portrait"/>
          <w:cols w:equalWidth="0" w:num="1">
            <w:col w:w="9887"/>
          </w:cols>
          <w:pgMar w:left="572" w:top="125" w:right="1440" w:bottom="1440" w:gutter="0" w:footer="0" w:header="0"/>
        </w:sectPr>
      </w:pPr>
    </w:p>
    <w:bookmarkStart w:id="32" w:name="page33"/>
    <w:bookmarkEnd w:id="32"/>
    <w:p>
      <w:pPr>
        <w:ind w:left="8240"/>
        <w:spacing w:after="0"/>
        <w:rPr>
          <w:sz w:val="20"/>
          <w:szCs w:val="20"/>
          <w:color w:val="auto"/>
        </w:rPr>
      </w:pPr>
      <w:r>
        <w:rPr>
          <w:rFonts w:ascii="Arial" w:cs="Arial" w:eastAsia="Arial" w:hAnsi="Arial"/>
          <w:sz w:val="17"/>
          <w:szCs w:val="17"/>
          <w:u w:val="single" w:color="auto"/>
          <w:color w:val="auto"/>
        </w:rPr>
        <w:t>EXHIBIT 32.1</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2009,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00" w:hanging="343"/>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W.M.“RUSTY” RUSH</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W.M.“Rusty”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18"/>
          <w:szCs w:val="18"/>
          <w:color w:val="auto"/>
        </w:rPr>
        <w:t>Date:</w:t>
        <w:tab/>
        <w:t>November 9, 2009</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u w:val="single" w:color="auto"/>
          <w:color w:val="auto"/>
        </w:rPr>
        <w:t>EXHIBIT 32.2</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2009,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00" w:hanging="343"/>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24269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9"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Date:</w:t>
        <w:tab/>
        <w:t>November 9, 2009</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2019-12-10T13:09:33Z</dcterms:created>
  <dcterms:modified xsi:type="dcterms:W3CDTF">2019-12-10T13:09:33Z</dcterms:modified>
</cp:coreProperties>
</file>