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4" w:lineRule="exact"/>
        <w:rPr>
          <w:rFonts w:ascii="Times New Roman" w:cs="Times New Roman" w:eastAsia="Times New Roman" w:hAnsi="Times New Roman"/>
          <w:sz w:val="17"/>
          <w:szCs w:val="17"/>
          <w:color w:val="auto"/>
        </w:rPr>
      </w:pPr>
    </w:p>
    <w:p>
      <w:pPr>
        <w:ind w:left="3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right="2100" w:firstLine="8"/>
        <w:spacing w:after="0" w:line="501" w:lineRule="auto"/>
        <w:tabs>
          <w:tab w:leader="none" w:pos="1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___________________________ to __________________________________________</w:t>
      </w: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60"/>
          </w:cols>
          <w:pgMar w:left="240" w:top="220" w:right="199" w:bottom="789" w:gutter="0" w:footer="0" w:header="0"/>
        </w:sectPr>
      </w:pPr>
    </w:p>
    <w:p>
      <w:pPr>
        <w:spacing w:after="0" w:line="207"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38" w:orient="portrait"/>
          <w:cols w:equalWidth="0" w:num="2">
            <w:col w:w="6380" w:space="720"/>
            <w:col w:w="4360"/>
          </w:cols>
          <w:pgMar w:left="240" w:top="220" w:right="199" w:bottom="789" w:gutter="0" w:footer="0" w:header="0"/>
          <w:type w:val="continuous"/>
        </w:sectPr>
      </w:pPr>
    </w:p>
    <w:p>
      <w:pPr>
        <w:spacing w:after="0" w:line="7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460"/>
          </w:cols>
          <w:pgMar w:left="240" w:top="220" w:right="199" w:bottom="789" w:gutter="0" w:footer="0" w:header="0"/>
          <w:type w:val="continuous"/>
        </w:sectPr>
      </w:pP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(830) 626-5200</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920"/>
        <w:spacing w:after="0"/>
        <w:tabs>
          <w:tab w:leader="none" w:pos="63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07" w:lineRule="exact"/>
        <w:rPr>
          <w:sz w:val="24"/>
          <w:szCs w:val="24"/>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76" w:lineRule="exact"/>
        <w:rPr>
          <w:sz w:val="24"/>
          <w:szCs w:val="24"/>
          <w:color w:val="auto"/>
        </w:rPr>
      </w:pPr>
    </w:p>
    <w:p>
      <w:pPr>
        <w:ind w:left="4920"/>
        <w:spacing w:after="0"/>
        <w:tabs>
          <w:tab w:leader="none" w:pos="63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0" w:right="199" w:bottom="789" w:gutter="0" w:footer="0" w:header="0"/>
          <w:type w:val="continuous"/>
        </w:sectPr>
      </w:pPr>
    </w:p>
    <w:p>
      <w:pPr>
        <w:spacing w:after="0" w:line="178" w:lineRule="exact"/>
        <w:rPr>
          <w:sz w:val="24"/>
          <w:szCs w:val="24"/>
          <w:color w:val="auto"/>
        </w:rPr>
      </w:pPr>
    </w:p>
    <w:p>
      <w:pPr>
        <w:ind w:left="3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800" w:space="720"/>
            <w:col w:w="3940"/>
          </w:cols>
          <w:pgMar w:left="240" w:top="220" w:right="199" w:bottom="789" w:gutter="0" w:footer="0" w:header="0"/>
          <w:type w:val="continuous"/>
        </w:sectPr>
      </w:pPr>
    </w:p>
    <w:p>
      <w:pPr>
        <w:spacing w:after="0" w:line="37"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64" w:lineRule="exact"/>
        <w:rPr>
          <w:sz w:val="24"/>
          <w:szCs w:val="24"/>
          <w:color w:val="auto"/>
        </w:rPr>
      </w:pPr>
    </w:p>
    <w:p>
      <w:pPr>
        <w:sectPr>
          <w:pgSz w:w="11900" w:h="16838" w:orient="portrait"/>
          <w:cols w:equalWidth="0" w:num="2">
            <w:col w:w="6800" w:space="720"/>
            <w:col w:w="3940"/>
          </w:cols>
          <w:pgMar w:left="240" w:top="220" w:right="199" w:bottom="789" w:gutter="0" w:footer="0" w:header="0"/>
          <w:type w:val="continuous"/>
        </w:sectPr>
      </w:pPr>
    </w:p>
    <w:p>
      <w:pPr>
        <w:spacing w:after="0" w:line="7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4940"/>
        <w:spacing w:after="0"/>
        <w:tabs>
          <w:tab w:leader="none" w:pos="628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[X]</w:t>
      </w:r>
    </w:p>
    <w:p>
      <w:pPr>
        <w:sectPr>
          <w:pgSz w:w="11900" w:h="16838" w:orient="portrait"/>
          <w:cols w:equalWidth="0" w:num="1">
            <w:col w:w="11460"/>
          </w:cols>
          <w:pgMar w:left="240" w:top="220" w:right="199" w:bottom="789" w:gutter="0" w:footer="0" w:header="0"/>
          <w:type w:val="continuous"/>
        </w:sectPr>
      </w:pP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November 1, 2015.</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w:t>
            </w:r>
          </w:p>
        </w:tc>
      </w:tr>
      <w:tr>
        <w:trPr>
          <w:trHeight w:val="216"/>
        </w:trPr>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w:t>
            </w:r>
          </w:p>
        </w:tc>
      </w:tr>
      <w:tr>
        <w:trPr>
          <w:trHeight w:val="194"/>
        </w:trPr>
        <w:tc>
          <w:tcPr>
            <w:tcW w:w="2380" w:type="dxa"/>
            <w:vAlign w:val="bottom"/>
          </w:tcPr>
          <w:p>
            <w:pPr>
              <w:spacing w:after="0"/>
              <w:rPr>
                <w:sz w:val="16"/>
                <w:szCs w:val="16"/>
                <w:color w:val="auto"/>
              </w:rPr>
            </w:pPr>
          </w:p>
        </w:tc>
        <w:tc>
          <w:tcPr>
            <w:tcW w:w="5760" w:type="dxa"/>
            <w:vAlign w:val="bottom"/>
            <w:gridSpan w:val="2"/>
          </w:tcPr>
          <w:p>
            <w:pPr>
              <w:jc w:val="center"/>
              <w:ind w:right="4800"/>
              <w:spacing w:after="0" w:line="194" w:lineRule="exact"/>
              <w:rPr>
                <w:sz w:val="20"/>
                <w:szCs w:val="20"/>
                <w:color w:val="auto"/>
              </w:rPr>
            </w:pPr>
            <w:r>
              <w:rPr>
                <w:rFonts w:ascii="Times New Roman" w:cs="Times New Roman" w:eastAsia="Times New Roman" w:hAnsi="Times New Roman"/>
                <w:sz w:val="18"/>
                <w:szCs w:val="18"/>
                <w:color w:val="auto"/>
                <w:w w:val="98"/>
              </w:rPr>
              <w:t>Title of Class</w:t>
            </w:r>
          </w:p>
        </w:tc>
        <w:tc>
          <w:tcPr>
            <w:tcW w:w="3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Outstanding</w:t>
            </w:r>
          </w:p>
        </w:tc>
      </w:tr>
      <w:tr>
        <w:trPr>
          <w:trHeight w:val="20"/>
        </w:trPr>
        <w:tc>
          <w:tcPr>
            <w:tcW w:w="2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8"/>
        </w:trPr>
        <w:tc>
          <w:tcPr>
            <w:tcW w:w="8140" w:type="dxa"/>
            <w:vAlign w:val="bottom"/>
            <w:gridSpan w:val="3"/>
          </w:tcPr>
          <w:p>
            <w:pPr>
              <w:jc w:val="center"/>
              <w:ind w:right="2420"/>
              <w:spacing w:after="0"/>
              <w:rPr>
                <w:sz w:val="20"/>
                <w:szCs w:val="20"/>
                <w:color w:val="auto"/>
              </w:rPr>
            </w:pPr>
            <w:r>
              <w:rPr>
                <w:rFonts w:ascii="Times New Roman" w:cs="Times New Roman" w:eastAsia="Times New Roman" w:hAnsi="Times New Roman"/>
                <w:sz w:val="18"/>
                <w:szCs w:val="18"/>
                <w:color w:val="auto"/>
                <w:w w:val="99"/>
              </w:rPr>
              <w:t>Class A Common Stock, $.01 Par Value</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30,277,484</w:t>
            </w:r>
          </w:p>
        </w:tc>
        <w:tc>
          <w:tcPr>
            <w:tcW w:w="2440" w:type="dxa"/>
            <w:vAlign w:val="bottom"/>
          </w:tcPr>
          <w:p>
            <w:pPr>
              <w:spacing w:after="0"/>
              <w:rPr>
                <w:sz w:val="18"/>
                <w:szCs w:val="18"/>
                <w:color w:val="auto"/>
              </w:rPr>
            </w:pPr>
          </w:p>
        </w:tc>
      </w:tr>
      <w:tr>
        <w:trPr>
          <w:trHeight w:val="234"/>
        </w:trPr>
        <w:tc>
          <w:tcPr>
            <w:tcW w:w="8140" w:type="dxa"/>
            <w:vAlign w:val="bottom"/>
            <w:gridSpan w:val="3"/>
          </w:tcPr>
          <w:p>
            <w:pPr>
              <w:jc w:val="center"/>
              <w:ind w:right="2420"/>
              <w:spacing w:after="0"/>
              <w:rPr>
                <w:sz w:val="20"/>
                <w:szCs w:val="20"/>
                <w:color w:val="auto"/>
              </w:rPr>
            </w:pPr>
            <w:r>
              <w:rPr>
                <w:rFonts w:ascii="Times New Roman" w:cs="Times New Roman" w:eastAsia="Times New Roman" w:hAnsi="Times New Roman"/>
                <w:sz w:val="18"/>
                <w:szCs w:val="18"/>
                <w:color w:val="auto"/>
                <w:w w:val="99"/>
              </w:rPr>
              <w:t>Class B Common Stock, $.01 Par Value</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10,093,305</w:t>
            </w:r>
          </w:p>
        </w:tc>
        <w:tc>
          <w:tcPr>
            <w:tcW w:w="2440" w:type="dxa"/>
            <w:vAlign w:val="bottom"/>
          </w:tcPr>
          <w:p>
            <w:pPr>
              <w:spacing w:after="0"/>
              <w:rPr>
                <w:sz w:val="20"/>
                <w:szCs w:val="20"/>
                <w:color w:val="auto"/>
              </w:rPr>
            </w:pPr>
          </w:p>
        </w:tc>
      </w:tr>
      <w:tr>
        <w:trPr>
          <w:trHeight w:val="780"/>
        </w:trPr>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1"/>
        </w:trPr>
        <w:tc>
          <w:tcPr>
            <w:tcW w:w="23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8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0" w:right="199" w:bottom="789" w:gutter="0" w:footer="0" w:header="0"/>
          <w:type w:val="continuous"/>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2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60" w:type="dxa"/>
            <w:vAlign w:val="bottom"/>
            <w:gridSpan w:val="8"/>
          </w:tcPr>
          <w:p>
            <w:pPr>
              <w:ind w:left="15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7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 September 30, 2015 (unaudited) and December 31, 2014</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Income and Comprehensive Income - For the Three and Nine Months Ended September 30, 2015</w:t>
              </w:r>
            </w:hyperlink>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04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2014 (unaudited)</w:t>
              </w:r>
            </w:hyperlink>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Cash Flows - For the Nine Months Ended September 30, 2015 and 2014 (unaudited)</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Consolidated Financial Statements (unaudited)</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Unregistered Sales of Equity Securities and Use of Proceeds</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Defaults Upon Senior Securities</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Mine Safety Disclosures</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Other Information</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2"/>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99"/>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gridSpan w:val="10"/>
          </w:tcPr>
          <w:p>
            <w:pPr>
              <w:ind w:left="408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7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5"/>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SEPTEMBER 30, 2015 AND DECEMBER 31, 2014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w:t>
            </w:r>
          </w:p>
        </w:tc>
        <w:tc>
          <w:tcPr>
            <w:tcW w:w="3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receivable affiliate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1,114,831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Asset held for sale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1,431,092</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1,445,514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1,090,712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56,971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2,870,490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320" w:type="dxa"/>
            <w:vAlign w:val="bottom"/>
            <w:tcBorders>
              <w:top w:val="single" w:sz="8" w:color="CCEEFF"/>
            </w:tcBorders>
            <w:gridSpan w:val="7"/>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921,560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129,772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Liabilities directly associated with asset held for sale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21,473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1,344,726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452,550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63,629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172,179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gridSpan w:val="9"/>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and 2014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gridSpan w:val="9"/>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authorized; 30,276,084 class A shares and 10,093,305 class B shares outstanding in 2015; and 29,889,332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gridSpan w:val="9"/>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A shares and 9,999,122 class B shares outstanding in 2014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at cost: 2,616,657 class B shares in 2015 and 2,560,580 class B shares in 2014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9"/>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832,180</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2,870,490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2,694,262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RUSH ENTERPRISES, INC. AND SUBSIDIARIES CONSOLIDATED STATEMENTS OF INCOME AND COMPREHENSIVE INCOME </w:t>
      </w:r>
      <w:r>
        <w:rPr>
          <w:rFonts w:ascii="Times New Roman" w:cs="Times New Roman" w:eastAsia="Times New Roman" w:hAnsi="Times New Roman"/>
          <w:sz w:val="18"/>
          <w:szCs w:val="18"/>
          <w:b w:val="1"/>
          <w:bCs w:val="1"/>
          <w:color w:val="auto"/>
        </w:rPr>
        <w:t>(In Thousands, Except Per Share Amounts) (Unaudited)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truck sales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872,106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846,256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2,590,178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340,632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1,051,001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45,114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147,634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1,294,076</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1,241,022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3,817,914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truck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787,952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2,413,712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216,067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664,697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38,264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1,086,068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1,042,283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3,208,651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2,824,137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198,739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609,263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148,238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9,488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101,919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91,812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56,240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55,330</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41,091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56,395</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56,240</w:t>
            </w:r>
          </w:p>
        </w:tc>
        <w:tc>
          <w:tcPr>
            <w:tcW w:w="140" w:type="dxa"/>
            <w:vAlign w:val="bottom"/>
          </w:tcPr>
          <w:p>
            <w:pPr>
              <w:spacing w:after="0"/>
              <w:rPr>
                <w:sz w:val="18"/>
                <w:szCs w:val="18"/>
                <w:color w:val="auto"/>
              </w:rPr>
            </w:pPr>
          </w:p>
        </w:tc>
        <w:tc>
          <w:tcPr>
            <w:tcW w:w="5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and employee stock purchases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Excess tax expense (benefit) from stock-based compensation</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Acquired research and development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(Payments) draws on floor plan notes payable – trade, net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(250,211)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acquisitions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(65,116)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other assets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Draws on floor plan notes payable – non-trade, net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(111,821)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 stock purchases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benefits (expense) from stock-based compensation</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(126,545)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Income taxes, net of refunds</w:t>
            </w:r>
          </w:p>
        </w:tc>
        <w:tc>
          <w:tcPr>
            <w:tcW w:w="40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12,131</w:t>
            </w:r>
          </w:p>
        </w:tc>
        <w:tc>
          <w:tcPr>
            <w:tcW w:w="140" w:type="dxa"/>
            <w:vAlign w:val="bottom"/>
          </w:tcPr>
          <w:p>
            <w:pPr>
              <w:spacing w:after="0"/>
              <w:rPr>
                <w:sz w:val="17"/>
                <w:szCs w:val="17"/>
                <w:color w:val="auto"/>
              </w:rPr>
            </w:pPr>
          </w:p>
        </w:tc>
        <w:tc>
          <w:tcPr>
            <w:tcW w:w="580" w:type="dxa"/>
            <w:vAlign w:val="bottom"/>
            <w:gridSpan w:val="2"/>
          </w:tcPr>
          <w:p>
            <w:pPr>
              <w:jc w:val="right"/>
              <w:ind w:right="3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Noncash investing activities:</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issued related to business acquisition</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Borders>
              <w:bottom w:val="single" w:sz="8" w:color="CCEEFF"/>
            </w:tcBorders>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Assets acquired under capital leases</w:t>
            </w:r>
          </w:p>
        </w:tc>
        <w:tc>
          <w:tcPr>
            <w:tcW w:w="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31,317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8,795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our management, are necessary for a fair presentation of our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our Annual Report on Form 10-K for the year ended December 31, 2014. Results of operations for interim periods are not necessarily indicative of results that may be expected for any other interim periods or the full fiscal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Other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capitalized costs, including capitalized interest, of the SAP enterprise software and SAP dealership management system are recorded in Other Assets on the Consolidated Balance Sheets in the amount of $36.5 million at September 30, 2015 and $38.5 million at December 31, 2014. These capitalized costs are net of accumulated amortization of $12.6 million at September 30, 2015 and $10.3 million at December 31, 2014. The SAP software is being amortized over a period of 15 years. The Company completed the conversion of all of its Rush Truck Centers and leasing operations to the SAP enterprise software and SAP dealership management system in the third quarter of 2015.</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Amortization expense relating to the SAP software, which is recognized in depreciation and amortization expense in the Consolidated Statement of Income, was $0.8 million for the three months ended September 30, 2015 and the three months ended September 30, 2014, and $2.5 million for the nine months ended September 30, 2015 and $2.4 million for the nine months ended September 30, 2014. The Company estimates that amortization expense relating to the SAP software will be approximately $3.3 million for each of the next five succeeding years.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only significant identifiable intangible assets, other than goodwill, are rights under franchise agreements with manufacturers. The fair value of franchise rights is determined at the acquisition date by discounting the projected cash flows specific to each acquisition. The carrying value of our manufacturer franchise rights was $7.9 million at September 30, 2015 and $7.0 million at December 31, 2014,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geographic region, the Company has determined that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impairment write down was required in the fourth quarter of 2014. The Company cannot predict the occurrence of certain events that might adversely affect the reported value of manufacturer franchise rights in the future. However, no facts or circumstances were noted during the three months ended September 30, 2015 that would indicate impairment.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19,883</w:t>
            </w:r>
          </w:p>
        </w:tc>
        <w:tc>
          <w:tcPr>
            <w:tcW w:w="5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56,240</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40,361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40,008</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Effect of dilutive securities– Employee and director stock options and restricted</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awards</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12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41,091</w:t>
            </w:r>
          </w:p>
        </w:tc>
        <w:tc>
          <w:tcPr>
            <w:tcW w:w="200" w:type="dxa"/>
            <w:vAlign w:val="bottom"/>
            <w:vMerge w:val="restart"/>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color w:val="auto"/>
              </w:rPr>
              <w:t>outstanding and assumed conversions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500" w:type="dxa"/>
            <w:vAlign w:val="bottom"/>
            <w:gridSpan w:val="2"/>
          </w:tcPr>
          <w:p>
            <w:pPr>
              <w:jc w:val="right"/>
              <w:ind w:right="2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360" w:type="dxa"/>
            <w:vAlign w:val="bottom"/>
            <w:gridSpan w:val="2"/>
          </w:tcPr>
          <w:p>
            <w:pPr>
              <w:jc w:val="right"/>
              <w:ind w:right="7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and nine months ended September 30, 2015 and 2014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2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color w:val="auto"/>
                <w:w w:val="98"/>
              </w:rPr>
              <w:t>September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2014</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options</w:t>
            </w: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1,328</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1,139</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restricted stock unit awards and employee stock purchases related to the Employee Stock Purchase Plan based on estimated fair values. Stock-based compensation expense, calculated using the Black-Scholes option-pricing model and included in selling, general and administrative expense, was $2.7 million for the three months ended September 30, 2015, and $2.0 million for the three months ended September 30, 2014. Stock-based compensation expense, included in selling, general and administrative expense, for the nine months ended September 30, 2015, was $9.9 million and for the nine months ended September 30, 2014, was $9.1 million. As of September 30, 2015, there was $18.8 million of total unrecognized compensation expense related to non-vested, share-based compensation arrangements to be recognized over a weighted-average period of 2.7 years.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 Financial Instruments and Fair Value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our financial instruments approximate fair value due to either their short-term nature or the existence of variable interest rates, which approximate market rates. Certain methods and assumptions were used by the Company in estimating the fair value of financial instruments at September 30, 2015, and December 31, 2014. The carrying value of current assets and current liabilities approximates the fair value due to the short maturity of these items.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our current credit standing and has categorized such debt within Level 2 of the hierarchy framework. The carrying amount approximates fair value.</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Auction Rate Securities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holds auction rate securities with underlying tax-exempt municipal bonds that mature in 2030 and have a fair value of $6.6 million and a cost basis of $7.2 million as of September 30, 2015, and a fair value of $6.9 million and a cost basis of $7.4 million as of December 31, 2014. The Company redeemed $275,000 of the auction rate securities, at par, during the second quarter of 2015. These bonds have credit wrap insurance and a credit rating of A by a major credit rating agency.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valued the auction rate securities at September 30, 2015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480"/>
          </w:cols>
          <w:pgMar w:left="240" w:top="111" w:right="179" w:bottom="1076" w:gutter="0" w:footer="0" w:header="0"/>
        </w:sectPr>
      </w:pPr>
    </w:p>
    <w:p>
      <w:pPr>
        <w:spacing w:after="0" w:line="1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At September 30, 2015</w:t>
      </w:r>
    </w:p>
    <w:p>
      <w:pPr>
        <w:spacing w:after="0" w:line="31" w:lineRule="exact"/>
        <w:rPr>
          <w:sz w:val="20"/>
          <w:szCs w:val="20"/>
          <w:color w:val="auto"/>
        </w:rPr>
      </w:pPr>
    </w:p>
    <w:tbl>
      <w:tblPr>
        <w:tblLayout w:type="fixed"/>
        <w:tblInd w:w="3740" w:type="dxa"/>
        <w:tblCellMar>
          <w:top w:w="0" w:type="dxa"/>
          <w:left w:w="0" w:type="dxa"/>
          <w:bottom w:w="0" w:type="dxa"/>
          <w:right w:w="0" w:type="dxa"/>
        </w:tblCellMar>
      </w:tblPr>
      <w:tr>
        <w:trPr>
          <w:trHeight w:val="187"/>
        </w:trPr>
        <w:tc>
          <w:tcPr>
            <w:tcW w:w="118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Borders>
              <w:top w:val="single" w:sz="8" w:color="auto"/>
            </w:tcBorders>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38"/>
        </w:trPr>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At December 31, 2014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1</w:t>
            </w:r>
          </w:p>
        </w:tc>
        <w:tc>
          <w:tcPr>
            <w:tcW w:w="1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Borders>
              <w:top w:val="single" w:sz="8" w:color="auto"/>
            </w:tcBorders>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bl>
    <w:p>
      <w:pPr>
        <w:spacing w:after="0" w:line="20" w:lineRule="exact"/>
        <w:rPr>
          <w:sz w:val="20"/>
          <w:szCs w:val="20"/>
          <w:color w:val="auto"/>
        </w:rPr>
      </w:pPr>
    </w:p>
    <w:p>
      <w:pPr>
        <w:sectPr>
          <w:pgSz w:w="11900" w:h="16838" w:orient="portrait"/>
          <w:cols w:equalWidth="0" w:num="2">
            <w:col w:w="7400" w:space="220"/>
            <w:col w:w="3860"/>
          </w:cols>
          <w:pgMar w:left="240" w:top="111" w:right="179" w:bottom="1076"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3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Investment in auction rate securities</w:t>
            </w:r>
          </w:p>
        </w:tc>
        <w:tc>
          <w:tcPr>
            <w:tcW w:w="500" w:type="dxa"/>
            <w:vAlign w:val="bottom"/>
            <w:shd w:val="clear" w:color="auto" w:fill="CCEEFF"/>
          </w:tcPr>
          <w:p>
            <w:pPr>
              <w:jc w:val="right"/>
              <w:ind w:right="33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6,650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76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6,905</w:t>
            </w:r>
          </w:p>
        </w:tc>
      </w:tr>
      <w:tr>
        <w:trPr>
          <w:trHeight w:val="626"/>
        </w:trPr>
        <w:tc>
          <w:tcPr>
            <w:tcW w:w="3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Loss In</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Cost Basis</w:t>
            </w: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30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7,150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6,650</w:t>
            </w:r>
          </w:p>
        </w:tc>
      </w:tr>
      <w:tr>
        <w:trPr>
          <w:trHeight w:val="210"/>
        </w:trPr>
        <w:tc>
          <w:tcPr>
            <w:tcW w:w="3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7,425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6,905</w:t>
            </w:r>
          </w:p>
        </w:tc>
      </w:tr>
      <w:tr>
        <w:trPr>
          <w:trHeight w:val="20"/>
        </w:trPr>
        <w:tc>
          <w:tcPr>
            <w:tcW w:w="31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January 2012, the Company entered into swap agreements to hedge against the potential impact of increases in interest rates on its floating-rate debt instruments. At September 30, 2015, the Company did not have any interest rate swap contracts. Swap agreements that hedge exposures to changes in interest rates exposed the Company to credit risk and market risk.</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swap contracts were designated as cash flow hedges, to pay fixed rates of interest and receive a floating interest rate based on LIBOR. The fixed interest rates specified in the interest rate swap contracts became effective on or about January 1, 2012. The Company’s interest rate swaps qualified for cash flow hedge accounting treatment. Unrealized gains or losses were recorded in Accumulated Other Comprehensive Income (Loss) on the Consolidated Balance Sheets. Amounts received or paid under the contracts were recognized as interest expense over the life of the contracts.</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cash flow hedges was calculated as the present value of expected future cash flows, determined on the basis of forward interest rates and present value factors. As such, the carrying amounts for these swaps were designated to be Level 2 fair values. The carrying value of these swaps is included in Other Long-Term Liabilities on the accompanying Consolidated Balance Sheet as of December 31, 2014.</w:t>
      </w:r>
    </w:p>
    <w:p>
      <w:pPr>
        <w:spacing w:after="0" w:line="230"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Derivative instruments are on the accompanying Consolidated Balance Sheet and Consolidated Statements of Income and Comprehensive Income as follows (in thousands):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r>
      <w:tr>
        <w:trPr>
          <w:trHeight w:val="238"/>
        </w:trPr>
        <w:tc>
          <w:tcPr>
            <w:tcW w:w="80" w:type="dxa"/>
            <w:vAlign w:val="bottom"/>
          </w:tcPr>
          <w:p>
            <w:pPr>
              <w:spacing w:after="0"/>
              <w:rPr>
                <w:sz w:val="20"/>
                <w:szCs w:val="20"/>
                <w:color w:val="auto"/>
              </w:rPr>
            </w:pPr>
          </w:p>
        </w:tc>
        <w:tc>
          <w:tcPr>
            <w:tcW w:w="4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 Designated as Hedging Instruments</w:t>
            </w: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center"/>
              <w:ind w:left="71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8"/>
                <w:szCs w:val="18"/>
                <w:color w:val="auto"/>
              </w:rPr>
            </w:pPr>
          </w:p>
        </w:tc>
      </w:tr>
      <w:tr>
        <w:trPr>
          <w:trHeight w:val="626"/>
        </w:trPr>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Loss Reclassified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from Accumulated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OCI on Derivatives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Location of Loss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2140" w:type="dxa"/>
            <w:vAlign w:val="bottom"/>
          </w:tcPr>
          <w:p>
            <w:pPr>
              <w:jc w:val="center"/>
              <w:ind w:left="390"/>
              <w:spacing w:after="0" w:line="188" w:lineRule="exact"/>
              <w:rPr>
                <w:sz w:val="20"/>
                <w:szCs w:val="20"/>
                <w:color w:val="auto"/>
              </w:rPr>
            </w:pPr>
            <w:r>
              <w:rPr>
                <w:rFonts w:ascii="Times New Roman" w:cs="Times New Roman" w:eastAsia="Times New Roman" w:hAnsi="Times New Roman"/>
                <w:sz w:val="18"/>
                <w:szCs w:val="18"/>
                <w:b w:val="1"/>
                <w:bCs w:val="1"/>
                <w:color w:val="auto"/>
              </w:rPr>
              <w:t>Reclassified into</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410"/>
        </w:trPr>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Loss Reclassified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from Accumulated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OCI on Derivatives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Location of Loss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2140" w:type="dxa"/>
            <w:vAlign w:val="bottom"/>
          </w:tcPr>
          <w:p>
            <w:pPr>
              <w:jc w:val="center"/>
              <w:ind w:left="390"/>
              <w:spacing w:after="0" w:line="188" w:lineRule="exact"/>
              <w:rPr>
                <w:sz w:val="20"/>
                <w:szCs w:val="20"/>
                <w:color w:val="auto"/>
              </w:rPr>
            </w:pPr>
            <w:r>
              <w:rPr>
                <w:rFonts w:ascii="Times New Roman" w:cs="Times New Roman" w:eastAsia="Times New Roman" w:hAnsi="Times New Roman"/>
                <w:sz w:val="18"/>
                <w:szCs w:val="18"/>
                <w:b w:val="1"/>
                <w:bCs w:val="1"/>
                <w:color w:val="auto"/>
              </w:rPr>
              <w:t>Reclassified into</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gridSpan w:val="2"/>
          </w:tcPr>
          <w:p>
            <w:pPr>
              <w:spacing w:after="0"/>
              <w:rPr>
                <w:sz w:val="16"/>
                <w:szCs w:val="16"/>
                <w:color w:val="auto"/>
              </w:rPr>
            </w:pPr>
          </w:p>
        </w:tc>
      </w:tr>
      <w:tr>
        <w:trPr>
          <w:trHeight w:val="238"/>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(166)</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80"/>
          </w:cols>
          <w:pgMar w:left="240" w:top="111" w:right="179" w:bottom="1076" w:gutter="0" w:footer="0" w:header="0"/>
          <w:type w:val="continuous"/>
        </w:sect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111" w:right="179" w:bottom="1076" w:gutter="0" w:footer="0" w:header="0"/>
          <w:type w:val="continuous"/>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 Segment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Our chief operating decision maker considers the entire Truck Segment, not individual dealerships, when making decisions about resources to be allocated to the segment and assessing its performance.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 segment income or loss from continuing operations and segment assets for the periods ended September 30, 2015, and 2014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Truck</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Segment</w:t>
            </w:r>
          </w:p>
        </w:tc>
        <w:tc>
          <w:tcPr>
            <w:tcW w:w="2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Totals</w:t>
            </w:r>
          </w:p>
        </w:tc>
      </w:tr>
      <w:tr>
        <w:trPr>
          <w:trHeight w:val="210"/>
        </w:trPr>
        <w:tc>
          <w:tcPr>
            <w:tcW w:w="5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September 30, 2015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1,289,929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1,294,076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33,069</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32,462</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2,837,256</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33,234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2,870,490</w:t>
            </w:r>
          </w:p>
        </w:tc>
      </w:tr>
      <w:tr>
        <w:trPr>
          <w:trHeight w:val="216"/>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2015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3,806,276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11,638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3,817,914</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92,981</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91,812</w:t>
            </w:r>
          </w:p>
        </w:tc>
      </w:tr>
      <w:tr>
        <w:trPr>
          <w:trHeight w:val="216"/>
        </w:trPr>
        <w:tc>
          <w:tcPr>
            <w:tcW w:w="5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September 30, 2014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1,236,101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4,921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1,241,022</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38,366</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38,329</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2,426,368</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30,244</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2,456,612</w:t>
            </w:r>
          </w:p>
        </w:tc>
      </w:tr>
      <w:tr>
        <w:trPr>
          <w:trHeight w:val="216"/>
        </w:trPr>
        <w:tc>
          <w:tcPr>
            <w:tcW w:w="5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2014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3,368,037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14,113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3,382,150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90,459</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90,333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$1.5 million as a component of accrued liabilities at September 30, 2015 and December 31, 2014, the total of which, if recognized, would impact its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$98,500 accrued for the payment of interest at September 30, 2015 and December 31, 2014.</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September 30, 2015, the tax years ended December 31, 2011 through 2014 remained subject to audit by federal tax authorities and the tax years ended December 31, 2010 through 2014 remained subject to audit by state tax authorities.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loss, net of tax,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040" w:type="dxa"/>
            <w:vAlign w:val="bottom"/>
            <w:tcBorders>
              <w:bottom w:val="single" w:sz="8" w:color="auto"/>
            </w:tcBorders>
            <w:gridSpan w:val="7"/>
          </w:tcPr>
          <w:p>
            <w:pPr>
              <w:jc w:val="center"/>
              <w:ind w:left="872"/>
              <w:spacing w:after="0"/>
              <w:rPr>
                <w:sz w:val="20"/>
                <w:szCs w:val="20"/>
                <w:color w:val="auto"/>
              </w:rPr>
            </w:pPr>
            <w:r>
              <w:rPr>
                <w:rFonts w:ascii="Times New Roman" w:cs="Times New Roman" w:eastAsia="Times New Roman" w:hAnsi="Times New Roman"/>
                <w:sz w:val="18"/>
                <w:szCs w:val="18"/>
                <w:color w:val="auto"/>
                <w:w w:val="99"/>
              </w:rPr>
              <w:t>Three Months Ended September 30, 2015</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7"/>
              </w:rPr>
              <w:t>Available</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rPr>
              <w:t>Cash Flow</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2015</w:t>
            </w:r>
          </w:p>
        </w:tc>
        <w:tc>
          <w:tcPr>
            <w:tcW w:w="1200" w:type="dxa"/>
            <w:vAlign w:val="bottom"/>
            <w:tcBorders>
              <w:top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1200" w:type="dxa"/>
            <w:vAlign w:val="bottom"/>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40" w:type="dxa"/>
            <w:vAlign w:val="bottom"/>
            <w:tcBorders>
              <w:bottom w:val="single" w:sz="8" w:color="auto"/>
            </w:tcBorders>
            <w:gridSpan w:val="7"/>
          </w:tcPr>
          <w:p>
            <w:pPr>
              <w:jc w:val="center"/>
              <w:ind w:left="872"/>
              <w:spacing w:after="0"/>
              <w:rPr>
                <w:sz w:val="20"/>
                <w:szCs w:val="20"/>
                <w:color w:val="auto"/>
              </w:rPr>
            </w:pPr>
            <w:r>
              <w:rPr>
                <w:rFonts w:ascii="Times New Roman" w:cs="Times New Roman" w:eastAsia="Times New Roman" w:hAnsi="Times New Roman"/>
                <w:sz w:val="18"/>
                <w:szCs w:val="18"/>
                <w:color w:val="auto"/>
                <w:w w:val="99"/>
              </w:rPr>
              <w:t>Three Months Ended September 30, 2014</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7"/>
              </w:rPr>
              <w:t>Available</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rPr>
              <w:t>Cash Flow</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2014</w:t>
            </w:r>
          </w:p>
        </w:tc>
        <w:tc>
          <w:tcPr>
            <w:tcW w:w="1200" w:type="dxa"/>
            <w:vAlign w:val="bottom"/>
            <w:tcBorders>
              <w:top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(398)</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1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1200" w:type="dxa"/>
            <w:vAlign w:val="bottom"/>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40" w:type="dxa"/>
            <w:vAlign w:val="bottom"/>
            <w:tcBorders>
              <w:bottom w:val="single" w:sz="8" w:color="auto"/>
            </w:tcBorders>
            <w:gridSpan w:val="7"/>
          </w:tcPr>
          <w:p>
            <w:pPr>
              <w:jc w:val="center"/>
              <w:ind w:left="892"/>
              <w:spacing w:after="0"/>
              <w:rPr>
                <w:sz w:val="20"/>
                <w:szCs w:val="20"/>
                <w:color w:val="auto"/>
              </w:rPr>
            </w:pPr>
            <w:r>
              <w:rPr>
                <w:rFonts w:ascii="Times New Roman" w:cs="Times New Roman" w:eastAsia="Times New Roman" w:hAnsi="Times New Roman"/>
                <w:sz w:val="18"/>
                <w:szCs w:val="18"/>
                <w:color w:val="auto"/>
                <w:w w:val="99"/>
              </w:rPr>
              <w:t>Nine Months Ended September 30, 2015</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7"/>
              </w:rPr>
              <w:t>Available</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rPr>
              <w:t>Cash Flow</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200" w:type="dxa"/>
            <w:vAlign w:val="bottom"/>
            <w:tcBorders>
              <w:top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(143)</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1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1200" w:type="dxa"/>
            <w:vAlign w:val="bottom"/>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40" w:type="dxa"/>
            <w:vAlign w:val="bottom"/>
            <w:tcBorders>
              <w:bottom w:val="single" w:sz="8" w:color="auto"/>
            </w:tcBorders>
            <w:gridSpan w:val="7"/>
          </w:tcPr>
          <w:p>
            <w:pPr>
              <w:jc w:val="center"/>
              <w:ind w:left="892"/>
              <w:spacing w:after="0"/>
              <w:rPr>
                <w:sz w:val="20"/>
                <w:szCs w:val="20"/>
                <w:color w:val="auto"/>
              </w:rPr>
            </w:pPr>
            <w:r>
              <w:rPr>
                <w:rFonts w:ascii="Times New Roman" w:cs="Times New Roman" w:eastAsia="Times New Roman" w:hAnsi="Times New Roman"/>
                <w:sz w:val="18"/>
                <w:szCs w:val="18"/>
                <w:color w:val="auto"/>
                <w:w w:val="99"/>
              </w:rPr>
              <w:t>Nine Months Ended September 30, 2014</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7"/>
              </w:rPr>
              <w:t>Available</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rPr>
              <w:t>Cash Flow</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Securities</w:t>
            </w:r>
          </w:p>
        </w:tc>
        <w:tc>
          <w:tcPr>
            <w:tcW w:w="560" w:type="dxa"/>
            <w:vAlign w:val="bottom"/>
          </w:tcPr>
          <w:p>
            <w:pPr>
              <w:spacing w:after="0"/>
              <w:rPr>
                <w:sz w:val="20"/>
                <w:szCs w:val="20"/>
                <w:color w:val="auto"/>
              </w:rPr>
            </w:pPr>
          </w:p>
        </w:tc>
        <w:tc>
          <w:tcPr>
            <w:tcW w:w="1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200" w:type="dxa"/>
            <w:vAlign w:val="bottom"/>
            <w:tcBorders>
              <w:top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(624)</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1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2014</w:t>
            </w:r>
          </w:p>
        </w:tc>
        <w:tc>
          <w:tcPr>
            <w:tcW w:w="1200" w:type="dxa"/>
            <w:vAlign w:val="bottom"/>
          </w:tcPr>
          <w:p>
            <w:pPr>
              <w:jc w:val="right"/>
              <w:ind w:right="103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0"/>
                <w:szCs w:val="20"/>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22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220" w:type="dxa"/>
            <w:vAlign w:val="bottom"/>
            <w:tcBorders>
              <w:top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cash flow swaps to:</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78"/>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18"/>
                <w:szCs w:val="18"/>
                <w:color w:val="auto"/>
              </w:rPr>
            </w:pPr>
          </w:p>
        </w:tc>
      </w:tr>
      <w:tr>
        <w:trPr>
          <w:trHeight w:val="669"/>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Acquisitions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value of certain assets and liabilities acquired in 2015 are preliminary in nature, they are subject to adjustment as additional information is obtained about the facts and circumstances that existed at the acquisition date. The property and equipment, inventory and valuation of intangibles is subject to change during the purchase price allocation period.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28, 2015, in connection with the divestiture of the Company’s Peterbilt dealership in Charlotte, North Carolina, the Company acquired certain assets of Peterbilt of Las Vegas, Inc., which operated a commercial vehicle dealership in Las Vegas, Nevada. This location is operating as a Rush Truck Center and is a full-service Peterbilt dealership. The acquisition also included a PacLease commercial vehicle rental and leasing business. The dealership swap was a like-kind exchange for tax purposes and enabled the Company to be consistent with its strategy of not having dealerships representing multiple Class 8 manufacturers in the same market as the Company continues to operate a facility representing International, Hino and Isuzu trucks in Charlotte. The sale price for the assets in Charlotte, North Carolina was approximately $6.4 million, which was offset by floor plan and accounts payable of $5.9 million.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for the assets in Las Vegas, Nevada was approximately $3.4 million, which was paid in cash. The operations of Peterbilt of Las Vegas, Inc. are included in the accompanying consolidated financial statements from the date of the acquisition. The preliminary purchase price was allocated based on the fair values of the assets at the date of acquisition as follows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capital lease assets</w:t>
            </w:r>
          </w:p>
        </w:tc>
        <w:tc>
          <w:tcPr>
            <w:tcW w:w="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(16,925)</w:t>
            </w: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27, 2015, the Company acquired certain assets of Dallas Truck Center, Inc., which included real estate and used truck inventory, in Dallas, Texas. The transaction was valued at approximately $3.3 million, with the purchase price paid in cash.</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New Accounting Pronouncements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No. 2014-09, “Revenue from Contracts with Customers (Topic 606)” (ASU 2014-09), which replaces existing revenue recognition rules with a comprehensive revenue measurement and recognition standard and expanded disclosure requirements. ASU 2014-09 becomes effective for annual reporting periods beginning after December 15, 2017, following the July 2015 approval of a one-year deferral of the effective date by the FASB. We continue to evaluate the impact of the new standard and available adoption methods.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2015, the FASB issued ASU No 2015-16, “Business Combinations—Simplifying the Accounting for Measurement-Period Adjustments” (ASU 2015-16), which will result in the recognition, in current-period earnings, of any changes in provisional amounts during the measurement period after the closing of an acquisition, eliminating the requirement to retroactively account for these changes. ASU 2015-16 becomes effective January 1, 2016, subject to early adoption, and will require prospective application to adjustments to provisional amounts that occur after the effective date of ASU 2015-16. We are evaluating the impact of the new standard on our operating results.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2014,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204" w:lineRule="exact"/>
        <w:rPr>
          <w:sz w:val="20"/>
          <w:szCs w:val="20"/>
          <w:color w:val="auto"/>
        </w:rPr>
      </w:pPr>
    </w:p>
    <w:p>
      <w:pPr>
        <w:jc w:val="both"/>
        <w:ind w:firstLine="648"/>
        <w:spacing w:after="0" w:line="183" w:lineRule="auto"/>
        <w:rPr>
          <w:sz w:val="20"/>
          <w:szCs w:val="20"/>
          <w:color w:val="auto"/>
        </w:rPr>
      </w:pPr>
      <w:r>
        <w:rPr>
          <w:rFonts w:ascii="Times New Roman" w:cs="Times New Roman" w:eastAsia="Times New Roman" w:hAnsi="Times New Roman"/>
          <w:sz w:val="17"/>
          <w:szCs w:val="17"/>
          <w:i w:val="1"/>
          <w:iCs w:val="1"/>
          <w:color w:val="auto"/>
        </w:rPr>
        <w:t>Peterbilt</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Peterbilt Motors Company. PACCAR</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PACCAR, Inc. PacLease</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PACCAR Leasing Corporation. Navistar</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Navistar International Corporation. International</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Blue Bird Investment Corporation. IC Bus</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IC Bus, LLC. Fuso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Mitsubishi Fuso Truck and Bus Corporation. Hino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Hino Motors, Ltd. Isuzu</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Isuzu Motors Limited. Ford Motor Credit Company</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Ford Motor Company. Ford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Ford Motor Company. SAP</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References herein to “the Company,” “Rush Enterprises,” “Rush,” “we,” “our” or “us” mean Rush Enterprises, Inc. and its subsidiaries unless the context requires otherwise. Our principal offices are located at 555 IH 35 South, Suite 500, New Braunfels, Texas 78130.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Since commencing operations as a Peterbilt heavy-duty truck dealer in 1966, we have grown to operate 121 Rush Truck Centers in 21 states.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CNG fuel systems and vehicle telematics products.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offerings.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which is the same as the segment, to the respective carrying value. We consider our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was tested for impairment during the fourth quarter of 2014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requiring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it considers appropriate, as well as related interest.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2012 until 2015, we utilized derivative financial instruments to manage our interest rate risk relating to the variability of cash flows and changes in the fair value of our financial instruments caused by movements in interest rates. We assessed hedge effectiveness at the inception and during the term of each hedge. Derivatives are reported at fair value on the accompanying Consolidated Balance Sheets.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portion of the gain or loss on our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interest rate swaps became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and nine months ended September 30, 2015 and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36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certain financial data as a percentage of total revenues: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0"/>
        </w:trPr>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4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836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4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18"/>
                <w:szCs w:val="18"/>
                <w:color w:val="auto"/>
              </w:rPr>
            </w:pPr>
          </w:p>
        </w:tc>
      </w:tr>
      <w:tr>
        <w:trPr>
          <w:trHeight w:val="669"/>
        </w:trPr>
        <w:tc>
          <w:tcPr>
            <w:tcW w:w="300" w:type="dxa"/>
            <w:vAlign w:val="bottom"/>
          </w:tcPr>
          <w:p>
            <w:pPr>
              <w:spacing w:after="0"/>
              <w:rPr>
                <w:sz w:val="24"/>
                <w:szCs w:val="24"/>
                <w:color w:val="auto"/>
              </w:rPr>
            </w:pPr>
          </w:p>
        </w:tc>
        <w:tc>
          <w:tcPr>
            <w:tcW w:w="51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5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(revenue in millions):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4,384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13,188</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8,477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62"/>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vMerge w:val="restart"/>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6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1,352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320" w:type="dxa"/>
            <w:vAlign w:val="bottom"/>
          </w:tcPr>
          <w:p>
            <w:pPr>
              <w:jc w:val="right"/>
              <w:ind w:right="74"/>
              <w:spacing w:after="0" w:line="68" w:lineRule="exact"/>
              <w:rPr>
                <w:sz w:val="20"/>
                <w:szCs w:val="20"/>
                <w:color w:val="auto"/>
              </w:rPr>
            </w:pPr>
            <w:r>
              <w:rPr>
                <w:rFonts w:ascii="Times New Roman" w:cs="Times New Roman" w:eastAsia="Times New Roman" w:hAnsi="Times New Roman"/>
                <w:sz w:val="7"/>
                <w:szCs w:val="7"/>
                <w:color w:val="auto"/>
              </w:rPr>
              <w:t>-17.2</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Other vehicle revenue:</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Absorption rate: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commercial vehicle dealerships achieved a 116.2% absorption ratio for the third quarter of 2015 compared to a 120.2% absorption ratio for the third quarter of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2015 Compared to Three Months Ended September 30, 2014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we were able to partially offset the continued decrease in energy sector activity through strong Class 4 through 7 vehicle sales, incremental large fleet business and revenues from Aftermarket Services being provided in regions of the country that are not dependent on the energy sector. Our Aftermarket Services revenues increased 5.9% compared to the third quarter of 2014. Acquisitions and continued demand for repair and maintenance of vehicles in operation, with particular strength on the East and West coasts, were the primary drivers of Aftermarket Services revenues this quarter.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28, 2015, in connection with the divestiture of our Peterbilt dealership in Charlotte, North Carolina, we acquired certain assets of Peterbilt of Las Vegas, Inc., which operated a commercial vehicle dealership in Las Vegas, Nevada. The Las Vegas location is now operating as a Rush Truck Center and is a full-service Peterbilt dealership. The acquisition also included a PacLease commercial vehicle rental and leasing business. The dealership swap was a like-kind exchange for tax purposes and enabled us to be consistent with our strategy of not having dealerships representing multiple Class 8 manufacturers in the same market. We continue to operate a facility representing International, Hino and Isuzu trucks in Charlotte. The sale price for the assets in Charlotte was approximately $6.4 million, which was offset by floor plan and accounts payable of $5.9 million. The purchase price for the assets in Las Vegas was approximately $3.4 million, which was paid in cash.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increased $53.1 million, or 4.3%, in the third quarter of 2015, compared to the third quarter of 2014. This increase was primarily the result of acquisitions since the first half of 2014.</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Aftermarket Services revenues increased $20.1 million, or 5.9%, in the third quarter of 2015, compared to the third quarter of 2014. This increase was the result of acquisitions since the first half of 2014 and continued strong demand for repair and maintenance of vehicles. While we expect our Aftermarket Services revenues to increase during 2015 compared to 2014, Aftermarket Services are being negatively impacted by the decrease in activity in the energy sector.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sales of new and used commercial vehicles increased $25.9 million, or 3.1%, in the third quarter of 2015 compared to the third quarter of 2014.</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sold 4,412 heavy-duty trucks in the third quarter of 2015, a 0.6% increase compared to 4,384 heavy-duty trucks sold in the third quarter of 2014. According to A.C.T. Research Co., LLC (“A.C.T. Research”), a truck industry data and forecasting service provider, the U.S. Class 8 truck market increased 13.0% in the third quarter of 2015, compared to the third quarter of 2014. A.C.T. Research currently predicts U.S. retail sales of Class 8 trucks of approximately 269,000 units in 2015, 248,000 units in 2016, and 196,000 units in 2017, compared to approximately 224,000 units in 2014. Our share of the U.S. Class 8 truck sales market was approximately 7.1% in 2014. We expect our market share to range between 6.3% and 6.8% of the U.S. Class 8 truck sales in 2015. This market share percentage would result in the sale of approximately 16,900 to 18,200 of Class 8 trucks in 2015 based on A.C.T. Research’s current U.S. retail sales estimate of 269,000 units.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sold 2,889 medium-duty commercial vehicles, including 471 buses, in the third quarter of 2015, an 11.7% increase compared to 2,587 medium-duty commercial vehicles, including 435 buses, in 2014. A.C.T. Research estimates that unit sales of Class 4 through 7 commercial vehicles in the U.S. increased approximately 5.0% in the third quarter of 2015, compared to the third quarter of 2014. A.C.T. Research currently predicts U.S. retail sales of Class 4 through 7 medium-duty commercial vehicles of approximately 206,000 units in 2015, 213,000 units in 2016, and 226,000 in 2017. In 2014, we achieved a 4.9% share of the Class 4 through 7 commercial vehicle sales market in the U.S. We expect our market share to range between 5.2% and 5.6% of the U.S. Class 4 through 7 commercial vehicle sales in 2015. This market share percentage would result in the sale of approximately 10,700 to 11,500 of Class 4 through 7 commercial vehicles in 2015 based on A.C.T. Research’s current U.S. retail sales estimates of 206,000 units.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312 light-duty vehicles in the third quarter of 2015, a 17.2% decrease compared to 377 light-duty vehicles sold in the third quarter of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sell approximately 1,400 to 1,700 light-duty vehicles in 2015.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2,169 used commercial vehicles in the third quarter of 2015, a 10.9% increase compared to 1,956 used commercial vehicles in the third quarter of 2014. We expect to sell approximately 8,000 to 8,500 used commercial vehicles in 2015. The volume of used commercial vehicle sales will largely depend on our ability to acquire quality used commercial vehicles and maintain an adequate used commercial vehicle inventory throughout 2015.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Truck lease and rental revenues increased $5.4 million, or 12.0%, in the third quarter of 2015, compared to the third quarter of 2014. The increase in lease and rental revenues is primarily due to the increased number of units put into service in the lease and rental fleet during 2014 and the first quarter of 2015. We expect lease and rental revenue to increase 13% to 14% during 2015, compared to 2014, due to the increased number of units in the lease and rental fleet.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Finance and insurance revenues increased $0.9 million, or 17.9%, in the third quarter of 2015, compared to the third quarter of 2014. We expect finance and insurance revenues to fluctuate proportionately with our new and used commercial vehicle sales in 2015. Finance and insurance revenues have limited direct costs and, therefore, contribute a disproportionate share of our operating profits.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increased $9.3 million, or 4.7%, in the third quarter of 2015, compared to the third quarter of 2014. Gross profit as a percentage of sales increased to 16.1% in the third quarter of 2015, from 16.0% in the third quarter of 2014. Commercial vehicle sales, a lower margin revenue item, decreased as a percentage of total revenues to 67.4% in the third quarter of 2015, from 68.2% in the third quarter of 2014. Aftermarket Services revenues, a higher margin revenue item, increased as a percentage of total revenues to 27.9% in the third quarter of 2015, from 27.4% in the third quarter of 2014.</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Gross margins from our Aftermarket Services operations increased to 36.9% in the third quarter of 2015, from 36.6% in the third quarter of 2014. Gross profit for the Aftermarket Services departments increased to $132.9 million in the third quarter of 2015, from $124.6 million in the third quarter of 2014. This increase was the result of acquisitions since the first half of 2014 and continued strong demand for repair and maintenance of vehicles. Historically, parts operations gross margins range from 27% to 28% and service and body shop operations range from 62% to 65%. Gross profits from parts sales represented 55% of total gross profit for Aftermarket Services operations in both the third quarter of 2015 and 2014. Service and body shop operations represented 45% of total gross profit for Aftermarket Services operations in both the third quarter of 2015 and 2014. We expect blended gross margins on Aftermarket Services operations to range from 36.5% to 37.0% in 2015.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Class 8 truck sales decreased to 6.4% in the third quarter of 2015, from 6.9% in the third quarter of 2014. This decrease is attributable to the sales mix in the third quarter of 2015, which consisted of more sales to over-the-road fleet customers. In 2015, we expect overall gross margins from Class 8 truck sales of approximately 6.2% to 6.6%.</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margins on medium-duty commercial vehicle sales increased to 6.2% in the third quarter of 2015, from 5.8% in the third quarter of 2014. For 2015, we expect overall gross margins from medium-duty commercial vehicle sales of approximately 5.5% to 6.0%, but this will largely depend upon the mix of purchasers and types of vehicles sold.</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10.4% in the third quarter of 2015, from 10.3% in the third quarter of 2014. We expect margins on used commercial vehicles to range between 9.5% and 11.0% during 2015 depending upon general economic conditions and the availability of quality used vehicles.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margins from truck lease and rental sales decreased to 10.7% in the third quarter of 2015, from 15.2% in the third quarter of 2014. This decrease is primarily related to the decrease in activity in the energy sector. We expect gross margins from lease and rental sales of approximately 11.0% to 12.0% during 2015, as we expect to continue to expand our lease and rental fleet. Our policy is to depreciate our lease and rental fleet using a straight line method over each customer’s contractual lease term. The lease unit is depreciated to a residual value that approximates fair value at the expiration of the lease term. This policy results in reasonable gross margins while the unit is in service and a corresponding gain or loss on sale when the unit is sold at the end of the lease term.</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$12.5 million, or 8.5%, in the third quarter of 2015, compared to the third quarter of 2014. SG&amp;A expenses as a percentage of total revenues increased to 12.4% in the third quarter of 2015, from 11.9% in the third quarter of 2014. SG&amp;A expenses as a percentage of total revenues have historically ranged from 10.0% to 15.0%. In general, when new and used commercial vehicle revenues decrease as a percentage of total revenues, SG&amp;A expenses as a percentage of total revenues will be at, or exceed, the higher end of this range. For 2015, we expect SG&amp;A expenses as a percentage of total revenues to range from 12.0% to 12.5% and the selling portion of SG&amp;A expenses to be approximately 25.0% to 30.0% of new and used commercial vehicle gross profit. In 2015, we expect the general and administrative portion of SG&amp;A expenses to increase by approximately 8.0% to 11.0%, compared to 2014.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$1.7 million, or 18.3%, in the third quarter of 2015, compared to the third quarter of 2014. This increase is primarily due to the construction of new dealerships, dealership expansions and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interest expense increased $0.9 million, or 32.7%, in the third quarter of 2015 compared to the third quarter of 2014. Net interest expense in 2015 will depend on inventory levels and the amount of cash available to make prepayments on our floor plan financing agreement with General Electric Capital Commercial, Inc. (the “GE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decreased $5.9 million, or 15.3%, in the third quarter of 2015, compared to the third quarter of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taxes decreased $2.3 million, or 15.3%, in the third quarter of 2015, compared to the third quarter of 2014. We provided for taxes at a 38.75% effective rate in the third quarter of 2015 and the third quarter of 2014. We expect our effective tax rate to be approximately 38.0% to 39.0% of pretax income in 2015.</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2015 Compared to Nine Months Ended September 30, 2014</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below, our variance explanations and future expectations with regard to the items discussed in this section are set forth in the discussion of the “Three Months Ended September 30, 2015, Compared to Three Months Ended September 30,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increased $435.8 million, or 12.9%, in the first nine months of 2015, compared to the first nine months of 2014.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Aftermarket Services sales increased $70.4 million, or 7.2%, in the first nine months of 2015, compared to the first nine months of 2014.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sales of new and used commercial vehicles increased $345.7 million, or 15.4%, in the first nine months of 2015, compared to the first nine months of 2014.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13,188 heavy-duty trucks in the first nine months of 2015, a 23.1% increase compared to 10,714 heavy-duty trucks in the first nine months of 2014. According to A.C.T. Research, the U.S. Class 8 truck market increased 20% in the first nine months of 2015, compared to the first nine months of 2014.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8,477 medium-duty commercial vehicles, including 923 buses, in the first nine months of 2015, a 12.6% increase compared to 7,529 medium-duty commercial vehicles, including 1,242 buses, in the first nine months of 2014. A.C.T. Research estimates that unit sales of Class 4 through 7 commercial vehicles, including buses, in the U.S increased approximately 6% in the first nine months of 2015, compared to the first nine months of 2014.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1,147 light-duty commercial vehicles in the first nine months of 2015, a 15.2% decrease compared to 1,352 light-duty commercial vehicles in the first nine months of 2014.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6,040 used commercial vehicles in the first nine months of 2015, a 6.3% increase compared to 5,680 used commercial vehicles in the first nine months of 2014.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Truck lease and rental revenues increased $17.5 million, or 13.4%, in the first nine months of 2015, compared to the first nine months of 2014.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and insurance revenues increased $1.8 million, or 12.5%, in the first nine months of 2015, compared to the first nine months of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increased $51.3 million, or 9.2%, in the first nine months of 2015, compared to the first nine months of 2014. Gross profit as a percentage of sales decreased to 16.0% in the first nine months of 2015, from 16.5% in the first nine months of 2014. This decrease in gross profit as a percentage of sales is a result of a change in our product sales mix. Commercial vehicle sales, a lower margin revenue item, increased as a percentage of total revenue to 67.8% in 2015, from 66.4% in 2014. Aftermarket Services revenues, a higher margin revenue item, decreased as a percentage of total revenue to 27.5% in 2015, from 29.0% in 2014.</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our Aftermarket Services operations increased to 36.8% in the first nine months of 2015, from 36.1% in the first nine months of 2014. Gross profit for the Aftermarket Services departments was $386.3 million in the first nine months of 2015, compared to $353.8 million in the first nine months of 2014. Gross profits from parts sales represented 56% of total gross profit for Aftermarket Services operations in the first nine months of 2015 and the first nine months of 2014. Service and body shop operations represented 44% of total gross profit for Aftermarket Services operations in the first nine months of 2015 and the first nine months of 2014.</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Class 8 truck sales decreased to 6.6% in the first nine months of 2015, from 7.3% in the first nine months of 2014.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medium-duty commercial vehicle sales remained flat at 5.7% in the first nine months of 2015 and the first nine months of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used commercial vehicle sales increased to 11.3% in the first nine months of 2015, from 10.2% in the first nine months of 2014.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from truck lease and rental sales decreased to 11.8% in the first nine months of 2015, from 13.6% in the first nine months of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SG&amp;A expenses increased $42.8 million, or 9.9%, in the first nine months of 2015, compared to the first nine months of 2014. SG&amp;A expenses as a percentage of sales were 12.4% in the first nine months of 2015, and 12.8% in the first nine months of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increased $4.6 million, or 16.6%, in the first nine months of 2015, compared to the first nine months of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expense increased $1.7 million, or 20.9%, in the first nine months of 2015, compared to the first nine months of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increased $1.5 million, or 1.6%, in the first nine months of 2015, compared to the first nine months of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taxes increased $0.6 million, or 1.6% in the first nine months of 2015, compared to the first nine months of 2014. We provided for taxes at a 38.75% rate in the first nine months of 2015, compared to a rate of 38.75% in the first nine months of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2015, we had working capital of approximately $86.4 million, including $64.9 million in cash available to fund our operations. We believe that these funds are sufficient to meet our operating requirements for at least the next twelve months. From time to time, we utilize our excess cash on hand to pay down our outstanding borrowings under the GE Credit Agreement, and the resulting interest earned is recognized as an offset to our gross interest expense under the credit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$17.5 million. There were no advances outstanding under this secured line of credit at September 30, 2015, however, $12.7 million was pledged to secure various letters of credit related to self-insurance products, leaving $4.8 million available for future borrowings as of September 30, 2015.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long-term real estate debt and floor plan financing agreements require us to satisfy various financial ratios such as the debt-to-worth ratio, leverage ratio and the fixed charge coverage ratio and certain requirements for tangible net worth and GAAP net worth. As of September 30, 2015, we were in compliance with all debt covenants related to debt secured by real estate and lease and rental units and our floor plan credit agreements. We do not anticipate any breach of the covenants in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trucks worth approximately $200.0 million for our leasing operations during 2015, depending on customer demand, all of which will be financed. We also expect to make capital expenditures for recurring items such as computers, shop tools and equipment and vehicles of approximately $3.0 million to $5.0 million during the remainder of 2015.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currently under contracts to construct dealership facilities in San Antonio, Texas, at an estimated cost of $13.5 million, Odessa, Texas at an estimated cost of $10.9 million, Denver, Colorado at an estimated cost of $17.3 million, Columbus, Ohio at an estimated cost of $16.7 million. We are also under contract to expand or remodel various other dealership facilities. These construction projects are estimated to continue through the first quarter of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2015, we purchased a new corporate aircraft for a net sales price of $10.0 million after deducting the trade-in of the existing corporate aircraft, which had a book value of $5.1 million. We are currently under contract to purchase the dealership facilities at our Pico Rivera, California location for approximately $20.0 million. This transaction is expected to close during December 2015.</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29, 2015, we announced that our Board of Directors authorized the repurchase, from time to time, of up to an aggregate of $40.0 million shares of Class A Common Stock and/or Class B Common Stock. The stock repurchase program extends the previous $40 million stock repurchase program that was announced on February 4, 2014 which was set to expire on February 3, 2015. During the third quarter of 2015, we did not purchase any stock under the repurchase program. Repurchases will be made at times and in amounts as we deem appropriate and will be made through open market transactions, privately negotiated transactions and other lawful means. The manner, timing and amount of any repurchases will be determined by us based on an evaluation of market conditions, stock price and other factors. The current stock repurchase program expires on February 3, 2016 and may be suspended or discontinued at any time. While the stock repurchase program does not obligate us to acquire any particular amount or class of common stock, we anticipate that we will be repurchasing primarily shares of our Class B Common Stock.</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expect to fund the construction or purchase of new facilities through our operating cash flows or by financing 70% to 80% of the appraised value of such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September 30, 2015, except that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decreased by $126.5 million during the nine months ended September 30, 2015, and decreased by $72.6 million during the nine months ended September 30, 2014. The major components of these changes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nine months of 2015, operating activities resulted in net cash provided by operations of $99.5 million. Net cash provided by operating activities primarily consisted of $56.2 million in net income, as well as non-cash adjustments related to depreciation and amortization of $106.5 million, and stock-based compensation, including tax benefit, of $10.2 million. Cash used in operating activities included an aggregate of $70.0 million net change in operating assets and liabilities. Included in the net change in operating assets and liabilities were cash inflows of $20.0 million from the decrease in prepaid expenses and other assets, net and $33.6 million from increases in accounts payable and accrued liabilities which were offset by cash outflows of $13.7 million from the net decrease in floor plan, trade, $47.5 million from increases in inventory, net of acquisitions, $39.1 million from an increase in accounts receivable and $23.3 million from a decrease in customer deposits. The majority of commercial vehicle inventory is financed through our floor plan credit agreements.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2014, operating activities resulted in net cash provided by operations of $88.6 million. Net cash provided by operating activities primarily consisted of $55.3 million in net income, as well as non-cash adjustments related to depreciation and amortization of $90.3 million, and stock-based compensation, including tax benefit, of $4.1 million. Cash used in operating activities included an aggregate of $47.0 million net change in operating assets and liabilities. Included in the net change in operating assets and liabilities were cash inflows of $6.7 from the decrease in prepaid expenses and other assets, net, $71.2 million from increases in accounts payable and accrued liabilities and $26.7 million from the net increase in floor plan, trade, which were offset by cash outflows of $67.0 million from increases in inventory, net of acquisitions, $50.8 million from an increase in accounts receivable, and $33.8 million from a decrease in customer deposits.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September 30, 2015, the interest rate on the wholesale financing agreement was 5.25% before considering the applicable incentives. As of September 30, 2015, we had an outstanding balance of $65.7 million under the Ford Motor Credit Company wholesale financing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first nine months of 2015, cash used in investing activities was $315.4 million. Cash flows used in investing activities consist primarily of cash used for capital expenditures and business acquisitions. Capital expenditures of $250.2 million during the first nine months of 2015 consisted primarily of purchases of property and equipment, construction of new dealership facilities and improvements to our existing dealership facilities. Property and equipment purchases during the first nine months of 2015 included $134.7 million for additional units for the rental and leasing operations, which were directly offset by borrowings of long-term debt. Cash used for business acquisitions was $65.1 million during the nine months ended September 30, 2015, which was partially offset by borrowings of long-term debt and floor plan notes payable. See Note 10 of the Notes to Consolidated Financial Statements for a detailed discussion of the business acquisitions. We expect to purchase or lease trucks worth approximately $200.0 million for our leasing operations in 2015, depending on customer demand, all of which will be financed. During the remainder of 2015, we expect to make capital expenditures for recurring items such as computers, shop equipment and vehicles of $3.0 million to $5.0 million.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2014, cash used in investing activities was $328.4 million. Cash flows used in investing activities consist primarily of cash used for capital expenditures and business acquisitions. Capital expenditures consisted of purchases of property and equipment, construction of new dealership facilities and improvements to our existing dealership facilities of $182.2 million. Property and equipment purchases during the first nine months of 2014 included $120.7 million for additional units for rental and leasing operations, which were directly offset by borrowings of long-term debt. Cash used in business acquisitions was $147.8 million during the first nine months of 2014, which was partially offset by borrowings of long-term debt and floor plan notes payable.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 non-trade. During the first nine months of 2015, we generated $89.4 million in net cash flow from financing activities, primarily related to borrowings of $115.2 million of long-term debt, $95.1 million from net draws on floor plan notes payable, non-trade and $3.4 million from the issuance of shares related to equity compensation plans. These cash inflows were partially offset by cash outflows of $122.4 million used for principal repayments of long-term debt and capital lease obligations and $1.5 million used to purchase 56,077 shares of Rush Class B common stock during the first nine months of 2015. The borrowings of long-term debt were primarily related to purchasing units for the rental and leasing operations.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was $167.2 million during the first nine months of 2014. We had borrowings of long-term debt of $153.4 million, primarily related to units for the lease and rental operations, and repayments of long-term debt and capital lease obligations of $94.3 million during the first nine months of 2014. We had net draws on floor plan notes payable – non-trade of $101.8 million during the first nine months of 2014. Cash flows from financing activities also included proceeds from the issuance of shares relating to equity award plans, excess tax benefits from stock-based compensation and common stock repurchased.</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During the third quarter of 2015, we financed the majority of all new commercial vehicle inventory and the loan value of our used commercial vehicle inventory under the GE Credit Agreement. On September 15, 2015, we entered into the Second Amended and Restated Credit Agreement with GE Capital Commercial. The amendment increased the aggregate loan commitment to $850.0 million. Borrowings under the GE Credit Agreement bear interest at an annual rate equal to the three month LIBOR rate, determined on the last day of the prior month, plus 2.03% and are payable monthly. In addition, we are required to pay a monthly working capital fee equal to 0.35% per annum multiplied by the amount of voluntary prepayments of new and used inventory loans. Loans under the GE Credit Agreement for the purchase of used inventory are limited to $150.0 million. The GE Credit Agreement expires July 11, 2016, although GE Capital has the right to terminate the GE Credit Agreement at any time upon 120 days’ written notice. We may terminate the GE Credit Agreement at any time, although if we do so we must pay a prepayment processing fee of $300,000, subject to specified limited exceptions. On September 30, 2015, we had approximately $739.8 million outstanding under the GE Credit Agreement. Periodically, we utilize our excess cash on hand to pay down our outstanding borrowings under the GE Credit Agreement, and the resulting interest earned is recognized as an offset to our gross interest expense under the GE Credit Agreement.</w:t>
      </w:r>
    </w:p>
    <w:p>
      <w:pPr>
        <w:spacing w:after="0" w:line="2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GE Capital credit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30, 2015, our backlog of commercial vehicle orders was approximately $1,442.0 million, compared to a backlog of commercial vehicle orders of approximately $1,437.7 million on September 30, 2014.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September 30, 2015 and we expect to fill the majority of our backlog orders during 2015 and the first nine months of 2016.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Aftermarket Services and diversification of our customer base, we have taken steps to reduce the negative impact of adverse general economic conditions or cyclical trends affecting the heavy-duty truck industry on our earnings.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and that is material to investors.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We do not believe that the foregoing adopted or proposed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September 30, 2015, we had floor plan borrowings and variable interest rate real estate debt of approximately $1,002.0 million. Assuming an increase or decrease in LIBOR of 100 basis points, annual interest expense could correspondingly increase or decrease by approximately $10.0 million.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offer all customer financing opportunities to various finance providers. We receive all finance charges in excess of a negotiated discount rate from the finance providers in the month following the date of the financing. The negotiated discount rate is variable, thus subject to interest rate fluctuations. This interest rate risk is mitigated by our ability to pass discount rate increases to customers through higher financing rates.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some market risk through interest rates related to the investment of our current cash and cash equivalents, which totaled $64.9 million on September 30, 2015. These funds are generally invested in variable interest rate instruments in accordance with our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our annual interest income could correspondingly increase or decrease by approximately $0.6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September 30, 2015, we hold auction rate securities, with underlying tax-exempt municipal bonds that mature in 2030, that have a fair value of $6.7 million. Given the current market conditions in the auction rate securities market, if we determine that the fair value of these securities temporarily decreases by an additional 10%, our equity could correspondingly decrease by approximately $665,000. If it is determined that the fair value of these securities is other-than-temporarily impaired by 10%, we could record a loss on our Consolidated Statements of Income of approximately $665,000. For further discussion of the risks related to our auction rate securities, see Note 6 – Financial Instruments and Fair Value of the Notes to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2015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September 30, 2015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2014 Annual Report on Form 10-K (the “2014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2014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make any unregistered sales of equity securities during the third quarter of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1"/>
        </w:trPr>
        <w:tc>
          <w:tcPr>
            <w:tcW w:w="2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6"/>
                <w:szCs w:val="16"/>
                <w:color w:val="auto"/>
              </w:rPr>
            </w:pPr>
          </w:p>
        </w:tc>
        <w:tc>
          <w:tcPr>
            <w:tcW w:w="10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Restated Articles of Incorporation of Rush Enterprises, Inc. (incorporated herein by reference to Exhibit 3.1 of the Company’s Quarterly</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(File No. 000-20797) for the quarter ended June 30, 2008).</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Rush Enterprises, Inc. Amended and Restated Bylaws (incorporated herein by reference to Exhibit 3.1 of the Company’s Current Report</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 No. 000-20797) filed May 21, 2013).</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September 15, 2015 by and among the Company, the Lenders signatory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thereto and GE Capital Commercial Inc., as Administrative Agent for the Lenders (incorporated herein by reference to Exhibit 10.1 on the</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 No. 000-20797) filed September 21, 2015).</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right="120" w:hanging="492"/>
        <w:spacing w:after="0" w:line="255"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824"/>
        </w:trPr>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9, 2015</w:t>
            </w:r>
          </w:p>
        </w:tc>
        <w:tc>
          <w:tcPr>
            <w:tcW w:w="7640" w:type="dxa"/>
            <w:vAlign w:val="bottom"/>
            <w:gridSpan w:val="4"/>
          </w:tcPr>
          <w:p>
            <w:pPr>
              <w:ind w:left="190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34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05"/>
        </w:trPr>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9, 2015</w:t>
            </w:r>
          </w:p>
        </w:tc>
        <w:tc>
          <w:tcPr>
            <w:tcW w:w="7640" w:type="dxa"/>
            <w:vAlign w:val="bottom"/>
            <w:gridSpan w:val="4"/>
          </w:tcPr>
          <w:p>
            <w:pPr>
              <w:ind w:left="190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3540" w:type="dxa"/>
            <w:vAlign w:val="bottom"/>
            <w:gridSpan w:val="2"/>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w:t>
            </w:r>
          </w:p>
        </w:tc>
      </w:tr>
      <w:tr>
        <w:trPr>
          <w:trHeight w:val="216"/>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02"/>
        </w:trPr>
        <w:tc>
          <w:tcPr>
            <w:tcW w:w="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05"/>
        </w:trPr>
        <w:tc>
          <w:tcPr>
            <w:tcW w:w="5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40" w:type="dxa"/>
            <w:vAlign w:val="bottom"/>
          </w:tcPr>
          <w:p>
            <w:pPr>
              <w:spacing w:after="0"/>
              <w:rPr>
                <w:sz w:val="9"/>
                <w:szCs w:val="9"/>
                <w:color w:val="auto"/>
              </w:rPr>
            </w:pPr>
          </w:p>
        </w:tc>
      </w:tr>
      <w:tr>
        <w:trPr>
          <w:trHeight w:val="61"/>
        </w:trPr>
        <w:tc>
          <w:tcPr>
            <w:tcW w:w="560" w:type="dxa"/>
            <w:vAlign w:val="bottom"/>
            <w:shd w:val="clear" w:color="auto" w:fill="808080"/>
          </w:tcPr>
          <w:p>
            <w:pPr>
              <w:spacing w:after="0"/>
              <w:rPr>
                <w:sz w:val="5"/>
                <w:szCs w:val="5"/>
                <w:color w:val="auto"/>
              </w:rPr>
            </w:pPr>
          </w:p>
        </w:tc>
        <w:tc>
          <w:tcPr>
            <w:tcW w:w="326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842"/>
        </w:trPr>
        <w:tc>
          <w:tcPr>
            <w:tcW w:w="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1"/>
        </w:trPr>
        <w:tc>
          <w:tcPr>
            <w:tcW w:w="2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6"/>
                <w:szCs w:val="16"/>
                <w:color w:val="auto"/>
              </w:rPr>
            </w:pPr>
          </w:p>
        </w:tc>
        <w:tc>
          <w:tcPr>
            <w:tcW w:w="10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Restated Articles of Incorporation of Rush Enterprises, Inc. (incorporated herein by reference to Exhibit 3.1 of the Company’s Quarterly</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(File No. 000-20797) for the quarter ended June 30, 2008).</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Rush Enterprises, Inc. Amended and Restated Bylaws (incorporated herein by reference to Exhibit 3.1 of the Company’s Current Report</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 No. 000-20797) filed May 21, 2013).</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September 15, 2015 by and among the Company, the Lenders signatory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thereto and GE Capital Commercial Inc., as Administrative Agent for the Lenders (incorporated herein by reference to Exhibit 10.1 on the</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 No. 000-20797) filed September 21, 2015).</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r>
      <w:tr>
        <w:trPr>
          <w:trHeight w:val="432"/>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r>
      <w:tr>
        <w:trPr>
          <w:trHeight w:val="414"/>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right="120" w:hanging="492"/>
        <w:spacing w:after="0" w:line="255"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111"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720" w:hanging="71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7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400" w:firstLine="8"/>
        <w:spacing w:after="0" w:line="282" w:lineRule="auto"/>
        <w:tabs>
          <w:tab w:leader="none" w:pos="7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7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6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4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00" w:firstLine="656"/>
        <w:spacing w:after="0" w:line="282" w:lineRule="auto"/>
        <w:tabs>
          <w:tab w:leader="none" w:pos="14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4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00" w:firstLine="8"/>
        <w:spacing w:after="0" w:line="282" w:lineRule="auto"/>
        <w:tabs>
          <w:tab w:leader="none" w:pos="10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80" w:firstLine="656"/>
        <w:spacing w:after="0" w:line="282" w:lineRule="auto"/>
        <w:tabs>
          <w:tab w:leader="none" w:pos="14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5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2015</w:t>
            </w:r>
          </w:p>
        </w:tc>
        <w:tc>
          <w:tcPr>
            <w:tcW w:w="500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3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82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Chief Executive Officer and</w:t>
            </w:r>
          </w:p>
        </w:tc>
      </w:tr>
      <w:tr>
        <w:trPr>
          <w:trHeight w:val="216"/>
        </w:trPr>
        <w:tc>
          <w:tcPr>
            <w:tcW w:w="3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7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400" w:firstLine="8"/>
        <w:spacing w:after="0" w:line="282" w:lineRule="auto"/>
        <w:tabs>
          <w:tab w:leader="none" w:pos="7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7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6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4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00" w:firstLine="656"/>
        <w:spacing w:after="0" w:line="282" w:lineRule="auto"/>
        <w:tabs>
          <w:tab w:leader="none" w:pos="14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47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00" w:firstLine="8"/>
        <w:spacing w:after="0" w:line="282" w:lineRule="auto"/>
        <w:tabs>
          <w:tab w:leader="none" w:pos="6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80" w:firstLine="656"/>
        <w:spacing w:after="0" w:line="282" w:lineRule="auto"/>
        <w:tabs>
          <w:tab w:leader="none" w:pos="14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52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2015</w:t>
            </w:r>
          </w:p>
        </w:tc>
        <w:tc>
          <w:tcPr>
            <w:tcW w:w="586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7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Chief Financial Officer and</w:t>
            </w: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r>
        <w:trPr>
          <w:trHeight w:val="234"/>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4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September 30, 2015,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Chairman,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W.M. “RUSTY” RUSH</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W.M. “Rusty” Rush</w:t>
      </w:r>
    </w:p>
    <w:p>
      <w:pPr>
        <w:spacing w:after="0" w:line="9"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President, Chief Executive Officer and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Date:</w:t>
        <w:tab/>
        <w:t>November 9, 2015</w:t>
      </w:r>
    </w:p>
    <w:p>
      <w:pPr>
        <w:spacing w:after="0" w:line="200" w:lineRule="exact"/>
        <w:rPr>
          <w:sz w:val="20"/>
          <w:szCs w:val="20"/>
          <w:color w:val="auto"/>
        </w:rPr>
      </w:pPr>
    </w:p>
    <w:p>
      <w:pPr>
        <w:spacing w:after="0" w:line="33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4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September 30, 2015,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Senior Vice President,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9"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Date:</w:t>
        <w:tab/>
        <w:t>November 9, 2015</w:t>
      </w:r>
    </w:p>
    <w:p>
      <w:pPr>
        <w:spacing w:after="0" w:line="200" w:lineRule="exact"/>
        <w:rPr>
          <w:sz w:val="20"/>
          <w:szCs w:val="20"/>
          <w:color w:val="auto"/>
        </w:rPr>
      </w:pPr>
    </w:p>
    <w:p>
      <w:pPr>
        <w:spacing w:after="0" w:line="33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2019-12-29T14:34:13Z</dcterms:created>
  <dcterms:modified xsi:type="dcterms:W3CDTF">2019-12-29T14:34:13Z</dcterms:modified>
</cp:coreProperties>
</file>