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McRoberts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IH 35 SOUTH,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BRAUNFELS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RUSH ENTERPRISES INC \TX\</w:t>
              </w:r>
            </w:hyperlink>
            <w:r>
              <w:rPr/>
              <w:t xml:space="preserve"> [ </w:t>
            </w:r>
            <w:r>
              <w:rPr>
                <w:rFonts w:ascii="Times;serif" w:hAnsi="Times;serif"/>
                <w:color w:val="0000FF"/>
                <w:sz w:val="24"/>
                <w:shd w:fill="FFFFFF" w:val="clear"/>
              </w:rPr>
              <w:t>RUSHA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Advisor and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25"/>
        <w:gridCol w:w="438"/>
        <w:gridCol w:w="878"/>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15.06</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22,729.339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81.435</w:t>
            </w:r>
            <w:r>
              <w:rPr>
                <w:rFonts w:ascii="Times;serif" w:hAnsi="Times;serif"/>
                <w:color w:val="008000"/>
                <w:position w:val="7"/>
                <w:sz w:val="16"/>
                <w:sz w:val="20"/>
                <w:shd w:fill="FFFFFF" w:val="clear"/>
              </w:rPr>
              <w:t>(1)</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16,229.339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at prices ranging from $81.26 to $81.57. The reporting person undertakes to provide Rush Enterprises, Inc., any security holder of Rush Enterprises, Inc.,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Options may be exercised in increments of 1/3 on each anniversary of the grant date beginning on the third anniversary of the grant date. The grant date is ten years prior to the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L. Keller, Attorney-in-Fact for Michael McRoberts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2136" TargetMode="External"/><Relationship Id="rId5" Type="http://schemas.openxmlformats.org/officeDocument/2006/relationships/hyperlink" Target="http://www.sec.gov/cgi-bin/browse-edgar?action=getcompany&amp;CIK=0001012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3747</Characters>
  <CharactersWithSpaces>4358</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