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5"/>
          <w:szCs w:val="15"/>
          <w:color w:val="auto"/>
        </w:rPr>
        <w:t>UNITED STATES</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Washington, D.C. 20549</w:t>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FORM 10-K</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ANNUAL REPORT PURSUANT TO SECTION 13 OR 15(d)</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OF THE SECURITIES EXCHANGE ACT OF 1934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For the fiscal year ended December 31, 2013</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Commission file number 0-20797</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RUSH ENTERPRISES, INC</w:t>
      </w:r>
      <w:r>
        <w:rPr>
          <w:rFonts w:ascii="Arial" w:cs="Arial" w:eastAsia="Arial" w:hAnsi="Arial"/>
          <w:sz w:val="15"/>
          <w:szCs w:val="15"/>
          <w:color w:val="auto"/>
        </w:rPr>
        <w: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80"/>
          </w:cols>
          <w:pgMar w:left="220" w:top="435" w:right="199" w:bottom="1440" w:gutter="0" w:footer="0" w:header="0"/>
        </w:sectPr>
      </w:pPr>
    </w:p>
    <w:p>
      <w:pPr>
        <w:spacing w:after="0" w:line="208" w:lineRule="exact"/>
        <w:rPr>
          <w:sz w:val="24"/>
          <w:szCs w:val="24"/>
          <w:color w:val="auto"/>
        </w:rPr>
      </w:pPr>
    </w:p>
    <w:p>
      <w:pPr>
        <w:jc w:val="center"/>
        <w:ind w:left="2180"/>
        <w:spacing w:after="0"/>
        <w:rPr>
          <w:sz w:val="20"/>
          <w:szCs w:val="20"/>
          <w:color w:val="auto"/>
        </w:rPr>
      </w:pPr>
      <w:r>
        <w:rPr>
          <w:rFonts w:ascii="Arial" w:cs="Arial" w:eastAsia="Arial" w:hAnsi="Arial"/>
          <w:sz w:val="15"/>
          <w:szCs w:val="15"/>
          <w:b w:val="1"/>
          <w:bCs w:val="1"/>
          <w:color w:val="auto"/>
        </w:rPr>
        <w:t>Texas</w:t>
      </w:r>
    </w:p>
    <w:p>
      <w:pPr>
        <w:spacing w:after="0" w:line="15" w:lineRule="exact"/>
        <w:rPr>
          <w:sz w:val="24"/>
          <w:szCs w:val="24"/>
          <w:color w:val="auto"/>
        </w:rPr>
      </w:pPr>
    </w:p>
    <w:p>
      <w:pPr>
        <w:jc w:val="center"/>
        <w:ind w:left="214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780"/>
        <w:spacing w:after="0"/>
        <w:rPr>
          <w:sz w:val="20"/>
          <w:szCs w:val="20"/>
          <w:color w:val="auto"/>
        </w:rPr>
      </w:pPr>
      <w:r>
        <w:rPr>
          <w:rFonts w:ascii="Arial" w:cs="Arial" w:eastAsia="Arial" w:hAnsi="Arial"/>
          <w:sz w:val="15"/>
          <w:szCs w:val="15"/>
          <w:b w:val="1"/>
          <w:bCs w:val="1"/>
          <w:color w:val="auto"/>
        </w:rPr>
        <w:t>74-1733016</w:t>
      </w:r>
    </w:p>
    <w:p>
      <w:pPr>
        <w:spacing w:after="0" w:line="15" w:lineRule="exact"/>
        <w:rPr>
          <w:sz w:val="24"/>
          <w:szCs w:val="24"/>
          <w:color w:val="auto"/>
        </w:rPr>
      </w:pPr>
    </w:p>
    <w:p>
      <w:pPr>
        <w:jc w:val="center"/>
        <w:ind w:right="2780"/>
        <w:spacing w:after="0"/>
        <w:rPr>
          <w:sz w:val="20"/>
          <w:szCs w:val="20"/>
          <w:color w:val="auto"/>
        </w:rPr>
      </w:pPr>
      <w:r>
        <w:rPr>
          <w:rFonts w:ascii="Arial" w:cs="Arial" w:eastAsia="Arial" w:hAnsi="Arial"/>
          <w:sz w:val="12"/>
          <w:szCs w:val="12"/>
          <w:color w:val="auto"/>
        </w:rPr>
        <w:t>(I.R.S. Employer Identification No.)</w:t>
      </w:r>
    </w:p>
    <w:p>
      <w:pPr>
        <w:spacing w:after="0" w:line="199" w:lineRule="exact"/>
        <w:rPr>
          <w:sz w:val="24"/>
          <w:szCs w:val="24"/>
          <w:color w:val="auto"/>
        </w:rPr>
      </w:pPr>
    </w:p>
    <w:p>
      <w:pPr>
        <w:sectPr>
          <w:pgSz w:w="11900" w:h="16838" w:orient="portrait"/>
          <w:cols w:equalWidth="0" w:num="2">
            <w:col w:w="5860" w:space="720"/>
            <w:col w:w="4900"/>
          </w:cols>
          <w:pgMar w:left="220" w:top="435" w:right="199" w:bottom="1440" w:gutter="0" w:footer="0" w:header="0"/>
          <w:type w:val="continuous"/>
        </w:sectPr>
      </w:pPr>
    </w:p>
    <w:p>
      <w:pPr>
        <w:ind w:left="2860"/>
        <w:spacing w:after="0"/>
        <w:rPr>
          <w:sz w:val="20"/>
          <w:szCs w:val="20"/>
          <w:color w:val="auto"/>
        </w:rPr>
      </w:pPr>
      <w:r>
        <w:rPr>
          <w:rFonts w:ascii="Arial" w:cs="Arial" w:eastAsia="Arial" w:hAnsi="Arial"/>
          <w:sz w:val="12"/>
          <w:szCs w:val="12"/>
          <w:b w:val="1"/>
          <w:bCs w:val="1"/>
          <w:color w:val="auto"/>
        </w:rPr>
        <w:t>555 IH 35 South, New Braunfels, TX</w:t>
      </w:r>
    </w:p>
    <w:p>
      <w:pPr>
        <w:spacing w:after="0" w:line="50" w:lineRule="exact"/>
        <w:rPr>
          <w:sz w:val="24"/>
          <w:szCs w:val="24"/>
          <w:color w:val="auto"/>
        </w:rPr>
      </w:pPr>
    </w:p>
    <w:p>
      <w:pPr>
        <w:ind w:left="28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520"/>
        <w:spacing w:after="0"/>
        <w:rPr>
          <w:sz w:val="20"/>
          <w:szCs w:val="20"/>
          <w:color w:val="auto"/>
        </w:rPr>
      </w:pPr>
      <w:r>
        <w:rPr>
          <w:rFonts w:ascii="Arial" w:cs="Arial" w:eastAsia="Arial" w:hAnsi="Arial"/>
          <w:sz w:val="15"/>
          <w:szCs w:val="15"/>
          <w:b w:val="1"/>
          <w:bCs w:val="1"/>
          <w:color w:val="auto"/>
        </w:rPr>
        <w:t>78130</w:t>
      </w:r>
    </w:p>
    <w:p>
      <w:pPr>
        <w:spacing w:after="0" w:line="15" w:lineRule="exact"/>
        <w:rPr>
          <w:sz w:val="24"/>
          <w:szCs w:val="24"/>
          <w:color w:val="auto"/>
        </w:rPr>
      </w:pPr>
    </w:p>
    <w:p>
      <w:pPr>
        <w:jc w:val="center"/>
        <w:ind w:right="3520"/>
        <w:spacing w:after="0"/>
        <w:rPr>
          <w:sz w:val="20"/>
          <w:szCs w:val="20"/>
          <w:color w:val="auto"/>
        </w:rPr>
      </w:pPr>
      <w:r>
        <w:rPr>
          <w:rFonts w:ascii="Arial" w:cs="Arial" w:eastAsia="Arial" w:hAnsi="Arial"/>
          <w:sz w:val="12"/>
          <w:szCs w:val="12"/>
          <w:color w:val="auto"/>
        </w:rPr>
        <w:t>(Zip Code)</w:t>
      </w:r>
    </w:p>
    <w:p>
      <w:pPr>
        <w:spacing w:after="0" w:line="199" w:lineRule="exact"/>
        <w:rPr>
          <w:sz w:val="24"/>
          <w:szCs w:val="24"/>
          <w:color w:val="auto"/>
        </w:rPr>
      </w:pPr>
    </w:p>
    <w:p>
      <w:pPr>
        <w:sectPr>
          <w:pgSz w:w="11900" w:h="16838" w:orient="portrait"/>
          <w:cols w:equalWidth="0" w:num="2">
            <w:col w:w="6600" w:space="720"/>
            <w:col w:w="4160"/>
          </w:cols>
          <w:pgMar w:left="220" w:top="435" w:right="199" w:bottom="1440" w:gutter="0" w:footer="0" w:header="0"/>
          <w:type w:val="continuous"/>
        </w:sectPr>
      </w:pPr>
    </w:p>
    <w:p>
      <w:pPr>
        <w:jc w:val="center"/>
        <w:ind w:right="20"/>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(830) 626-5200</w:t>
      </w:r>
    </w:p>
    <w:p>
      <w:pPr>
        <w:spacing w:after="0" w:line="181" w:lineRule="exact"/>
        <w:rPr>
          <w:sz w:val="24"/>
          <w:szCs w:val="24"/>
          <w:color w:val="auto"/>
        </w:rPr>
      </w:pPr>
    </w:p>
    <w:p>
      <w:pPr>
        <w:ind w:left="406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1" w:lineRule="exact"/>
        <w:rPr>
          <w:sz w:val="24"/>
          <w:szCs w:val="24"/>
          <w:color w:val="auto"/>
        </w:rPr>
      </w:pPr>
    </w:p>
    <w:p>
      <w:pPr>
        <w:ind w:left="2680"/>
        <w:spacing w:after="0"/>
        <w:tabs>
          <w:tab w:leader="none" w:pos="6800" w:val="left"/>
        </w:tabs>
        <w:rPr>
          <w:sz w:val="20"/>
          <w:szCs w:val="20"/>
          <w:color w:val="auto"/>
        </w:rPr>
      </w:pPr>
      <w:r>
        <w:rPr>
          <w:rFonts w:ascii="Arial" w:cs="Arial" w:eastAsia="Arial" w:hAnsi="Arial"/>
          <w:sz w:val="15"/>
          <w:szCs w:val="15"/>
          <w:b w:val="1"/>
          <w:bCs w:val="1"/>
          <w:color w:val="auto"/>
        </w:rPr>
        <w:t>Class A and Class B Common Stock, $.01 par value</w:t>
      </w:r>
      <w:r>
        <w:rPr>
          <w:sz w:val="20"/>
          <w:szCs w:val="20"/>
          <w:color w:val="auto"/>
        </w:rPr>
        <w:tab/>
      </w:r>
      <w:r>
        <w:rPr>
          <w:rFonts w:ascii="Arial" w:cs="Arial" w:eastAsia="Arial" w:hAnsi="Arial"/>
          <w:sz w:val="12"/>
          <w:szCs w:val="12"/>
          <w:b w:val="1"/>
          <w:bCs w:val="1"/>
          <w:color w:val="auto"/>
        </w:rPr>
        <w:t>NASDAQ Global Select Market</w:t>
      </w:r>
    </w:p>
    <w:p>
      <w:pPr>
        <w:spacing w:after="0" w:line="2" w:lineRule="exact"/>
        <w:rPr>
          <w:sz w:val="24"/>
          <w:szCs w:val="24"/>
          <w:color w:val="auto"/>
        </w:rPr>
      </w:pPr>
    </w:p>
    <w:p>
      <w:pPr>
        <w:ind w:left="3520"/>
        <w:spacing w:after="0"/>
        <w:tabs>
          <w:tab w:leader="none" w:pos="6440" w:val="left"/>
        </w:tabs>
        <w:rPr>
          <w:sz w:val="20"/>
          <w:szCs w:val="20"/>
          <w:color w:val="auto"/>
        </w:rPr>
      </w:pPr>
      <w:r>
        <w:rPr>
          <w:rFonts w:ascii="Arial" w:cs="Arial" w:eastAsia="Arial" w:hAnsi="Arial"/>
          <w:sz w:val="15"/>
          <w:szCs w:val="15"/>
          <w:color w:val="auto"/>
        </w:rPr>
        <w:t>Title of each class</w:t>
      </w:r>
      <w:r>
        <w:rPr>
          <w:sz w:val="20"/>
          <w:szCs w:val="20"/>
          <w:color w:val="auto"/>
        </w:rPr>
        <w:tab/>
      </w:r>
      <w:r>
        <w:rPr>
          <w:rFonts w:ascii="Arial" w:cs="Arial" w:eastAsia="Arial" w:hAnsi="Arial"/>
          <w:sz w:val="12"/>
          <w:szCs w:val="12"/>
          <w:color w:val="auto"/>
        </w:rPr>
        <w:t>Name of each exchange on which registered</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Securities registered pursuant to Section 12(g) of the Act:</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None</w:t>
      </w:r>
    </w:p>
    <w:p>
      <w:pPr>
        <w:spacing w:after="0" w:line="168" w:lineRule="exact"/>
        <w:rPr>
          <w:sz w:val="24"/>
          <w:szCs w:val="24"/>
          <w:color w:val="auto"/>
        </w:rPr>
      </w:pPr>
    </w:p>
    <w:p>
      <w:pPr>
        <w:ind w:left="2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11" w:lineRule="exact"/>
        <w:rPr>
          <w:sz w:val="24"/>
          <w:szCs w:val="24"/>
          <w:color w:val="auto"/>
        </w:rPr>
      </w:pPr>
    </w:p>
    <w:p>
      <w:pPr>
        <w:ind w:left="4360"/>
        <w:spacing w:after="0" w:line="173" w:lineRule="exact"/>
        <w:tabs>
          <w:tab w:leader="none" w:pos="508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68" w:lineRule="exact"/>
        <w:rPr>
          <w:sz w:val="24"/>
          <w:szCs w:val="24"/>
          <w:color w:val="auto"/>
        </w:rPr>
      </w:pPr>
    </w:p>
    <w:p>
      <w:pPr>
        <w:ind w:left="26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Exchange Act.</w:t>
      </w:r>
    </w:p>
    <w:p>
      <w:pPr>
        <w:spacing w:after="0" w:line="11" w:lineRule="exact"/>
        <w:rPr>
          <w:sz w:val="24"/>
          <w:szCs w:val="24"/>
          <w:color w:val="auto"/>
        </w:rPr>
      </w:pPr>
    </w:p>
    <w:p>
      <w:pPr>
        <w:ind w:left="4600"/>
        <w:spacing w:after="0" w:line="173" w:lineRule="exact"/>
        <w:tabs>
          <w:tab w:leader="none" w:pos="532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ectPr>
          <w:pgSz w:w="11900" w:h="16838" w:orient="portrait"/>
          <w:cols w:equalWidth="0" w:num="1">
            <w:col w:w="11480"/>
          </w:cols>
          <w:pgMar w:left="220" w:top="435" w:right="199" w:bottom="1440" w:gutter="0" w:footer="0" w:header="0"/>
          <w:type w:val="continuous"/>
        </w:sectPr>
      </w:pPr>
    </w:p>
    <w:p>
      <w:pPr>
        <w:spacing w:after="0" w:line="168" w:lineRule="exact"/>
        <w:rPr>
          <w:sz w:val="24"/>
          <w:szCs w:val="24"/>
          <w:color w:val="auto"/>
        </w:rPr>
      </w:pPr>
    </w:p>
    <w:p>
      <w:pPr>
        <w:ind w:right="20" w:firstLine="262"/>
        <w:spacing w:after="0" w:line="26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600"/>
        <w:spacing w:after="0" w:line="173" w:lineRule="exact"/>
        <w:tabs>
          <w:tab w:leader="none" w:pos="532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71" w:lineRule="exact"/>
        <w:rPr>
          <w:sz w:val="24"/>
          <w:szCs w:val="24"/>
          <w:color w:val="auto"/>
        </w:rPr>
      </w:pPr>
    </w:p>
    <w:p>
      <w:pPr>
        <w:ind w:right="20" w:firstLine="262"/>
        <w:spacing w:after="0" w:line="26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4600"/>
        <w:spacing w:after="0" w:line="173" w:lineRule="exact"/>
        <w:tabs>
          <w:tab w:leader="none" w:pos="532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2" w:lineRule="exact"/>
        <w:rPr>
          <w:sz w:val="24"/>
          <w:szCs w:val="24"/>
          <w:color w:val="auto"/>
        </w:rPr>
      </w:pPr>
    </w:p>
    <w:p>
      <w:pPr>
        <w:ind w:right="20" w:firstLine="262"/>
        <w:spacing w:after="0" w:line="189"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48" w:lineRule="exact"/>
        <w:rPr>
          <w:sz w:val="24"/>
          <w:szCs w:val="24"/>
          <w:color w:val="auto"/>
        </w:rPr>
      </w:pPr>
    </w:p>
    <w:p>
      <w:pPr>
        <w:ind w:right="20" w:firstLine="262"/>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900" w:type="dxa"/>
            <w:vAlign w:val="bottom"/>
          </w:tcPr>
          <w:p>
            <w:pPr>
              <w:ind w:left="2240"/>
              <w:spacing w:after="0" w:line="173" w:lineRule="exact"/>
              <w:rPr>
                <w:sz w:val="20"/>
                <w:szCs w:val="20"/>
                <w:color w:val="auto"/>
              </w:rPr>
            </w:pPr>
            <w:r>
              <w:rPr>
                <w:rFonts w:ascii="Arial" w:cs="Arial" w:eastAsia="Arial" w:hAnsi="Arial"/>
                <w:sz w:val="15"/>
                <w:szCs w:val="15"/>
                <w:color w:val="auto"/>
                <w:w w:val="97"/>
              </w:rPr>
              <w:t xml:space="preserve">Large accelerated filer </w:t>
            </w:r>
            <w:r>
              <w:rPr>
                <w:rFonts w:ascii="MS PGothic" w:cs="MS PGothic" w:eastAsia="MS PGothic" w:hAnsi="MS PGothic"/>
                <w:sz w:val="15"/>
                <w:szCs w:val="15"/>
                <w:color w:val="auto"/>
                <w:w w:val="97"/>
              </w:rPr>
              <w:t>☑</w:t>
            </w:r>
          </w:p>
        </w:tc>
        <w:tc>
          <w:tcPr>
            <w:tcW w:w="1380" w:type="dxa"/>
            <w:vAlign w:val="bottom"/>
          </w:tcPr>
          <w:p>
            <w:pPr>
              <w:ind w:left="180"/>
              <w:spacing w:after="0" w:line="173" w:lineRule="exact"/>
              <w:rPr>
                <w:sz w:val="20"/>
                <w:szCs w:val="20"/>
                <w:color w:val="auto"/>
              </w:rPr>
            </w:pPr>
            <w:r>
              <w:rPr>
                <w:rFonts w:ascii="Arial" w:cs="Arial" w:eastAsia="Arial" w:hAnsi="Arial"/>
                <w:sz w:val="15"/>
                <w:szCs w:val="15"/>
                <w:color w:val="auto"/>
                <w:w w:val="93"/>
              </w:rPr>
              <w:t xml:space="preserve">Accelerated filer </w:t>
            </w:r>
            <w:r>
              <w:rPr>
                <w:rFonts w:ascii="MS PGothic" w:cs="MS PGothic" w:eastAsia="MS PGothic" w:hAnsi="MS PGothic"/>
                <w:sz w:val="15"/>
                <w:szCs w:val="15"/>
                <w:color w:val="auto"/>
                <w:w w:val="93"/>
              </w:rPr>
              <w:t>☐</w:t>
            </w:r>
          </w:p>
        </w:tc>
        <w:tc>
          <w:tcPr>
            <w:tcW w:w="2020" w:type="dxa"/>
            <w:vAlign w:val="bottom"/>
          </w:tcPr>
          <w:p>
            <w:pPr>
              <w:ind w:left="4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tc>
        <w:tc>
          <w:tcPr>
            <w:tcW w:w="4180" w:type="dxa"/>
            <w:vAlign w:val="bottom"/>
          </w:tcPr>
          <w:p>
            <w:pPr>
              <w:ind w:left="220"/>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tc>
      </w:tr>
      <w:tr>
        <w:trPr>
          <w:trHeight w:val="148"/>
        </w:trPr>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0" w:type="dxa"/>
            <w:vAlign w:val="bottom"/>
            <w:gridSpan w:val="2"/>
          </w:tcPr>
          <w:p>
            <w:pPr>
              <w:ind w:left="260"/>
              <w:spacing w:after="0"/>
              <w:rPr>
                <w:sz w:val="20"/>
                <w:szCs w:val="20"/>
                <w:color w:val="auto"/>
              </w:rPr>
            </w:pPr>
            <w:r>
              <w:rPr>
                <w:rFonts w:ascii="Arial" w:cs="Arial" w:eastAsia="Arial" w:hAnsi="Arial"/>
                <w:sz w:val="12"/>
                <w:szCs w:val="12"/>
                <w:color w:val="auto"/>
              </w:rPr>
              <w:t>(Do not check if a smaller reporting company.)</w:t>
            </w:r>
          </w:p>
        </w:tc>
      </w:tr>
      <w:tr>
        <w:trPr>
          <w:trHeight w:val="321"/>
        </w:trPr>
        <w:tc>
          <w:tcPr>
            <w:tcW w:w="7300" w:type="dxa"/>
            <w:vAlign w:val="bottom"/>
            <w:gridSpan w:val="3"/>
          </w:tcPr>
          <w:p>
            <w:pPr>
              <w:ind w:left="260"/>
              <w:spacing w:after="0"/>
              <w:rPr>
                <w:sz w:val="20"/>
                <w:szCs w:val="20"/>
                <w:color w:val="auto"/>
              </w:rPr>
            </w:pPr>
            <w:r>
              <w:rPr>
                <w:rFonts w:ascii="Arial" w:cs="Arial" w:eastAsia="Arial" w:hAnsi="Arial"/>
                <w:sz w:val="15"/>
                <w:szCs w:val="15"/>
                <w:color w:val="auto"/>
                <w:w w:val="93"/>
              </w:rPr>
              <w:t>Indicate by check mark whether the registrant is a shell company (as defined in Rule 12b-2 of the Exchange Act).</w:t>
            </w:r>
          </w:p>
        </w:tc>
        <w:tc>
          <w:tcPr>
            <w:tcW w:w="4180" w:type="dxa"/>
            <w:vAlign w:val="bottom"/>
          </w:tcPr>
          <w:p>
            <w:pPr>
              <w:spacing w:after="0"/>
              <w:rPr>
                <w:sz w:val="24"/>
                <w:szCs w:val="24"/>
                <w:color w:val="auto"/>
              </w:rPr>
            </w:pPr>
          </w:p>
        </w:tc>
      </w:tr>
      <w:tr>
        <w:trPr>
          <w:trHeight w:val="229"/>
        </w:trPr>
        <w:tc>
          <w:tcPr>
            <w:tcW w:w="3900" w:type="dxa"/>
            <w:vAlign w:val="bottom"/>
          </w:tcPr>
          <w:p>
            <w:pPr>
              <w:spacing w:after="0"/>
              <w:rPr>
                <w:sz w:val="19"/>
                <w:szCs w:val="19"/>
                <w:color w:val="auto"/>
              </w:rPr>
            </w:pPr>
          </w:p>
        </w:tc>
        <w:tc>
          <w:tcPr>
            <w:tcW w:w="1380" w:type="dxa"/>
            <w:vAlign w:val="bottom"/>
          </w:tcPr>
          <w:p>
            <w:pPr>
              <w:ind w:left="70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020" w:type="dxa"/>
            <w:vAlign w:val="bottom"/>
          </w:tcPr>
          <w:p>
            <w:pPr>
              <w:ind w:left="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4180" w:type="dxa"/>
            <w:vAlign w:val="bottom"/>
          </w:tcPr>
          <w:p>
            <w:pPr>
              <w:spacing w:after="0"/>
              <w:rPr>
                <w:sz w:val="19"/>
                <w:szCs w:val="19"/>
                <w:color w:val="auto"/>
              </w:rPr>
            </w:pPr>
          </w:p>
        </w:tc>
      </w:tr>
      <w:tr>
        <w:trPr>
          <w:trHeight w:val="690"/>
        </w:trPr>
        <w:tc>
          <w:tcPr>
            <w:tcW w:w="39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35" w:right="199" w:bottom="1440" w:gutter="0" w:footer="0" w:header="0"/>
          <w:type w:val="continuous"/>
        </w:sectPr>
      </w:pPr>
    </w:p>
    <w:bookmarkStart w:id="1" w:name="page2"/>
    <w:bookmarkEnd w:id="1"/>
    <w:p>
      <w:pPr>
        <w:jc w:val="both"/>
        <w:ind w:firstLine="262"/>
        <w:spacing w:after="0" w:line="227" w:lineRule="auto"/>
        <w:rPr>
          <w:sz w:val="20"/>
          <w:szCs w:val="20"/>
          <w:color w:val="auto"/>
        </w:rPr>
      </w:pPr>
      <w:r>
        <w:rPr>
          <w:rFonts w:ascii="Arial" w:cs="Arial" w:eastAsia="Arial" w:hAnsi="Arial"/>
          <w:sz w:val="14"/>
          <w:szCs w:val="14"/>
          <w:color w:val="auto"/>
        </w:rPr>
        <w:t>The aggregate market value of common stock held by non-affiliates of the registrant as of June 28, 2013 was approximately $842,185,260 based upon the last sales price on June 28, 2013 on The NASDAQ Global Select Market</w:t>
      </w:r>
      <w:r>
        <w:rPr>
          <w:rFonts w:ascii="Arial" w:cs="Arial" w:eastAsia="Arial" w:hAnsi="Arial"/>
          <w:sz w:val="23"/>
          <w:szCs w:val="23"/>
          <w:color w:val="auto"/>
          <w:vertAlign w:val="superscript"/>
        </w:rPr>
        <w:t>SM</w:t>
      </w:r>
      <w:r>
        <w:rPr>
          <w:rFonts w:ascii="Arial" w:cs="Arial" w:eastAsia="Arial" w:hAnsi="Arial"/>
          <w:sz w:val="14"/>
          <w:szCs w:val="14"/>
          <w:color w:val="auto"/>
        </w:rPr>
        <w:t xml:space="preserve"> of $24.75 for the registrant’s Class A Common Stock and $21.52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registrant had 28,944,873 shares Class A Common Stock and 10,241,487 shares of Class B Common Stock outstanding on February 24, 2014.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15"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b w:val="1"/>
          <w:bCs w:val="1"/>
          <w:color w:val="auto"/>
        </w:rPr>
        <w:t xml:space="preserve">Portions of registrant’s definitive proxy statement for the registrant’s 2014 Annual Meeting of Shareholders, to be filed with the Securities and Exchange Commission not later than April 30, 2014, are incorporated by reference </w:t>
      </w:r>
      <w:r>
        <w:rPr>
          <w:rFonts w:ascii="Arial" w:cs="Arial" w:eastAsia="Arial" w:hAnsi="Arial"/>
          <w:sz w:val="17"/>
          <w:szCs w:val="17"/>
          <w:b w:val="1"/>
          <w:bCs w:val="1"/>
          <w:color w:val="auto"/>
        </w:rPr>
        <w:t>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9234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8"/>
        </w:trPr>
        <w:tc>
          <w:tcPr>
            <w:tcW w:w="1120" w:type="dxa"/>
            <w:vAlign w:val="bottom"/>
          </w:tcPr>
          <w:p>
            <w:pPr>
              <w:spacing w:after="0"/>
              <w:rPr>
                <w:sz w:val="16"/>
                <w:szCs w:val="16"/>
                <w:color w:val="auto"/>
              </w:rPr>
            </w:pPr>
          </w:p>
        </w:tc>
        <w:tc>
          <w:tcPr>
            <w:tcW w:w="9800" w:type="dxa"/>
            <w:vAlign w:val="bottom"/>
          </w:tcPr>
          <w:p>
            <w:pPr>
              <w:jc w:val="center"/>
              <w:ind w:right="507"/>
              <w:spacing w:after="0"/>
              <w:rPr>
                <w:sz w:val="20"/>
                <w:szCs w:val="20"/>
                <w:color w:val="auto"/>
              </w:rPr>
            </w:pPr>
            <w:r>
              <w:rPr>
                <w:rFonts w:ascii="Arial" w:cs="Arial" w:eastAsia="Arial" w:hAnsi="Arial"/>
                <w:sz w:val="15"/>
                <w:szCs w:val="15"/>
                <w:b w:val="1"/>
                <w:bCs w:val="1"/>
                <w:color w:val="auto"/>
                <w:w w:val="95"/>
              </w:rPr>
              <w:t>RUSH ENTERPRISES, INC.</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9800" w:type="dxa"/>
            <w:vAlign w:val="bottom"/>
          </w:tcPr>
          <w:p>
            <w:pPr>
              <w:jc w:val="center"/>
              <w:ind w:right="487"/>
              <w:spacing w:after="0"/>
              <w:rPr>
                <w:sz w:val="20"/>
                <w:szCs w:val="20"/>
                <w:color w:val="auto"/>
              </w:rPr>
            </w:pPr>
            <w:r>
              <w:rPr>
                <w:rFonts w:ascii="Arial" w:cs="Arial" w:eastAsia="Arial" w:hAnsi="Arial"/>
                <w:sz w:val="15"/>
                <w:szCs w:val="15"/>
                <w:b w:val="1"/>
                <w:bCs w:val="1"/>
                <w:color w:val="auto"/>
                <w:w w:val="91"/>
              </w:rPr>
              <w:t>Index to Form 10-K</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9800" w:type="dxa"/>
            <w:vAlign w:val="bottom"/>
          </w:tcPr>
          <w:p>
            <w:pPr>
              <w:jc w:val="center"/>
              <w:ind w:right="487"/>
              <w:spacing w:after="0"/>
              <w:rPr>
                <w:sz w:val="20"/>
                <w:szCs w:val="20"/>
                <w:color w:val="auto"/>
              </w:rPr>
            </w:pPr>
            <w:r>
              <w:rPr>
                <w:rFonts w:ascii="Arial" w:cs="Arial" w:eastAsia="Arial" w:hAnsi="Arial"/>
                <w:sz w:val="15"/>
                <w:szCs w:val="15"/>
                <w:b w:val="1"/>
                <w:bCs w:val="1"/>
                <w:color w:val="auto"/>
                <w:w w:val="87"/>
              </w:rPr>
              <w:t>Year ended December 31, 2013</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20" w:type="dxa"/>
            <w:vAlign w:val="bottom"/>
          </w:tcPr>
          <w:p>
            <w:pPr>
              <w:spacing w:after="0"/>
              <w:rPr>
                <w:sz w:val="24"/>
                <w:szCs w:val="24"/>
                <w:color w:val="auto"/>
              </w:rPr>
            </w:pPr>
          </w:p>
        </w:tc>
        <w:tc>
          <w:tcPr>
            <w:tcW w:w="9800" w:type="dxa"/>
            <w:vAlign w:val="bottom"/>
            <w:vMerge w:val="restart"/>
          </w:tcPr>
          <w:p>
            <w:pPr>
              <w:jc w:val="center"/>
              <w:ind w:right="447"/>
              <w:spacing w:after="0"/>
              <w:rPr>
                <w:sz w:val="20"/>
                <w:szCs w:val="20"/>
                <w:color w:val="auto"/>
              </w:rPr>
            </w:pPr>
            <w:r>
              <w:rPr>
                <w:rFonts w:ascii="Arial" w:cs="Arial" w:eastAsia="Arial" w:hAnsi="Arial"/>
                <w:sz w:val="15"/>
                <w:szCs w:val="15"/>
                <w:b w:val="1"/>
                <w:bCs w:val="1"/>
                <w:color w:val="auto"/>
                <w:w w:val="95"/>
              </w:rPr>
              <w:t>Part I</w:t>
            </w:r>
          </w:p>
        </w:tc>
        <w:tc>
          <w:tcPr>
            <w:tcW w:w="560" w:type="dxa"/>
            <w:vAlign w:val="bottom"/>
            <w:gridSpan w:val="2"/>
          </w:tcPr>
          <w:p>
            <w:pPr>
              <w:spacing w:after="0"/>
              <w:rPr>
                <w:sz w:val="20"/>
                <w:szCs w:val="20"/>
                <w:color w:val="auto"/>
              </w:rPr>
            </w:pPr>
            <w:r>
              <w:rPr>
                <w:rFonts w:ascii="Arial" w:cs="Arial" w:eastAsia="Arial" w:hAnsi="Arial"/>
                <w:sz w:val="15"/>
                <w:szCs w:val="15"/>
                <w:b w:val="1"/>
                <w:bCs w:val="1"/>
                <w:color w:val="auto"/>
                <w:w w:val="84"/>
              </w:rPr>
              <w:t>Page No.</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9800" w:type="dxa"/>
            <w:vAlign w:val="bottom"/>
            <w:vMerge w:val="continue"/>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1</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Business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40"/>
              <w:spacing w:after="0"/>
              <w:rPr>
                <w:sz w:val="20"/>
                <w:szCs w:val="20"/>
                <w:color w:val="auto"/>
              </w:rPr>
            </w:pPr>
            <w:r>
              <w:rPr>
                <w:rFonts w:ascii="Arial" w:cs="Arial" w:eastAsia="Arial" w:hAnsi="Arial"/>
                <w:sz w:val="15"/>
                <w:szCs w:val="15"/>
                <w:color w:val="auto"/>
              </w:rPr>
              <w:t>Item 1A</w:t>
            </w:r>
          </w:p>
        </w:tc>
        <w:tc>
          <w:tcPr>
            <w:tcW w:w="9800" w:type="dxa"/>
            <w:vAlign w:val="bottom"/>
          </w:tcPr>
          <w:p>
            <w:pPr>
              <w:ind w:left="620"/>
              <w:spacing w:after="0"/>
              <w:rPr>
                <w:sz w:val="20"/>
                <w:szCs w:val="20"/>
                <w:color w:val="auto"/>
              </w:rPr>
            </w:pPr>
            <w:r>
              <w:rPr>
                <w:rFonts w:ascii="Arial" w:cs="Arial" w:eastAsia="Arial" w:hAnsi="Arial"/>
                <w:sz w:val="15"/>
                <w:szCs w:val="15"/>
                <w:color w:val="auto"/>
              </w:rPr>
              <w:t>Risk Factors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1B</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Unresolved Staff Comments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40"/>
              <w:spacing w:after="0"/>
              <w:rPr>
                <w:sz w:val="20"/>
                <w:szCs w:val="20"/>
                <w:color w:val="auto"/>
              </w:rPr>
            </w:pPr>
            <w:r>
              <w:rPr>
                <w:rFonts w:ascii="Arial" w:cs="Arial" w:eastAsia="Arial" w:hAnsi="Arial"/>
                <w:sz w:val="15"/>
                <w:szCs w:val="15"/>
                <w:color w:val="auto"/>
              </w:rPr>
              <w:t>Item 2</w:t>
            </w:r>
          </w:p>
        </w:tc>
        <w:tc>
          <w:tcPr>
            <w:tcW w:w="9800" w:type="dxa"/>
            <w:vAlign w:val="bottom"/>
          </w:tcPr>
          <w:p>
            <w:pPr>
              <w:ind w:left="620"/>
              <w:spacing w:after="0"/>
              <w:rPr>
                <w:sz w:val="20"/>
                <w:szCs w:val="20"/>
                <w:color w:val="auto"/>
              </w:rPr>
            </w:pPr>
            <w:r>
              <w:rPr>
                <w:rFonts w:ascii="Arial" w:cs="Arial" w:eastAsia="Arial" w:hAnsi="Arial"/>
                <w:sz w:val="15"/>
                <w:szCs w:val="15"/>
                <w:color w:val="auto"/>
              </w:rPr>
              <w:t>Properties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3</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Legal Proceedings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40"/>
              <w:spacing w:after="0"/>
              <w:rPr>
                <w:sz w:val="20"/>
                <w:szCs w:val="20"/>
                <w:color w:val="auto"/>
              </w:rPr>
            </w:pPr>
            <w:r>
              <w:rPr>
                <w:rFonts w:ascii="Arial" w:cs="Arial" w:eastAsia="Arial" w:hAnsi="Arial"/>
                <w:sz w:val="15"/>
                <w:szCs w:val="15"/>
                <w:color w:val="auto"/>
              </w:rPr>
              <w:t>Item 4</w:t>
            </w:r>
          </w:p>
        </w:tc>
        <w:tc>
          <w:tcPr>
            <w:tcW w:w="9800" w:type="dxa"/>
            <w:vAlign w:val="bottom"/>
          </w:tcPr>
          <w:p>
            <w:pPr>
              <w:ind w:left="620"/>
              <w:spacing w:after="0"/>
              <w:rPr>
                <w:sz w:val="20"/>
                <w:szCs w:val="20"/>
                <w:color w:val="auto"/>
              </w:rPr>
            </w:pPr>
            <w:r>
              <w:rPr>
                <w:rFonts w:ascii="Arial" w:cs="Arial" w:eastAsia="Arial" w:hAnsi="Arial"/>
                <w:sz w:val="15"/>
                <w:szCs w:val="15"/>
                <w:color w:val="auto"/>
              </w:rPr>
              <w:t>Mine Safety Disclosures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1120" w:type="dxa"/>
            <w:vAlign w:val="bottom"/>
          </w:tcPr>
          <w:p>
            <w:pPr>
              <w:spacing w:after="0"/>
              <w:rPr>
                <w:sz w:val="24"/>
                <w:szCs w:val="24"/>
                <w:color w:val="auto"/>
              </w:rPr>
            </w:pPr>
          </w:p>
        </w:tc>
        <w:tc>
          <w:tcPr>
            <w:tcW w:w="9800" w:type="dxa"/>
            <w:vAlign w:val="bottom"/>
          </w:tcPr>
          <w:p>
            <w:pPr>
              <w:jc w:val="center"/>
              <w:ind w:right="447"/>
              <w:spacing w:after="0"/>
              <w:rPr>
                <w:sz w:val="20"/>
                <w:szCs w:val="20"/>
                <w:color w:val="auto"/>
              </w:rPr>
            </w:pPr>
            <w:r>
              <w:rPr>
                <w:rFonts w:ascii="Arial" w:cs="Arial" w:eastAsia="Arial" w:hAnsi="Arial"/>
                <w:sz w:val="15"/>
                <w:szCs w:val="15"/>
                <w:b w:val="1"/>
                <w:bCs w:val="1"/>
                <w:color w:val="auto"/>
              </w:rPr>
              <w:t>Part II</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5</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Market for Registrant’s Common Equity, Related Shareholder Matters and Issuer Purchases of Equity 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40"/>
              <w:spacing w:after="0"/>
              <w:rPr>
                <w:sz w:val="20"/>
                <w:szCs w:val="20"/>
                <w:color w:val="auto"/>
              </w:rPr>
            </w:pPr>
            <w:r>
              <w:rPr>
                <w:rFonts w:ascii="Arial" w:cs="Arial" w:eastAsia="Arial" w:hAnsi="Arial"/>
                <w:sz w:val="15"/>
                <w:szCs w:val="15"/>
                <w:color w:val="auto"/>
              </w:rPr>
              <w:t>Item 6</w:t>
            </w:r>
          </w:p>
        </w:tc>
        <w:tc>
          <w:tcPr>
            <w:tcW w:w="9800" w:type="dxa"/>
            <w:vAlign w:val="bottom"/>
          </w:tcPr>
          <w:p>
            <w:pPr>
              <w:ind w:left="620"/>
              <w:spacing w:after="0"/>
              <w:rPr>
                <w:sz w:val="20"/>
                <w:szCs w:val="20"/>
                <w:color w:val="auto"/>
              </w:rPr>
            </w:pPr>
            <w:r>
              <w:rPr>
                <w:rFonts w:ascii="Arial" w:cs="Arial" w:eastAsia="Arial" w:hAnsi="Arial"/>
                <w:sz w:val="15"/>
                <w:szCs w:val="15"/>
                <w:color w:val="auto"/>
              </w:rPr>
              <w:t>Selected Financial Data</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7</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40"/>
              <w:spacing w:after="0"/>
              <w:rPr>
                <w:sz w:val="20"/>
                <w:szCs w:val="20"/>
                <w:color w:val="auto"/>
              </w:rPr>
            </w:pPr>
            <w:r>
              <w:rPr>
                <w:rFonts w:ascii="Arial" w:cs="Arial" w:eastAsia="Arial" w:hAnsi="Arial"/>
                <w:sz w:val="15"/>
                <w:szCs w:val="15"/>
                <w:color w:val="auto"/>
              </w:rPr>
              <w:t>Item 7A</w:t>
            </w:r>
          </w:p>
        </w:tc>
        <w:tc>
          <w:tcPr>
            <w:tcW w:w="9800" w:type="dxa"/>
            <w:vAlign w:val="bottom"/>
          </w:tcPr>
          <w:p>
            <w:pPr>
              <w:ind w:left="620"/>
              <w:spacing w:after="0"/>
              <w:rPr>
                <w:sz w:val="20"/>
                <w:szCs w:val="20"/>
                <w:color w:val="auto"/>
              </w:rPr>
            </w:pPr>
            <w:r>
              <w:rPr>
                <w:rFonts w:ascii="Arial" w:cs="Arial" w:eastAsia="Arial" w:hAnsi="Arial"/>
                <w:sz w:val="15"/>
                <w:szCs w:val="15"/>
                <w:color w:val="auto"/>
              </w:rPr>
              <w:t>Quantitative and Qualitative Disclosures about Market Risk</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8</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Financial Statements and Supplementary Data</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40"/>
              <w:spacing w:after="0"/>
              <w:rPr>
                <w:sz w:val="20"/>
                <w:szCs w:val="20"/>
                <w:color w:val="auto"/>
              </w:rPr>
            </w:pPr>
            <w:r>
              <w:rPr>
                <w:rFonts w:ascii="Arial" w:cs="Arial" w:eastAsia="Arial" w:hAnsi="Arial"/>
                <w:sz w:val="15"/>
                <w:szCs w:val="15"/>
                <w:color w:val="auto"/>
              </w:rPr>
              <w:t>Item 9</w:t>
            </w:r>
          </w:p>
        </w:tc>
        <w:tc>
          <w:tcPr>
            <w:tcW w:w="9800" w:type="dxa"/>
            <w:vAlign w:val="bottom"/>
          </w:tcPr>
          <w:p>
            <w:pPr>
              <w:ind w:left="620"/>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9A</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Controls and Procedures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40"/>
              <w:spacing w:after="0"/>
              <w:rPr>
                <w:sz w:val="20"/>
                <w:szCs w:val="20"/>
                <w:color w:val="auto"/>
              </w:rPr>
            </w:pPr>
            <w:r>
              <w:rPr>
                <w:rFonts w:ascii="Arial" w:cs="Arial" w:eastAsia="Arial" w:hAnsi="Arial"/>
                <w:sz w:val="15"/>
                <w:szCs w:val="15"/>
                <w:color w:val="auto"/>
              </w:rPr>
              <w:t>Item 9B</w:t>
            </w:r>
          </w:p>
        </w:tc>
        <w:tc>
          <w:tcPr>
            <w:tcW w:w="9800" w:type="dxa"/>
            <w:vAlign w:val="bottom"/>
          </w:tcPr>
          <w:p>
            <w:pPr>
              <w:ind w:left="620"/>
              <w:spacing w:after="0"/>
              <w:rPr>
                <w:sz w:val="20"/>
                <w:szCs w:val="20"/>
                <w:color w:val="auto"/>
              </w:rPr>
            </w:pPr>
            <w:r>
              <w:rPr>
                <w:rFonts w:ascii="Arial" w:cs="Arial" w:eastAsia="Arial" w:hAnsi="Arial"/>
                <w:sz w:val="15"/>
                <w:szCs w:val="15"/>
                <w:color w:val="auto"/>
              </w:rPr>
              <w:t>Other Information</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1120" w:type="dxa"/>
            <w:vAlign w:val="bottom"/>
          </w:tcPr>
          <w:p>
            <w:pPr>
              <w:spacing w:after="0"/>
              <w:rPr>
                <w:sz w:val="24"/>
                <w:szCs w:val="24"/>
                <w:color w:val="auto"/>
              </w:rPr>
            </w:pPr>
          </w:p>
        </w:tc>
        <w:tc>
          <w:tcPr>
            <w:tcW w:w="9800" w:type="dxa"/>
            <w:vAlign w:val="bottom"/>
          </w:tcPr>
          <w:p>
            <w:pPr>
              <w:jc w:val="center"/>
              <w:ind w:right="447"/>
              <w:spacing w:after="0"/>
              <w:rPr>
                <w:sz w:val="20"/>
                <w:szCs w:val="20"/>
                <w:color w:val="auto"/>
              </w:rPr>
            </w:pPr>
            <w:r>
              <w:rPr>
                <w:rFonts w:ascii="Arial" w:cs="Arial" w:eastAsia="Arial" w:hAnsi="Arial"/>
                <w:sz w:val="15"/>
                <w:szCs w:val="15"/>
                <w:b w:val="1"/>
                <w:bCs w:val="1"/>
                <w:color w:val="auto"/>
              </w:rPr>
              <w:t>Part III</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10</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Directors, Executive Officers and Corporate Governance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40"/>
              <w:spacing w:after="0"/>
              <w:rPr>
                <w:sz w:val="20"/>
                <w:szCs w:val="20"/>
                <w:color w:val="auto"/>
              </w:rPr>
            </w:pPr>
            <w:r>
              <w:rPr>
                <w:rFonts w:ascii="Arial" w:cs="Arial" w:eastAsia="Arial" w:hAnsi="Arial"/>
                <w:sz w:val="15"/>
                <w:szCs w:val="15"/>
                <w:color w:val="auto"/>
              </w:rPr>
              <w:t>Item 11</w:t>
            </w:r>
          </w:p>
        </w:tc>
        <w:tc>
          <w:tcPr>
            <w:tcW w:w="9800" w:type="dxa"/>
            <w:vAlign w:val="bottom"/>
          </w:tcPr>
          <w:p>
            <w:pPr>
              <w:ind w:left="620"/>
              <w:spacing w:after="0"/>
              <w:rPr>
                <w:sz w:val="20"/>
                <w:szCs w:val="20"/>
                <w:color w:val="auto"/>
              </w:rPr>
            </w:pPr>
            <w:r>
              <w:rPr>
                <w:rFonts w:ascii="Arial" w:cs="Arial" w:eastAsia="Arial" w:hAnsi="Arial"/>
                <w:sz w:val="15"/>
                <w:szCs w:val="15"/>
                <w:color w:val="auto"/>
              </w:rPr>
              <w:t>Executive Compensation</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12</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Security Ownership of Certain Beneficial Owners and Management and Related Shareholder Matters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40"/>
              <w:spacing w:after="0"/>
              <w:rPr>
                <w:sz w:val="20"/>
                <w:szCs w:val="20"/>
                <w:color w:val="auto"/>
              </w:rPr>
            </w:pPr>
            <w:r>
              <w:rPr>
                <w:rFonts w:ascii="Arial" w:cs="Arial" w:eastAsia="Arial" w:hAnsi="Arial"/>
                <w:sz w:val="15"/>
                <w:szCs w:val="15"/>
                <w:color w:val="auto"/>
              </w:rPr>
              <w:t>Item 13</w:t>
            </w:r>
          </w:p>
        </w:tc>
        <w:tc>
          <w:tcPr>
            <w:tcW w:w="9800" w:type="dxa"/>
            <w:vAlign w:val="bottom"/>
          </w:tcPr>
          <w:p>
            <w:pPr>
              <w:ind w:left="620"/>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14</w:t>
            </w:r>
          </w:p>
        </w:tc>
        <w:tc>
          <w:tcPr>
            <w:tcW w:w="98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Principal Accountant Fees and Services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8"/>
        </w:trPr>
        <w:tc>
          <w:tcPr>
            <w:tcW w:w="1120" w:type="dxa"/>
            <w:vAlign w:val="bottom"/>
          </w:tcPr>
          <w:p>
            <w:pPr>
              <w:spacing w:after="0"/>
              <w:rPr>
                <w:sz w:val="24"/>
                <w:szCs w:val="24"/>
                <w:color w:val="auto"/>
              </w:rPr>
            </w:pPr>
          </w:p>
        </w:tc>
        <w:tc>
          <w:tcPr>
            <w:tcW w:w="9800" w:type="dxa"/>
            <w:vAlign w:val="bottom"/>
          </w:tcPr>
          <w:p>
            <w:pPr>
              <w:jc w:val="center"/>
              <w:ind w:right="447"/>
              <w:spacing w:after="0"/>
              <w:rPr>
                <w:sz w:val="20"/>
                <w:szCs w:val="20"/>
                <w:color w:val="auto"/>
              </w:rPr>
            </w:pPr>
            <w:r>
              <w:rPr>
                <w:rFonts w:ascii="Arial" w:cs="Arial" w:eastAsia="Arial" w:hAnsi="Arial"/>
                <w:sz w:val="15"/>
                <w:szCs w:val="15"/>
                <w:b w:val="1"/>
                <w:bCs w:val="1"/>
                <w:color w:val="auto"/>
              </w:rPr>
              <w:t>Part IV</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Item 15</w:t>
            </w:r>
          </w:p>
        </w:tc>
        <w:tc>
          <w:tcPr>
            <w:tcW w:w="98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Exhibits and Financial Statement Schedules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37"/>
        </w:trPr>
        <w:tc>
          <w:tcPr>
            <w:tcW w:w="112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NOTE REGARDING FORWARD-LOOKING STATEMENTS</w:t>
      </w:r>
    </w:p>
    <w:p>
      <w:pPr>
        <w:spacing w:after="0" w:line="181" w:lineRule="exact"/>
        <w:rPr>
          <w:sz w:val="20"/>
          <w:szCs w:val="20"/>
          <w:color w:val="auto"/>
        </w:rPr>
      </w:pPr>
    </w:p>
    <w:p>
      <w:pPr>
        <w:jc w:val="both"/>
        <w:ind w:right="40"/>
        <w:spacing w:after="0" w:line="309" w:lineRule="auto"/>
        <w:rPr>
          <w:sz w:val="20"/>
          <w:szCs w:val="20"/>
          <w:color w:val="auto"/>
        </w:rPr>
      </w:pPr>
      <w:r>
        <w:rPr>
          <w:rFonts w:ascii="Arial" w:cs="Arial" w:eastAsia="Arial" w:hAnsi="Arial"/>
          <w:sz w:val="12"/>
          <w:szCs w:val="12"/>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REGARDING INCORPORATION BY REFERENCE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5"/>
          <w:szCs w:val="15"/>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REGARDING TRADEMARKS COMMONLY USED IN THE COMPANY’S FILINGS</w:t>
      </w:r>
    </w:p>
    <w:p>
      <w:pPr>
        <w:spacing w:after="0" w:line="161" w:lineRule="exact"/>
        <w:rPr>
          <w:sz w:val="20"/>
          <w:szCs w:val="20"/>
          <w:color w:val="auto"/>
        </w:rPr>
      </w:pPr>
    </w:p>
    <w:p>
      <w:pPr>
        <w:jc w:val="both"/>
        <w:ind w:right="40"/>
        <w:spacing w:after="0" w:line="196" w:lineRule="auto"/>
        <w:rPr>
          <w:sz w:val="20"/>
          <w:szCs w:val="20"/>
          <w:color w:val="auto"/>
        </w:rPr>
      </w:pPr>
      <w:r>
        <w:rPr>
          <w:rFonts w:ascii="Arial" w:cs="Arial" w:eastAsia="Arial" w:hAnsi="Arial"/>
          <w:sz w:val="13"/>
          <w:szCs w:val="13"/>
          <w:i w:val="1"/>
          <w:iCs w:val="1"/>
          <w:color w:val="auto"/>
        </w:rPr>
        <w:t>Peterbilt</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Peterbilt Motors Company. PACCAR</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PACCAR, Inc. PacLease</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PACCAR Leasing Corporation. Kenworth</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PACCAR, Inc. doing business as Kenworth Truck Company. Navistar</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Navistar International Corporation. International</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Navistar International Transportation Corp. Blue Bird</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Blue Bird Investment Corporation. IC Bus</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IC Bus, LLC. Collins Bus Corporation</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Collins Bus Corporation. Fuso</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Mitsubishi Fuso Truck and Bus Corporation. Micro Bird</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Blue Bird Body Company. Hino</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Hino Motors, Ltd. Isuzu</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Isuzu Motors Limited. Ford Motor Credit Company</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Ford Motor Company. Autocar</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Shem, LLC. GMC</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General Motors Corporation. Volvo</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Volvo Trademark Holding AB. Freightliner</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Freightliner Corporation. Mack</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Mack Trucks, Inc. Ford</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Ford Motor Company. Eaton</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Eaton Corporation. Cummins</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Cummins Intellectual Property, Inc. CitiCapital</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Citicorp. JPMorgan Chase</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JP Morgan Chase &amp; Co. SAP</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xml:space="preserve"> is a registered trademark of SAP Aktiengesellschaft.</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496" w:right="49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5"/>
          <w:szCs w:val="15"/>
          <w:b w:val="1"/>
          <w:bCs w:val="1"/>
          <w:color w:val="auto"/>
        </w:rPr>
        <w:t>PART I</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81"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References herein to “the Company,” “Rush Enterprises,” “Rush,” “we,” “our” or “us” mean Rush Enterprises, Inc., a Texas corporation, and its subsidiaries unless the context requires otherwise.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Access to Company Information</w:t>
      </w:r>
    </w:p>
    <w:p>
      <w:pPr>
        <w:spacing w:after="0" w:line="181"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Rush electronically files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58"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incorporated into this report or otherwise made part of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81" w:lineRule="exact"/>
        <w:rPr>
          <w:sz w:val="20"/>
          <w:szCs w:val="20"/>
          <w:color w:val="auto"/>
        </w:rPr>
      </w:pPr>
    </w:p>
    <w:p>
      <w:pPr>
        <w:jc w:val="both"/>
        <w:ind w:right="20" w:firstLine="525"/>
        <w:spacing w:after="0" w:line="294" w:lineRule="auto"/>
        <w:rPr>
          <w:sz w:val="20"/>
          <w:szCs w:val="20"/>
          <w:color w:val="auto"/>
        </w:rPr>
      </w:pPr>
      <w:r>
        <w:rPr>
          <w:rFonts w:ascii="Arial" w:cs="Arial" w:eastAsia="Arial" w:hAnsi="Arial"/>
          <w:sz w:val="14"/>
          <w:szCs w:val="14"/>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30" w:lineRule="exact"/>
        <w:rPr>
          <w:sz w:val="20"/>
          <w:szCs w:val="20"/>
          <w:color w:val="auto"/>
        </w:rPr>
      </w:pPr>
    </w:p>
    <w:p>
      <w:pPr>
        <w:jc w:val="both"/>
        <w:ind w:firstLine="525"/>
        <w:spacing w:after="0" w:line="271" w:lineRule="auto"/>
        <w:rPr>
          <w:sz w:val="20"/>
          <w:szCs w:val="20"/>
          <w:color w:val="auto"/>
        </w:rPr>
      </w:pPr>
      <w:r>
        <w:rPr>
          <w:rFonts w:ascii="Arial" w:cs="Arial" w:eastAsia="Arial" w:hAnsi="Arial"/>
          <w:sz w:val="14"/>
          <w:szCs w:val="14"/>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47"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The Company’s Rush Truck Centers are principally located in high traffic areas throughout the United States. Since commencing operations as a Peterbilt heavy-duty truck dealer in 1966, the Company has grown to operate 106 Rush Truck Centers in 20 states.</w:t>
      </w:r>
    </w:p>
    <w:p>
      <w:pPr>
        <w:spacing w:after="0" w:line="152"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58"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i w:val="1"/>
          <w:iCs w:val="1"/>
          <w:color w:val="auto"/>
        </w:rPr>
        <w:t xml:space="preserve">Rush Truck Centers. </w:t>
      </w:r>
      <w:r>
        <w:rPr>
          <w:rFonts w:ascii="Arial" w:cs="Arial" w:eastAsia="Arial" w:hAnsi="Arial"/>
          <w:sz w:val="15"/>
          <w:szCs w:val="15"/>
          <w:color w:val="auto"/>
        </w:rPr>
        <w:t>Our Rush Truck Centers are located in Alabama, Arizona, California, Colorado, Florida, Georgia, Idaho, Illinois, Indiana, Kansas, Missouri, New Mexico, North</w:t>
      </w:r>
      <w:r>
        <w:rPr>
          <w:rFonts w:ascii="Arial" w:cs="Arial" w:eastAsia="Arial" w:hAnsi="Arial"/>
          <w:sz w:val="15"/>
          <w:szCs w:val="15"/>
          <w:i w:val="1"/>
          <w:iCs w:val="1"/>
          <w:color w:val="auto"/>
        </w:rPr>
        <w:t xml:space="preserve"> </w:t>
      </w:r>
      <w:r>
        <w:rPr>
          <w:rFonts w:ascii="Arial" w:cs="Arial" w:eastAsia="Arial" w:hAnsi="Arial"/>
          <w:sz w:val="15"/>
          <w:szCs w:val="15"/>
          <w:color w:val="auto"/>
        </w:rPr>
        <w:t>Carolina, Ohio, Oklahoma, Oregon, Tennessee, Texas, Utah and Virginia. The following chart reflects our franchises and parts, service and body shop operations by location as of March 3, 2014:</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496"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Rush Truck Center Location</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Heavy-Duty Franchise(s)</w:t>
            </w: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Medium-Duty, Light-Duty and Bus Franchise(s)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Parts</w:t>
            </w:r>
          </w:p>
        </w:tc>
        <w:tc>
          <w:tcPr>
            <w:tcW w:w="9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b w:val="1"/>
                <w:bCs w:val="1"/>
                <w:color w:val="auto"/>
                <w:w w:val="86"/>
              </w:rPr>
              <w:t>Service</w:t>
            </w:r>
          </w:p>
        </w:tc>
        <w:tc>
          <w:tcPr>
            <w:tcW w:w="960" w:type="dxa"/>
            <w:vAlign w:val="bottom"/>
            <w:tcBorders>
              <w:bottom w:val="single" w:sz="8" w:color="auto"/>
            </w:tcBorders>
          </w:tcPr>
          <w:p>
            <w:pPr>
              <w:jc w:val="center"/>
              <w:ind w:left="27"/>
              <w:spacing w:after="0"/>
              <w:rPr>
                <w:sz w:val="20"/>
                <w:szCs w:val="20"/>
                <w:color w:val="auto"/>
              </w:rPr>
            </w:pPr>
            <w:r>
              <w:rPr>
                <w:rFonts w:ascii="Arial" w:cs="Arial" w:eastAsia="Arial" w:hAnsi="Arial"/>
                <w:sz w:val="15"/>
                <w:szCs w:val="15"/>
                <w:b w:val="1"/>
                <w:bCs w:val="1"/>
                <w:color w:val="auto"/>
                <w:w w:val="83"/>
              </w:rPr>
              <w:t>Body Shop</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Alabama:</w:t>
            </w:r>
          </w:p>
        </w:tc>
        <w:tc>
          <w:tcPr>
            <w:tcW w:w="21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Mobile</w:t>
            </w:r>
          </w:p>
        </w:tc>
        <w:tc>
          <w:tcPr>
            <w:tcW w:w="2100" w:type="dxa"/>
            <w:vAlign w:val="bottom"/>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tcPr>
          <w:p>
            <w:pPr>
              <w:spacing w:after="0" w:line="142" w:lineRule="exact"/>
              <w:rPr>
                <w:sz w:val="20"/>
                <w:szCs w:val="20"/>
                <w:color w:val="auto"/>
              </w:rPr>
            </w:pPr>
            <w:r>
              <w:rPr>
                <w:rFonts w:ascii="Arial" w:cs="Arial" w:eastAsia="Arial" w:hAnsi="Arial"/>
                <w:sz w:val="15"/>
                <w:szCs w:val="15"/>
                <w:b w:val="1"/>
                <w:bCs w:val="1"/>
                <w:i w:val="1"/>
                <w:iCs w:val="1"/>
                <w:color w:val="auto"/>
              </w:rPr>
              <w:t>Arizona:</w:t>
            </w:r>
          </w:p>
        </w:tc>
        <w:tc>
          <w:tcPr>
            <w:tcW w:w="2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Flagstaff</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None</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Phoenix</w:t>
            </w:r>
          </w:p>
        </w:tc>
        <w:tc>
          <w:tcPr>
            <w:tcW w:w="2100" w:type="dxa"/>
            <w:vAlign w:val="bottom"/>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tcPr>
          <w:p>
            <w:pPr>
              <w:jc w:val="center"/>
              <w:spacing w:after="0"/>
              <w:rPr>
                <w:sz w:val="20"/>
                <w:szCs w:val="20"/>
                <w:color w:val="auto"/>
              </w:rPr>
            </w:pPr>
            <w:r>
              <w:rPr>
                <w:rFonts w:ascii="Arial" w:cs="Arial" w:eastAsia="Arial" w:hAnsi="Arial"/>
                <w:sz w:val="15"/>
                <w:szCs w:val="15"/>
                <w:color w:val="auto"/>
                <w:w w:val="91"/>
              </w:rPr>
              <w:t>Peterbilt, Hino</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Tucson</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Peterbilt, Hino</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Yuma</w:t>
            </w:r>
          </w:p>
        </w:tc>
        <w:tc>
          <w:tcPr>
            <w:tcW w:w="2100" w:type="dxa"/>
            <w:vAlign w:val="bottom"/>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tcPr>
          <w:p>
            <w:pPr>
              <w:spacing w:after="0" w:line="142" w:lineRule="exact"/>
              <w:rPr>
                <w:sz w:val="20"/>
                <w:szCs w:val="20"/>
                <w:color w:val="auto"/>
              </w:rPr>
            </w:pPr>
            <w:r>
              <w:rPr>
                <w:rFonts w:ascii="Arial" w:cs="Arial" w:eastAsia="Arial" w:hAnsi="Arial"/>
                <w:sz w:val="15"/>
                <w:szCs w:val="15"/>
                <w:b w:val="1"/>
                <w:bCs w:val="1"/>
                <w:i w:val="1"/>
                <w:iCs w:val="1"/>
                <w:color w:val="auto"/>
              </w:rPr>
              <w:t>California:</w:t>
            </w:r>
          </w:p>
        </w:tc>
        <w:tc>
          <w:tcPr>
            <w:tcW w:w="2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Fontana Heavy-Duty</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Fontana Medium-Duty</w:t>
            </w:r>
          </w:p>
        </w:tc>
        <w:tc>
          <w:tcPr>
            <w:tcW w:w="2100" w:type="dxa"/>
            <w:vAlign w:val="bottom"/>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Peterbilt, Hino, Isuzu</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Pico Rivera</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San Diego</w:t>
            </w:r>
          </w:p>
        </w:tc>
        <w:tc>
          <w:tcPr>
            <w:tcW w:w="2100" w:type="dxa"/>
            <w:vAlign w:val="bottom"/>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tcPr>
          <w:p>
            <w:pPr>
              <w:jc w:val="center"/>
              <w:spacing w:after="0"/>
              <w:rPr>
                <w:sz w:val="20"/>
                <w:szCs w:val="20"/>
                <w:color w:val="auto"/>
              </w:rPr>
            </w:pPr>
            <w:r>
              <w:rPr>
                <w:rFonts w:ascii="Arial" w:cs="Arial" w:eastAsia="Arial" w:hAnsi="Arial"/>
                <w:sz w:val="15"/>
                <w:szCs w:val="15"/>
                <w:color w:val="auto"/>
                <w:w w:val="91"/>
              </w:rPr>
              <w:t>Peterbilt, Hino</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Sylmar</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Whittier</w:t>
            </w:r>
          </w:p>
        </w:tc>
        <w:tc>
          <w:tcPr>
            <w:tcW w:w="2100" w:type="dxa"/>
            <w:vAlign w:val="bottom"/>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tcPr>
          <w:p>
            <w:pPr>
              <w:jc w:val="center"/>
              <w:spacing w:after="0"/>
              <w:rPr>
                <w:sz w:val="20"/>
                <w:szCs w:val="20"/>
                <w:color w:val="auto"/>
              </w:rPr>
            </w:pPr>
            <w:r>
              <w:rPr>
                <w:rFonts w:ascii="Arial" w:cs="Arial" w:eastAsia="Arial" w:hAnsi="Arial"/>
                <w:sz w:val="15"/>
                <w:szCs w:val="15"/>
                <w:color w:val="auto"/>
                <w:w w:val="87"/>
              </w:rPr>
              <w:t>Ford, Isuzu</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tcPr>
          <w:p>
            <w:pPr>
              <w:spacing w:after="0" w:line="142" w:lineRule="exact"/>
              <w:rPr>
                <w:sz w:val="20"/>
                <w:szCs w:val="20"/>
                <w:color w:val="auto"/>
              </w:rPr>
            </w:pPr>
            <w:r>
              <w:rPr>
                <w:rFonts w:ascii="Arial" w:cs="Arial" w:eastAsia="Arial" w:hAnsi="Arial"/>
                <w:sz w:val="15"/>
                <w:szCs w:val="15"/>
                <w:b w:val="1"/>
                <w:bCs w:val="1"/>
                <w:i w:val="1"/>
                <w:iCs w:val="1"/>
                <w:color w:val="auto"/>
              </w:rPr>
              <w:t>Colorado:</w:t>
            </w:r>
          </w:p>
        </w:tc>
        <w:tc>
          <w:tcPr>
            <w:tcW w:w="2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Denver Heavy-Duty</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Denver Medium-Duty</w:t>
            </w:r>
          </w:p>
        </w:tc>
        <w:tc>
          <w:tcPr>
            <w:tcW w:w="2100" w:type="dxa"/>
            <w:vAlign w:val="bottom"/>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tcPr>
          <w:p>
            <w:pPr>
              <w:jc w:val="center"/>
              <w:spacing w:after="0"/>
              <w:rPr>
                <w:sz w:val="20"/>
                <w:szCs w:val="20"/>
                <w:color w:val="auto"/>
              </w:rPr>
            </w:pPr>
            <w:r>
              <w:rPr>
                <w:rFonts w:ascii="Arial" w:cs="Arial" w:eastAsia="Arial" w:hAnsi="Arial"/>
                <w:sz w:val="15"/>
                <w:szCs w:val="15"/>
                <w:color w:val="auto"/>
                <w:w w:val="87"/>
              </w:rPr>
              <w:t>Ford, Isuzu</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Greeley</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Pueblo</w:t>
            </w:r>
          </w:p>
        </w:tc>
        <w:tc>
          <w:tcPr>
            <w:tcW w:w="2100" w:type="dxa"/>
            <w:vAlign w:val="bottom"/>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tcPr>
          <w:p>
            <w:pPr>
              <w:spacing w:after="0" w:line="142" w:lineRule="exact"/>
              <w:rPr>
                <w:sz w:val="20"/>
                <w:szCs w:val="20"/>
                <w:color w:val="auto"/>
              </w:rPr>
            </w:pPr>
            <w:r>
              <w:rPr>
                <w:rFonts w:ascii="Arial" w:cs="Arial" w:eastAsia="Arial" w:hAnsi="Arial"/>
                <w:sz w:val="15"/>
                <w:szCs w:val="15"/>
                <w:b w:val="1"/>
                <w:bCs w:val="1"/>
                <w:i w:val="1"/>
                <w:iCs w:val="1"/>
                <w:color w:val="auto"/>
              </w:rPr>
              <w:t>Florida:</w:t>
            </w:r>
          </w:p>
        </w:tc>
        <w:tc>
          <w:tcPr>
            <w:tcW w:w="2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Haines City</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Jacksonville</w:t>
            </w:r>
          </w:p>
        </w:tc>
        <w:tc>
          <w:tcPr>
            <w:tcW w:w="2100" w:type="dxa"/>
            <w:vAlign w:val="bottom"/>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tcPr>
          <w:p>
            <w:pPr>
              <w:jc w:val="center"/>
              <w:spacing w:after="0"/>
              <w:rPr>
                <w:sz w:val="20"/>
                <w:szCs w:val="20"/>
                <w:color w:val="auto"/>
              </w:rPr>
            </w:pPr>
            <w:r>
              <w:rPr>
                <w:rFonts w:ascii="Arial" w:cs="Arial" w:eastAsia="Arial" w:hAnsi="Arial"/>
                <w:sz w:val="15"/>
                <w:szCs w:val="15"/>
                <w:color w:val="auto"/>
                <w:w w:val="91"/>
              </w:rPr>
              <w:t>Peterbilt, Hino</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Orlando Heavy-Duty</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Peterbilt, Isuzu</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Orlando Light &amp; Medium-Duty</w:t>
            </w:r>
          </w:p>
        </w:tc>
        <w:tc>
          <w:tcPr>
            <w:tcW w:w="2100" w:type="dxa"/>
            <w:vAlign w:val="bottom"/>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tcPr>
          <w:p>
            <w:pPr>
              <w:jc w:val="center"/>
              <w:spacing w:after="0"/>
              <w:rPr>
                <w:sz w:val="20"/>
                <w:szCs w:val="20"/>
                <w:color w:val="auto"/>
              </w:rPr>
            </w:pPr>
            <w:r>
              <w:rPr>
                <w:rFonts w:ascii="Arial" w:cs="Arial" w:eastAsia="Arial" w:hAnsi="Arial"/>
                <w:sz w:val="15"/>
                <w:szCs w:val="15"/>
                <w:color w:val="auto"/>
                <w:w w:val="90"/>
              </w:rPr>
              <w:t>Ford</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Orlando South</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Isuzu</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Tampa</w:t>
            </w:r>
          </w:p>
        </w:tc>
        <w:tc>
          <w:tcPr>
            <w:tcW w:w="2100" w:type="dxa"/>
            <w:vAlign w:val="bottom"/>
          </w:tcPr>
          <w:p>
            <w:pPr>
              <w:jc w:val="center"/>
              <w:spacing w:after="0"/>
              <w:rPr>
                <w:sz w:val="20"/>
                <w:szCs w:val="20"/>
                <w:color w:val="auto"/>
              </w:rPr>
            </w:pPr>
            <w:r>
              <w:rPr>
                <w:rFonts w:ascii="Arial" w:cs="Arial" w:eastAsia="Arial" w:hAnsi="Arial"/>
                <w:sz w:val="15"/>
                <w:szCs w:val="15"/>
                <w:color w:val="auto"/>
                <w:w w:val="87"/>
              </w:rPr>
              <w:t>Peterbilt</w:t>
            </w:r>
          </w:p>
        </w:tc>
        <w:tc>
          <w:tcPr>
            <w:tcW w:w="348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tcPr>
          <w:p>
            <w:pPr>
              <w:spacing w:after="0" w:line="142" w:lineRule="exact"/>
              <w:rPr>
                <w:sz w:val="20"/>
                <w:szCs w:val="20"/>
                <w:color w:val="auto"/>
              </w:rPr>
            </w:pPr>
            <w:r>
              <w:rPr>
                <w:rFonts w:ascii="Arial" w:cs="Arial" w:eastAsia="Arial" w:hAnsi="Arial"/>
                <w:sz w:val="15"/>
                <w:szCs w:val="15"/>
                <w:b w:val="1"/>
                <w:bCs w:val="1"/>
                <w:i w:val="1"/>
                <w:iCs w:val="1"/>
                <w:color w:val="auto"/>
              </w:rPr>
              <w:t>Georgia:</w:t>
            </w:r>
          </w:p>
        </w:tc>
        <w:tc>
          <w:tcPr>
            <w:tcW w:w="2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5"/>
            <w:shd w:val="clear" w:color="auto" w:fill="CCEEFF"/>
          </w:tcPr>
          <w:p>
            <w:pPr>
              <w:ind w:left="140"/>
              <w:spacing w:after="0"/>
              <w:rPr>
                <w:sz w:val="20"/>
                <w:szCs w:val="20"/>
                <w:color w:val="auto"/>
              </w:rPr>
            </w:pPr>
            <w:r>
              <w:rPr>
                <w:rFonts w:ascii="Arial" w:cs="Arial" w:eastAsia="Arial" w:hAnsi="Arial"/>
                <w:sz w:val="15"/>
                <w:szCs w:val="15"/>
                <w:color w:val="auto"/>
              </w:rPr>
              <w:t>Atlanta</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International, Hino, Isuzu, IC Bus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Atlanta Bus Center</w:t>
            </w:r>
          </w:p>
        </w:tc>
        <w:tc>
          <w:tcPr>
            <w:tcW w:w="2100" w:type="dxa"/>
            <w:vAlign w:val="bottom"/>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tcPr>
          <w:p>
            <w:pPr>
              <w:jc w:val="center"/>
              <w:spacing w:after="0"/>
              <w:rPr>
                <w:sz w:val="20"/>
                <w:szCs w:val="20"/>
                <w:color w:val="auto"/>
              </w:rPr>
            </w:pPr>
            <w:r>
              <w:rPr>
                <w:rFonts w:ascii="Arial" w:cs="Arial" w:eastAsia="Arial" w:hAnsi="Arial"/>
                <w:sz w:val="15"/>
                <w:szCs w:val="15"/>
                <w:color w:val="auto"/>
                <w:w w:val="88"/>
              </w:rPr>
              <w:t>IC Bus</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Columbus</w:t>
            </w:r>
          </w:p>
        </w:tc>
        <w:tc>
          <w:tcPr>
            <w:tcW w:w="2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None</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Isuzu, IC Bus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Doraville</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90"/>
              </w:rPr>
              <w:t>International, Hino, Isuzu, IC Bus</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Smyrna</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International, Hino, Isuzu, IC Bus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Idaho:</w:t>
            </w:r>
          </w:p>
        </w:tc>
        <w:tc>
          <w:tcPr>
            <w:tcW w:w="21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Boise</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90"/>
              </w:rPr>
              <w:t>International, IC Bus, Autocar, Kalmar</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Idaho Falls</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International, IC Bus, Kalmar</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Lewiston</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Twin Falls</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5"/>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Illinois:</w:t>
            </w:r>
          </w:p>
        </w:tc>
        <w:tc>
          <w:tcPr>
            <w:tcW w:w="21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000000"/>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Bloomington</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Carol Stream</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Champaign</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Chicago</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Decatur</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Grayslake</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Huntley</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Joliet</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Kankakee</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Ottawa</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160"/>
              <w:spacing w:after="0"/>
              <w:rPr>
                <w:sz w:val="20"/>
                <w:szCs w:val="20"/>
                <w:color w:val="auto"/>
              </w:rPr>
            </w:pPr>
            <w:r>
              <w:rPr>
                <w:rFonts w:ascii="Arial" w:cs="Arial" w:eastAsia="Arial" w:hAnsi="Arial"/>
                <w:sz w:val="15"/>
                <w:szCs w:val="15"/>
                <w:color w:val="auto"/>
              </w:rPr>
              <w:t>Quincy</w:t>
            </w:r>
          </w:p>
        </w:tc>
        <w:tc>
          <w:tcPr>
            <w:tcW w:w="2100" w:type="dxa"/>
            <w:vAlign w:val="bottom"/>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Springfield</w:t>
            </w:r>
          </w:p>
        </w:tc>
        <w:tc>
          <w:tcPr>
            <w:tcW w:w="21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International</w:t>
            </w:r>
          </w:p>
        </w:tc>
        <w:tc>
          <w:tcPr>
            <w:tcW w:w="3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80" w:type="dxa"/>
            <w:vAlign w:val="bottom"/>
          </w:tcPr>
          <w:p>
            <w:pPr>
              <w:jc w:val="right"/>
              <w:ind w:right="2307"/>
              <w:spacing w:after="0"/>
              <w:rPr>
                <w:sz w:val="20"/>
                <w:szCs w:val="20"/>
                <w:color w:val="auto"/>
              </w:rPr>
            </w:pPr>
            <w:r>
              <w:rPr>
                <w:rFonts w:ascii="Arial" w:cs="Arial" w:eastAsia="Arial" w:hAnsi="Arial"/>
                <w:sz w:val="15"/>
                <w:szCs w:val="15"/>
                <w:color w:val="auto"/>
              </w:rPr>
              <w:t>3</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671"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2100" w:type="dxa"/>
            <w:vAlign w:val="bottom"/>
            <w:tcBorders>
              <w:left w:val="single" w:sz="8" w:color="CCEEFF"/>
              <w:bottom w:val="single" w:sz="8" w:color="auto"/>
            </w:tcBorders>
            <w:gridSpan w:val="4"/>
            <w:shd w:val="clear" w:color="auto" w:fill="CCEEFF"/>
          </w:tcPr>
          <w:p>
            <w:pPr>
              <w:spacing w:after="0"/>
              <w:rPr>
                <w:sz w:val="20"/>
                <w:szCs w:val="20"/>
                <w:color w:val="auto"/>
              </w:rPr>
            </w:pPr>
            <w:r>
              <w:rPr>
                <w:rFonts w:ascii="Arial" w:cs="Arial" w:eastAsia="Arial" w:hAnsi="Arial"/>
                <w:sz w:val="15"/>
                <w:szCs w:val="15"/>
                <w:b w:val="1"/>
                <w:bCs w:val="1"/>
                <w:color w:val="auto"/>
              </w:rPr>
              <w:t>Rush Truck Center Location</w:t>
            </w:r>
          </w:p>
        </w:tc>
        <w:tc>
          <w:tcPr>
            <w:tcW w:w="2060" w:type="dxa"/>
            <w:vAlign w:val="bottom"/>
            <w:tcBorders>
              <w:bottom w:val="single" w:sz="8" w:color="auto"/>
            </w:tcBorders>
            <w:shd w:val="clear" w:color="auto" w:fill="CCEEFF"/>
          </w:tcPr>
          <w:p>
            <w:pPr>
              <w:jc w:val="center"/>
              <w:ind w:left="27"/>
              <w:spacing w:after="0"/>
              <w:rPr>
                <w:sz w:val="20"/>
                <w:szCs w:val="20"/>
                <w:color w:val="auto"/>
              </w:rPr>
            </w:pPr>
            <w:r>
              <w:rPr>
                <w:rFonts w:ascii="Arial" w:cs="Arial" w:eastAsia="Arial" w:hAnsi="Arial"/>
                <w:sz w:val="15"/>
                <w:szCs w:val="15"/>
                <w:b w:val="1"/>
                <w:bCs w:val="1"/>
                <w:color w:val="auto"/>
                <w:w w:val="88"/>
              </w:rPr>
              <w:t>Heavy-Duty Franchise(s)</w:t>
            </w:r>
          </w:p>
        </w:tc>
        <w:tc>
          <w:tcPr>
            <w:tcW w:w="3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9"/>
              </w:rPr>
              <w:t>Medium-Duty, Light-Duty and Bus Franchise(s)</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5"/>
              </w:rPr>
              <w:t>Parts</w:t>
            </w:r>
          </w:p>
        </w:tc>
        <w:tc>
          <w:tcPr>
            <w:tcW w:w="900" w:type="dxa"/>
            <w:vAlign w:val="bottom"/>
            <w:tcBorders>
              <w:bottom w:val="single" w:sz="8" w:color="auto"/>
            </w:tcBorders>
            <w:shd w:val="clear" w:color="auto" w:fill="CCEEFF"/>
          </w:tcPr>
          <w:p>
            <w:pPr>
              <w:jc w:val="center"/>
              <w:ind w:left="7"/>
              <w:spacing w:after="0"/>
              <w:rPr>
                <w:sz w:val="20"/>
                <w:szCs w:val="20"/>
                <w:color w:val="auto"/>
              </w:rPr>
            </w:pPr>
            <w:r>
              <w:rPr>
                <w:rFonts w:ascii="Arial" w:cs="Arial" w:eastAsia="Arial" w:hAnsi="Arial"/>
                <w:sz w:val="15"/>
                <w:szCs w:val="15"/>
                <w:b w:val="1"/>
                <w:bCs w:val="1"/>
                <w:color w:val="auto"/>
                <w:w w:val="86"/>
              </w:rPr>
              <w:t>Service</w:t>
            </w:r>
          </w:p>
        </w:tc>
        <w:tc>
          <w:tcPr>
            <w:tcW w:w="960" w:type="dxa"/>
            <w:vAlign w:val="bottom"/>
            <w:tcBorders>
              <w:bottom w:val="single" w:sz="8" w:color="auto"/>
            </w:tcBorders>
            <w:shd w:val="clear" w:color="auto" w:fill="CCEEFF"/>
          </w:tcPr>
          <w:p>
            <w:pPr>
              <w:jc w:val="center"/>
              <w:ind w:left="27"/>
              <w:spacing w:after="0"/>
              <w:rPr>
                <w:sz w:val="20"/>
                <w:szCs w:val="20"/>
                <w:color w:val="auto"/>
              </w:rPr>
            </w:pPr>
            <w:r>
              <w:rPr>
                <w:rFonts w:ascii="Arial" w:cs="Arial" w:eastAsia="Arial" w:hAnsi="Arial"/>
                <w:sz w:val="15"/>
                <w:szCs w:val="15"/>
                <w:b w:val="1"/>
                <w:bCs w:val="1"/>
                <w:color w:val="auto"/>
                <w:w w:val="83"/>
              </w:rPr>
              <w:t>Body Shop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6"/>
          </w:tcPr>
          <w:p>
            <w:pPr>
              <w:spacing w:after="0" w:line="115" w:lineRule="exact"/>
              <w:rPr>
                <w:sz w:val="20"/>
                <w:szCs w:val="20"/>
                <w:color w:val="auto"/>
              </w:rPr>
            </w:pPr>
            <w:r>
              <w:rPr>
                <w:rFonts w:ascii="Arial" w:cs="Arial" w:eastAsia="Arial" w:hAnsi="Arial"/>
                <w:sz w:val="12"/>
                <w:szCs w:val="12"/>
                <w:b w:val="1"/>
                <w:bCs w:val="1"/>
                <w:i w:val="1"/>
                <w:iCs w:val="1"/>
                <w:color w:val="auto"/>
              </w:rPr>
              <w:t>Indiana:</w:t>
            </w:r>
          </w:p>
        </w:tc>
        <w:tc>
          <w:tcPr>
            <w:tcW w:w="20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Brazil</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Gary</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Indianapolis</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460" w:type="dxa"/>
            <w:vAlign w:val="bottom"/>
            <w:tcBorders>
              <w:bottom w:val="single" w:sz="8" w:color="auto"/>
              <w:right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w w:val="71"/>
              </w:rPr>
              <w:t>Kansas:</w:t>
            </w:r>
          </w:p>
        </w:tc>
        <w:tc>
          <w:tcPr>
            <w:tcW w:w="2100" w:type="dxa"/>
            <w:vAlign w:val="bottom"/>
            <w:tcBorders>
              <w:left w:val="single" w:sz="8" w:color="CCEEFF"/>
              <w:bottom w:val="single" w:sz="8" w:color="CCEEFF"/>
            </w:tcBorders>
            <w:gridSpan w:val="4"/>
            <w:shd w:val="clear" w:color="auto" w:fill="CCEEFF"/>
          </w:tcPr>
          <w:p>
            <w:pPr>
              <w:spacing w:after="0"/>
              <w:rPr>
                <w:sz w:val="13"/>
                <w:szCs w:val="13"/>
                <w:color w:val="auto"/>
              </w:rPr>
            </w:pPr>
          </w:p>
        </w:tc>
        <w:tc>
          <w:tcPr>
            <w:tcW w:w="2060" w:type="dxa"/>
            <w:vAlign w:val="bottom"/>
            <w:tcBorders>
              <w:bottom w:val="single" w:sz="8" w:color="CCEEFF"/>
            </w:tcBorders>
            <w:shd w:val="clear" w:color="auto" w:fill="CCEEFF"/>
          </w:tcPr>
          <w:p>
            <w:pPr>
              <w:spacing w:after="0"/>
              <w:rPr>
                <w:sz w:val="13"/>
                <w:szCs w:val="13"/>
                <w:color w:val="auto"/>
              </w:rPr>
            </w:pPr>
          </w:p>
        </w:tc>
        <w:tc>
          <w:tcPr>
            <w:tcW w:w="35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Kansas City</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9"/>
              </w:rPr>
              <w:t>None</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Hino, Isuzu</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5"/>
                <w:szCs w:val="15"/>
                <w:b w:val="1"/>
                <w:bCs w:val="1"/>
                <w:i w:val="1"/>
                <w:iCs w:val="1"/>
                <w:color w:val="auto"/>
                <w:w w:val="83"/>
              </w:rPr>
              <w:t>Missouri:</w:t>
            </w:r>
          </w:p>
        </w:tc>
        <w:tc>
          <w:tcPr>
            <w:tcW w:w="1960" w:type="dxa"/>
            <w:vAlign w:val="bottom"/>
            <w:gridSpan w:val="3"/>
          </w:tcPr>
          <w:p>
            <w:pPr>
              <w:spacing w:after="0"/>
              <w:rPr>
                <w:sz w:val="12"/>
                <w:szCs w:val="12"/>
                <w:color w:val="auto"/>
              </w:rPr>
            </w:pPr>
          </w:p>
        </w:tc>
        <w:tc>
          <w:tcPr>
            <w:tcW w:w="2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St. Peters</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St. Louis</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6"/>
          </w:tcPr>
          <w:p>
            <w:pPr>
              <w:spacing w:after="0" w:line="142" w:lineRule="exact"/>
              <w:rPr>
                <w:sz w:val="20"/>
                <w:szCs w:val="20"/>
                <w:color w:val="auto"/>
              </w:rPr>
            </w:pPr>
            <w:r>
              <w:rPr>
                <w:rFonts w:ascii="Arial" w:cs="Arial" w:eastAsia="Arial" w:hAnsi="Arial"/>
                <w:sz w:val="15"/>
                <w:szCs w:val="15"/>
                <w:b w:val="1"/>
                <w:bCs w:val="1"/>
                <w:i w:val="1"/>
                <w:iCs w:val="1"/>
                <w:color w:val="auto"/>
              </w:rPr>
              <w:t>New Mexico:</w:t>
            </w:r>
          </w:p>
        </w:tc>
        <w:tc>
          <w:tcPr>
            <w:tcW w:w="2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Albuquerque</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Las Cruces</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560" w:type="dxa"/>
            <w:vAlign w:val="bottom"/>
            <w:gridSpan w:val="6"/>
          </w:tcPr>
          <w:p>
            <w:pPr>
              <w:spacing w:after="0" w:line="142" w:lineRule="exact"/>
              <w:rPr>
                <w:sz w:val="20"/>
                <w:szCs w:val="20"/>
                <w:color w:val="auto"/>
              </w:rPr>
            </w:pPr>
            <w:r>
              <w:rPr>
                <w:rFonts w:ascii="Arial" w:cs="Arial" w:eastAsia="Arial" w:hAnsi="Arial"/>
                <w:sz w:val="15"/>
                <w:szCs w:val="15"/>
                <w:b w:val="1"/>
                <w:bCs w:val="1"/>
                <w:i w:val="1"/>
                <w:iCs w:val="1"/>
                <w:color w:val="auto"/>
              </w:rPr>
              <w:t>North Carolina:</w:t>
            </w:r>
          </w:p>
        </w:tc>
        <w:tc>
          <w:tcPr>
            <w:tcW w:w="2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60" w:type="dxa"/>
            <w:vAlign w:val="bottom"/>
            <w:tcBorders>
              <w:top w:val="single" w:sz="8" w:color="auto"/>
            </w:tcBorders>
            <w:gridSpan w:val="5"/>
            <w:shd w:val="clear" w:color="auto" w:fill="CCEEFF"/>
          </w:tcPr>
          <w:p>
            <w:pPr>
              <w:ind w:left="20"/>
              <w:spacing w:after="0"/>
              <w:rPr>
                <w:sz w:val="20"/>
                <w:szCs w:val="20"/>
                <w:color w:val="auto"/>
              </w:rPr>
            </w:pPr>
            <w:r>
              <w:rPr>
                <w:rFonts w:ascii="Arial" w:cs="Arial" w:eastAsia="Arial" w:hAnsi="Arial"/>
                <w:sz w:val="15"/>
                <w:szCs w:val="15"/>
                <w:color w:val="auto"/>
              </w:rPr>
              <w:t>Asheville</w:t>
            </w:r>
          </w:p>
        </w:tc>
        <w:tc>
          <w:tcPr>
            <w:tcW w:w="1600" w:type="dxa"/>
            <w:vAlign w:val="bottom"/>
            <w:shd w:val="clear" w:color="auto" w:fill="CCEEFF"/>
          </w:tcPr>
          <w:p>
            <w:pPr>
              <w:spacing w:after="0"/>
              <w:rPr>
                <w:sz w:val="15"/>
                <w:szCs w:val="15"/>
                <w:color w:val="auto"/>
              </w:rPr>
            </w:pP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Charlotte</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Peterbilt, Hino, Isuzu</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Charlotte</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Hickory</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Statesville</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6"/>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Ohio:</w:t>
            </w:r>
          </w:p>
        </w:tc>
        <w:tc>
          <w:tcPr>
            <w:tcW w:w="206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40"/>
              <w:spacing w:after="0"/>
              <w:rPr>
                <w:sz w:val="20"/>
                <w:szCs w:val="20"/>
                <w:color w:val="auto"/>
              </w:rPr>
            </w:pPr>
            <w:r>
              <w:rPr>
                <w:rFonts w:ascii="Arial" w:cs="Arial" w:eastAsia="Arial" w:hAnsi="Arial"/>
                <w:sz w:val="15"/>
                <w:szCs w:val="15"/>
                <w:color w:val="auto"/>
              </w:rPr>
              <w:t>Akron</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 IC Bus</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Cincinnati</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International, IC Bus, Isuzu, Ford, Mitsubishi</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Cleveland</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 IC Bus</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Columbus East</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 IC Bus</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Columbus West</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 IC Bus, Isuzu</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Dayton</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 IC Bus, Isuzu</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Findlay</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 IC Bus</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Lima</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 IC Bus</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Springfield</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6"/>
          </w:tcPr>
          <w:p>
            <w:pPr>
              <w:spacing w:after="0" w:line="142" w:lineRule="exact"/>
              <w:rPr>
                <w:sz w:val="20"/>
                <w:szCs w:val="20"/>
                <w:color w:val="auto"/>
              </w:rPr>
            </w:pPr>
            <w:r>
              <w:rPr>
                <w:rFonts w:ascii="Arial" w:cs="Arial" w:eastAsia="Arial" w:hAnsi="Arial"/>
                <w:sz w:val="15"/>
                <w:szCs w:val="15"/>
                <w:b w:val="1"/>
                <w:bCs w:val="1"/>
                <w:i w:val="1"/>
                <w:iCs w:val="1"/>
                <w:color w:val="auto"/>
              </w:rPr>
              <w:t>Oklahoma:</w:t>
            </w:r>
          </w:p>
        </w:tc>
        <w:tc>
          <w:tcPr>
            <w:tcW w:w="2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Ardmore</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Oklahoma City</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Peterbilt, Hino, Ford, Isuzu</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Tulsa</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Peterbilt, Hino</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6"/>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Oregon:</w:t>
            </w:r>
          </w:p>
        </w:tc>
        <w:tc>
          <w:tcPr>
            <w:tcW w:w="206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Ontario</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6"/>
          </w:tcPr>
          <w:p>
            <w:pPr>
              <w:spacing w:after="0" w:line="142" w:lineRule="exact"/>
              <w:rPr>
                <w:sz w:val="20"/>
                <w:szCs w:val="20"/>
                <w:color w:val="auto"/>
              </w:rPr>
            </w:pPr>
            <w:r>
              <w:rPr>
                <w:rFonts w:ascii="Arial" w:cs="Arial" w:eastAsia="Arial" w:hAnsi="Arial"/>
                <w:sz w:val="15"/>
                <w:szCs w:val="15"/>
                <w:b w:val="1"/>
                <w:bCs w:val="1"/>
                <w:i w:val="1"/>
                <w:iCs w:val="1"/>
                <w:color w:val="auto"/>
              </w:rPr>
              <w:t>Tennessee:</w:t>
            </w:r>
          </w:p>
        </w:tc>
        <w:tc>
          <w:tcPr>
            <w:tcW w:w="2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Nashville</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6"/>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Texas:</w:t>
            </w:r>
          </w:p>
        </w:tc>
        <w:tc>
          <w:tcPr>
            <w:tcW w:w="206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Abilene</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Alice</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Peterbilt, 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40"/>
              <w:spacing w:after="0"/>
              <w:rPr>
                <w:sz w:val="20"/>
                <w:szCs w:val="20"/>
                <w:color w:val="auto"/>
              </w:rPr>
            </w:pPr>
            <w:r>
              <w:rPr>
                <w:rFonts w:ascii="Arial" w:cs="Arial" w:eastAsia="Arial" w:hAnsi="Arial"/>
                <w:sz w:val="15"/>
                <w:szCs w:val="15"/>
                <w:color w:val="auto"/>
              </w:rPr>
              <w:t>Amarillo</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Austin</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Peterbilt, Hino, Isuzu, 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Corpus Christi</w:t>
            </w:r>
          </w:p>
        </w:tc>
        <w:tc>
          <w:tcPr>
            <w:tcW w:w="20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shd w:val="clear" w:color="auto" w:fill="CCEEFF"/>
          </w:tcPr>
          <w:p>
            <w:pPr>
              <w:ind w:left="160"/>
              <w:spacing w:after="0"/>
              <w:rPr>
                <w:sz w:val="20"/>
                <w:szCs w:val="20"/>
                <w:color w:val="auto"/>
              </w:rPr>
            </w:pPr>
            <w:r>
              <w:rPr>
                <w:rFonts w:ascii="Arial" w:cs="Arial" w:eastAsia="Arial" w:hAnsi="Arial"/>
                <w:sz w:val="15"/>
                <w:szCs w:val="15"/>
                <w:color w:val="auto"/>
              </w:rPr>
              <w:t>Dalhart</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Dallas Heavy-Duty</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2"/>
              </w:rPr>
              <w:t>Peterbilt, Blue Bird, Micro Bird, Elkhart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gridSpan w:val="6"/>
            <w:shd w:val="clear" w:color="auto" w:fill="CCEEFF"/>
          </w:tcPr>
          <w:p>
            <w:pPr>
              <w:ind w:left="160"/>
              <w:spacing w:after="0" w:line="164" w:lineRule="exact"/>
              <w:rPr>
                <w:sz w:val="20"/>
                <w:szCs w:val="20"/>
                <w:color w:val="auto"/>
              </w:rPr>
            </w:pPr>
            <w:r>
              <w:rPr>
                <w:rFonts w:ascii="Arial" w:cs="Arial" w:eastAsia="Arial" w:hAnsi="Arial"/>
                <w:sz w:val="15"/>
                <w:szCs w:val="15"/>
                <w:color w:val="auto"/>
              </w:rPr>
              <w:t>Dallas Medium-Duty</w:t>
            </w:r>
          </w:p>
        </w:tc>
        <w:tc>
          <w:tcPr>
            <w:tcW w:w="2060" w:type="dxa"/>
            <w:vAlign w:val="bottom"/>
            <w:shd w:val="clear" w:color="auto" w:fill="CCEEFF"/>
          </w:tcPr>
          <w:p>
            <w:pPr>
              <w:ind w:left="960"/>
              <w:spacing w:after="0" w:line="164" w:lineRule="exact"/>
              <w:rPr>
                <w:sz w:val="20"/>
                <w:szCs w:val="20"/>
                <w:color w:val="auto"/>
              </w:rPr>
            </w:pPr>
            <w:r>
              <w:rPr>
                <w:rFonts w:ascii="Arial" w:cs="Arial" w:eastAsia="Arial" w:hAnsi="Arial"/>
                <w:sz w:val="15"/>
                <w:szCs w:val="15"/>
                <w:color w:val="auto"/>
              </w:rPr>
              <w:t>None</w:t>
            </w:r>
          </w:p>
        </w:tc>
        <w:tc>
          <w:tcPr>
            <w:tcW w:w="3560" w:type="dxa"/>
            <w:vAlign w:val="bottom"/>
            <w:shd w:val="clear" w:color="auto" w:fill="CCEEFF"/>
          </w:tcPr>
          <w:p>
            <w:pPr>
              <w:jc w:val="center"/>
              <w:spacing w:after="0" w:line="164" w:lineRule="exact"/>
              <w:rPr>
                <w:sz w:val="20"/>
                <w:szCs w:val="20"/>
                <w:color w:val="auto"/>
              </w:rPr>
            </w:pPr>
            <w:r>
              <w:rPr>
                <w:rFonts w:ascii="Arial" w:cs="Arial" w:eastAsia="Arial" w:hAnsi="Arial"/>
                <w:sz w:val="15"/>
                <w:szCs w:val="15"/>
                <w:color w:val="auto"/>
                <w:w w:val="91"/>
              </w:rPr>
              <w:t>Peterbilt, Hino,</w:t>
            </w:r>
          </w:p>
        </w:tc>
        <w:tc>
          <w:tcPr>
            <w:tcW w:w="840" w:type="dxa"/>
            <w:vAlign w:val="bottom"/>
            <w:shd w:val="clear" w:color="auto" w:fill="CCEEFF"/>
          </w:tcPr>
          <w:p>
            <w:pPr>
              <w:jc w:val="center"/>
              <w:spacing w:after="0" w:line="164" w:lineRule="exact"/>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line="164" w:lineRule="exact"/>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line="164" w:lineRule="exact"/>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Blue Bird, Micro Bird, Elkhart</w:t>
            </w:r>
          </w:p>
        </w:tc>
        <w:tc>
          <w:tcPr>
            <w:tcW w:w="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Arial" w:cs="Arial" w:eastAsia="Arial" w:hAnsi="Arial"/>
                <w:sz w:val="15"/>
                <w:szCs w:val="15"/>
                <w:color w:val="auto"/>
              </w:rPr>
              <w:t>Dallas Light &amp; Medium-Duty</w:t>
            </w:r>
          </w:p>
        </w:tc>
        <w:tc>
          <w:tcPr>
            <w:tcW w:w="2060" w:type="dxa"/>
            <w:vAlign w:val="bottom"/>
          </w:tcPr>
          <w:p>
            <w:pPr>
              <w:ind w:left="960"/>
              <w:spacing w:after="0"/>
              <w:rPr>
                <w:sz w:val="20"/>
                <w:szCs w:val="20"/>
                <w:color w:val="auto"/>
              </w:rPr>
            </w:pPr>
            <w:r>
              <w:rPr>
                <w:rFonts w:ascii="Arial" w:cs="Arial" w:eastAsia="Arial" w:hAnsi="Arial"/>
                <w:sz w:val="15"/>
                <w:szCs w:val="15"/>
                <w:color w:val="auto"/>
              </w:rPr>
              <w:t>None</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Ford, Isuzu, Blue Bird</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60" w:type="dxa"/>
            <w:vAlign w:val="bottom"/>
          </w:tcPr>
          <w:p>
            <w:pPr>
              <w:jc w:val="right"/>
              <w:ind w:right="2347"/>
              <w:spacing w:after="0"/>
              <w:rPr>
                <w:sz w:val="20"/>
                <w:szCs w:val="20"/>
                <w:color w:val="auto"/>
              </w:rPr>
            </w:pPr>
            <w:r>
              <w:rPr>
                <w:rFonts w:ascii="Arial" w:cs="Arial" w:eastAsia="Arial" w:hAnsi="Arial"/>
                <w:sz w:val="15"/>
                <w:szCs w:val="15"/>
                <w:color w:val="auto"/>
              </w:rPr>
              <w:t>4</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11"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Rush Truck Center Location</w:t>
            </w:r>
          </w:p>
        </w:tc>
        <w:tc>
          <w:tcPr>
            <w:tcW w:w="2060" w:type="dxa"/>
            <w:vAlign w:val="bottom"/>
            <w:tcBorders>
              <w:bottom w:val="single" w:sz="8" w:color="auto"/>
            </w:tcBorders>
          </w:tcPr>
          <w:p>
            <w:pPr>
              <w:jc w:val="center"/>
              <w:ind w:left="27"/>
              <w:spacing w:after="0"/>
              <w:rPr>
                <w:sz w:val="20"/>
                <w:szCs w:val="20"/>
                <w:color w:val="auto"/>
              </w:rPr>
            </w:pPr>
            <w:r>
              <w:rPr>
                <w:rFonts w:ascii="Arial" w:cs="Arial" w:eastAsia="Arial" w:hAnsi="Arial"/>
                <w:sz w:val="15"/>
                <w:szCs w:val="15"/>
                <w:b w:val="1"/>
                <w:bCs w:val="1"/>
                <w:color w:val="auto"/>
                <w:w w:val="88"/>
              </w:rPr>
              <w:t>Heavy-Duty Franchise(s)</w:t>
            </w: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Medium-Duty, Light-Duty and Bus Franchise(s)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Parts</w:t>
            </w:r>
          </w:p>
        </w:tc>
        <w:tc>
          <w:tcPr>
            <w:tcW w:w="9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b w:val="1"/>
                <w:bCs w:val="1"/>
                <w:color w:val="auto"/>
                <w:w w:val="86"/>
              </w:rPr>
              <w:t>Service</w:t>
            </w:r>
          </w:p>
        </w:tc>
        <w:tc>
          <w:tcPr>
            <w:tcW w:w="960" w:type="dxa"/>
            <w:vAlign w:val="bottom"/>
            <w:tcBorders>
              <w:bottom w:val="single" w:sz="8" w:color="auto"/>
            </w:tcBorders>
          </w:tcPr>
          <w:p>
            <w:pPr>
              <w:jc w:val="center"/>
              <w:ind w:left="27"/>
              <w:spacing w:after="0"/>
              <w:rPr>
                <w:sz w:val="20"/>
                <w:szCs w:val="20"/>
                <w:color w:val="auto"/>
              </w:rPr>
            </w:pPr>
            <w:r>
              <w:rPr>
                <w:rFonts w:ascii="Arial" w:cs="Arial" w:eastAsia="Arial" w:hAnsi="Arial"/>
                <w:sz w:val="15"/>
                <w:szCs w:val="15"/>
                <w:b w:val="1"/>
                <w:bCs w:val="1"/>
                <w:color w:val="auto"/>
                <w:w w:val="83"/>
              </w:rPr>
              <w:t>Body Shop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5"/>
                <w:szCs w:val="15"/>
                <w:color w:val="auto"/>
              </w:rPr>
              <w:t>El Paso</w:t>
            </w:r>
          </w:p>
        </w:tc>
        <w:tc>
          <w:tcPr>
            <w:tcW w:w="2060" w:type="dxa"/>
            <w:vAlign w:val="bottom"/>
            <w:shd w:val="clear" w:color="auto" w:fill="CCEEFF"/>
          </w:tcPr>
          <w:p>
            <w:pPr>
              <w:jc w:val="center"/>
              <w:ind w:left="27"/>
              <w:spacing w:after="0" w:line="149" w:lineRule="exact"/>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89"/>
              </w:rPr>
              <w:t>Peterbilt, Hino, Isuzu</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line="149" w:lineRule="exact"/>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line="149" w:lineRule="exact"/>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Fort Worth</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2"/>
              </w:rPr>
              <w:t>Peterbilt, Blue Bird, Micro Bird, Elkhart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Houston</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Peterbilt, Hino, 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Houston Northwest</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2"/>
              </w:rPr>
              <w:t>Peterbilt, Hino, Blue Bird, Micro Bird, Elkhart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Laredo</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Peterbilt, 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Lubbock</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Lufkin</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Peterbilt, 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Odessa</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Peterbilt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Pharr</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Peterbilt, Hino, 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San Antonio</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2"/>
              </w:rPr>
              <w:t>Peterbilt, Hino, Blue Bird, Micro Bird, Elkhart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San Antonio Bus</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9"/>
              </w:rPr>
              <w:t>None</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Sealy</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2"/>
              </w:rPr>
              <w:t>Peterbilt, Isuzu, Blue Bird, Micro Bird, Elkhart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gridSpan w:val="3"/>
            <w:shd w:val="clear" w:color="auto" w:fill="CCEEFF"/>
          </w:tcPr>
          <w:p>
            <w:pPr>
              <w:ind w:left="160"/>
              <w:spacing w:after="0" w:line="164" w:lineRule="exact"/>
              <w:rPr>
                <w:sz w:val="20"/>
                <w:szCs w:val="20"/>
                <w:color w:val="auto"/>
              </w:rPr>
            </w:pPr>
            <w:r>
              <w:rPr>
                <w:rFonts w:ascii="Arial" w:cs="Arial" w:eastAsia="Arial" w:hAnsi="Arial"/>
                <w:sz w:val="15"/>
                <w:szCs w:val="15"/>
                <w:color w:val="auto"/>
              </w:rPr>
              <w:t>Texarkana</w:t>
            </w:r>
          </w:p>
        </w:tc>
        <w:tc>
          <w:tcPr>
            <w:tcW w:w="2060" w:type="dxa"/>
            <w:vAlign w:val="bottom"/>
            <w:shd w:val="clear" w:color="auto" w:fill="CCEEFF"/>
          </w:tcPr>
          <w:p>
            <w:pPr>
              <w:jc w:val="center"/>
              <w:ind w:left="27"/>
              <w:spacing w:after="0" w:line="164" w:lineRule="exact"/>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line="164" w:lineRule="exact"/>
              <w:rPr>
                <w:sz w:val="20"/>
                <w:szCs w:val="20"/>
                <w:color w:val="auto"/>
              </w:rPr>
            </w:pPr>
            <w:r>
              <w:rPr>
                <w:rFonts w:ascii="Arial" w:cs="Arial" w:eastAsia="Arial" w:hAnsi="Arial"/>
                <w:sz w:val="15"/>
                <w:szCs w:val="15"/>
                <w:color w:val="auto"/>
                <w:w w:val="89"/>
              </w:rPr>
              <w:t>Peterbilt, Hino, Isuzu,</w:t>
            </w:r>
          </w:p>
        </w:tc>
        <w:tc>
          <w:tcPr>
            <w:tcW w:w="840" w:type="dxa"/>
            <w:vAlign w:val="bottom"/>
            <w:shd w:val="clear" w:color="auto" w:fill="CCEEFF"/>
          </w:tcPr>
          <w:p>
            <w:pPr>
              <w:jc w:val="center"/>
              <w:spacing w:after="0" w:line="164" w:lineRule="exact"/>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line="164" w:lineRule="exact"/>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line="164" w:lineRule="exact"/>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Blue Bird, Micro Bird, Elkhart</w:t>
            </w:r>
          </w:p>
        </w:tc>
        <w:tc>
          <w:tcPr>
            <w:tcW w:w="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Tyler</w:t>
            </w:r>
          </w:p>
        </w:tc>
        <w:tc>
          <w:tcPr>
            <w:tcW w:w="2060" w:type="dxa"/>
            <w:vAlign w:val="bottom"/>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tcPr>
          <w:p>
            <w:pPr>
              <w:jc w:val="center"/>
              <w:spacing w:after="0"/>
              <w:rPr>
                <w:sz w:val="20"/>
                <w:szCs w:val="20"/>
                <w:color w:val="auto"/>
              </w:rPr>
            </w:pPr>
            <w:r>
              <w:rPr>
                <w:rFonts w:ascii="Arial" w:cs="Arial" w:eastAsia="Arial" w:hAnsi="Arial"/>
                <w:sz w:val="15"/>
                <w:szCs w:val="15"/>
                <w:color w:val="auto"/>
                <w:w w:val="92"/>
              </w:rPr>
              <w:t>Peterbilt, Blue Bird, Micro Bird, Elkhart</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Waco</w:t>
            </w:r>
          </w:p>
        </w:tc>
        <w:tc>
          <w:tcPr>
            <w:tcW w:w="20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7"/>
              </w:rPr>
              <w:t>Peterbilt</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Peterbilt, Hino, Isuzu, Blue Bird, Micro Bird, Elkhart</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Utah:</w:t>
            </w:r>
          </w:p>
        </w:tc>
        <w:tc>
          <w:tcPr>
            <w:tcW w:w="206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Helper</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Farr West</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 IC Bus</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Salt Lake City</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International, IC Bus, Autocar, Mitsubishi Fuso</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Springville</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International, Mitsubishi Fuso</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St. George</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90"/>
              </w:rPr>
              <w:t>International, Mitsubishi Fuso</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gridSpan w:val="3"/>
          </w:tcPr>
          <w:p>
            <w:pPr>
              <w:spacing w:after="0" w:line="142" w:lineRule="exact"/>
              <w:rPr>
                <w:sz w:val="20"/>
                <w:szCs w:val="20"/>
                <w:color w:val="auto"/>
              </w:rPr>
            </w:pPr>
            <w:r>
              <w:rPr>
                <w:rFonts w:ascii="Arial" w:cs="Arial" w:eastAsia="Arial" w:hAnsi="Arial"/>
                <w:sz w:val="15"/>
                <w:szCs w:val="15"/>
                <w:b w:val="1"/>
                <w:bCs w:val="1"/>
                <w:i w:val="1"/>
                <w:iCs w:val="1"/>
                <w:color w:val="auto"/>
              </w:rPr>
              <w:t>Virginia:</w:t>
            </w:r>
          </w:p>
        </w:tc>
        <w:tc>
          <w:tcPr>
            <w:tcW w:w="2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Chester</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Fredericksburg</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Richmond</w:t>
            </w:r>
          </w:p>
        </w:tc>
        <w:tc>
          <w:tcPr>
            <w:tcW w:w="206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84"/>
              </w:rPr>
              <w:t>Yes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3"/>
          </w:tcPr>
          <w:p>
            <w:pPr>
              <w:ind w:left="160"/>
              <w:spacing w:after="0"/>
              <w:rPr>
                <w:sz w:val="20"/>
                <w:szCs w:val="20"/>
                <w:color w:val="auto"/>
              </w:rPr>
            </w:pPr>
            <w:r>
              <w:rPr>
                <w:rFonts w:ascii="Arial" w:cs="Arial" w:eastAsia="Arial" w:hAnsi="Arial"/>
                <w:sz w:val="15"/>
                <w:szCs w:val="15"/>
                <w:color w:val="auto"/>
              </w:rPr>
              <w:t>Suffolk</w:t>
            </w:r>
          </w:p>
        </w:tc>
        <w:tc>
          <w:tcPr>
            <w:tcW w:w="2060" w:type="dxa"/>
            <w:vAlign w:val="bottom"/>
          </w:tcPr>
          <w:p>
            <w:pPr>
              <w:jc w:val="center"/>
              <w:ind w:left="47"/>
              <w:spacing w:after="0"/>
              <w:rPr>
                <w:sz w:val="20"/>
                <w:szCs w:val="20"/>
                <w:color w:val="auto"/>
              </w:rPr>
            </w:pPr>
            <w:r>
              <w:rPr>
                <w:rFonts w:ascii="Arial" w:cs="Arial" w:eastAsia="Arial" w:hAnsi="Arial"/>
                <w:sz w:val="15"/>
                <w:szCs w:val="15"/>
                <w:color w:val="auto"/>
                <w:w w:val="89"/>
              </w:rPr>
              <w:t>International</w:t>
            </w:r>
          </w:p>
        </w:tc>
        <w:tc>
          <w:tcPr>
            <w:tcW w:w="3560" w:type="dxa"/>
            <w:vAlign w:val="bottom"/>
          </w:tcPr>
          <w:p>
            <w:pPr>
              <w:jc w:val="center"/>
              <w:spacing w:after="0"/>
              <w:rPr>
                <w:sz w:val="20"/>
                <w:szCs w:val="20"/>
                <w:color w:val="auto"/>
              </w:rPr>
            </w:pPr>
            <w:r>
              <w:rPr>
                <w:rFonts w:ascii="Arial" w:cs="Arial" w:eastAsia="Arial" w:hAnsi="Arial"/>
                <w:sz w:val="15"/>
                <w:szCs w:val="15"/>
                <w:color w:val="auto"/>
                <w:w w:val="89"/>
              </w:rPr>
              <w:t>International</w:t>
            </w:r>
          </w:p>
        </w:tc>
        <w:tc>
          <w:tcPr>
            <w:tcW w:w="840" w:type="dxa"/>
            <w:vAlign w:val="bottom"/>
          </w:tcPr>
          <w:p>
            <w:pPr>
              <w:jc w:val="center"/>
              <w:spacing w:after="0"/>
              <w:rPr>
                <w:sz w:val="20"/>
                <w:szCs w:val="20"/>
                <w:color w:val="auto"/>
              </w:rPr>
            </w:pPr>
            <w:r>
              <w:rPr>
                <w:rFonts w:ascii="Arial" w:cs="Arial" w:eastAsia="Arial" w:hAnsi="Arial"/>
                <w:sz w:val="15"/>
                <w:szCs w:val="15"/>
                <w:color w:val="auto"/>
                <w:w w:val="77"/>
              </w:rPr>
              <w:t>Yes</w:t>
            </w:r>
          </w:p>
        </w:tc>
        <w:tc>
          <w:tcPr>
            <w:tcW w:w="900" w:type="dxa"/>
            <w:vAlign w:val="bottom"/>
          </w:tcPr>
          <w:p>
            <w:pPr>
              <w:jc w:val="center"/>
              <w:ind w:left="7"/>
              <w:spacing w:after="0"/>
              <w:rPr>
                <w:sz w:val="20"/>
                <w:szCs w:val="20"/>
                <w:color w:val="auto"/>
              </w:rPr>
            </w:pPr>
            <w:r>
              <w:rPr>
                <w:rFonts w:ascii="Arial" w:cs="Arial" w:eastAsia="Arial" w:hAnsi="Arial"/>
                <w:sz w:val="15"/>
                <w:szCs w:val="15"/>
                <w:color w:val="auto"/>
                <w:w w:val="84"/>
              </w:rPr>
              <w:t>Yes</w:t>
            </w:r>
          </w:p>
        </w:tc>
        <w:tc>
          <w:tcPr>
            <w:tcW w:w="960" w:type="dxa"/>
            <w:vAlign w:val="bottom"/>
          </w:tcPr>
          <w:p>
            <w:pPr>
              <w:jc w:val="center"/>
              <w:ind w:left="27"/>
              <w:spacing w:after="0"/>
              <w:rPr>
                <w:sz w:val="20"/>
                <w:szCs w:val="20"/>
                <w:color w:val="auto"/>
              </w:rPr>
            </w:pPr>
            <w:r>
              <w:rPr>
                <w:rFonts w:ascii="Arial" w:cs="Arial" w:eastAsia="Arial" w:hAnsi="Arial"/>
                <w:sz w:val="15"/>
                <w:szCs w:val="15"/>
                <w:color w:val="auto"/>
                <w:w w:val="93"/>
              </w:rPr>
              <w:t>No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320" w:firstLine="525"/>
        <w:spacing w:after="0" w:line="251" w:lineRule="auto"/>
        <w:rPr>
          <w:sz w:val="20"/>
          <w:szCs w:val="20"/>
          <w:color w:val="auto"/>
        </w:rPr>
      </w:pPr>
      <w:r>
        <w:rPr>
          <w:rFonts w:ascii="Arial" w:cs="Arial" w:eastAsia="Arial" w:hAnsi="Arial"/>
          <w:sz w:val="15"/>
          <w:szCs w:val="15"/>
          <w:i w:val="1"/>
          <w:iCs w:val="1"/>
          <w:color w:val="auto"/>
        </w:rPr>
        <w:t xml:space="preserve">Leasing and Rental Services. </w:t>
      </w:r>
      <w:r>
        <w:rPr>
          <w:rFonts w:ascii="Arial" w:cs="Arial" w:eastAsia="Arial" w:hAnsi="Arial"/>
          <w:sz w:val="15"/>
          <w:szCs w:val="15"/>
          <w:color w:val="auto"/>
        </w:rPr>
        <w:t>Through certain of our Rush Truck Centers and several stand-alone Rush Truck Leasing Centers, we provide a broad line of product selections for lease</w:t>
      </w:r>
      <w:r>
        <w:rPr>
          <w:rFonts w:ascii="Arial" w:cs="Arial" w:eastAsia="Arial" w:hAnsi="Arial"/>
          <w:sz w:val="15"/>
          <w:szCs w:val="15"/>
          <w:i w:val="1"/>
          <w:iCs w:val="1"/>
          <w:color w:val="auto"/>
        </w:rPr>
        <w:t xml:space="preserve"> </w:t>
      </w:r>
      <w:r>
        <w:rPr>
          <w:rFonts w:ascii="Arial" w:cs="Arial" w:eastAsia="Arial" w:hAnsi="Arial"/>
          <w:sz w:val="15"/>
          <w:szCs w:val="15"/>
          <w:color w:val="auto"/>
        </w:rPr>
        <w:t>or rent, including Class 4, Class 5, Class 6, Class 7 and Class 8 trucks, heavy-duty cranes and refuse vehicles. Our lease and rental fleets are offered on a daily, monthly or long-term basis. The following chart reflects our leasing franchises by location: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20" w:type="dxa"/>
            <w:vAlign w:val="bottom"/>
          </w:tcPr>
          <w:p>
            <w:pPr>
              <w:jc w:val="center"/>
              <w:ind w:left="207"/>
              <w:spacing w:after="0"/>
              <w:rPr>
                <w:sz w:val="20"/>
                <w:szCs w:val="20"/>
                <w:color w:val="auto"/>
              </w:rPr>
            </w:pPr>
            <w:r>
              <w:rPr>
                <w:rFonts w:ascii="Arial" w:cs="Arial" w:eastAsia="Arial" w:hAnsi="Arial"/>
                <w:sz w:val="15"/>
                <w:szCs w:val="15"/>
                <w:b w:val="1"/>
                <w:bCs w:val="1"/>
                <w:color w:val="auto"/>
                <w:w w:val="87"/>
              </w:rPr>
              <w:t>Standalone or in a Rush</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640" w:type="dxa"/>
            <w:vAlign w:val="bottom"/>
            <w:tcBorders>
              <w:bottom w:val="single" w:sz="8" w:color="auto"/>
            </w:tcBorders>
            <w:gridSpan w:val="3"/>
          </w:tcPr>
          <w:p>
            <w:pPr>
              <w:ind w:left="420"/>
              <w:spacing w:after="0"/>
              <w:rPr>
                <w:sz w:val="20"/>
                <w:szCs w:val="20"/>
                <w:color w:val="auto"/>
              </w:rPr>
            </w:pPr>
            <w:r>
              <w:rPr>
                <w:rFonts w:ascii="Arial" w:cs="Arial" w:eastAsia="Arial" w:hAnsi="Arial"/>
                <w:sz w:val="15"/>
                <w:szCs w:val="15"/>
                <w:b w:val="1"/>
                <w:bCs w:val="1"/>
                <w:color w:val="auto"/>
              </w:rPr>
              <w:t>Rush Truck Leasing Location</w:t>
            </w:r>
          </w:p>
        </w:tc>
        <w:tc>
          <w:tcPr>
            <w:tcW w:w="1620" w:type="dxa"/>
            <w:vAlign w:val="bottom"/>
            <w:tcBorders>
              <w:bottom w:val="single" w:sz="8" w:color="auto"/>
            </w:tcBorders>
          </w:tcPr>
          <w:p>
            <w:pPr>
              <w:jc w:val="center"/>
              <w:ind w:left="287"/>
              <w:spacing w:after="0"/>
              <w:rPr>
                <w:sz w:val="20"/>
                <w:szCs w:val="20"/>
                <w:color w:val="auto"/>
              </w:rPr>
            </w:pPr>
            <w:r>
              <w:rPr>
                <w:rFonts w:ascii="Arial" w:cs="Arial" w:eastAsia="Arial" w:hAnsi="Arial"/>
                <w:sz w:val="15"/>
                <w:szCs w:val="15"/>
                <w:b w:val="1"/>
                <w:bCs w:val="1"/>
                <w:color w:val="auto"/>
                <w:w w:val="87"/>
              </w:rPr>
              <w:t>Franchise</w:t>
            </w:r>
          </w:p>
        </w:tc>
        <w:tc>
          <w:tcPr>
            <w:tcW w:w="1820" w:type="dxa"/>
            <w:vAlign w:val="bottom"/>
            <w:tcBorders>
              <w:bottom w:val="single" w:sz="8" w:color="auto"/>
            </w:tcBorders>
          </w:tcPr>
          <w:p>
            <w:pPr>
              <w:jc w:val="center"/>
              <w:ind w:left="227"/>
              <w:spacing w:after="0"/>
              <w:rPr>
                <w:sz w:val="20"/>
                <w:szCs w:val="20"/>
                <w:color w:val="auto"/>
              </w:rPr>
            </w:pPr>
            <w:r>
              <w:rPr>
                <w:rFonts w:ascii="Arial" w:cs="Arial" w:eastAsia="Arial" w:hAnsi="Arial"/>
                <w:sz w:val="15"/>
                <w:szCs w:val="15"/>
                <w:b w:val="1"/>
                <w:bCs w:val="1"/>
                <w:color w:val="auto"/>
                <w:w w:val="90"/>
              </w:rPr>
              <w:t>Truck Center</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vMerge w:val="restart"/>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264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Alabama:</w:t>
            </w:r>
          </w:p>
        </w:tc>
        <w:tc>
          <w:tcPr>
            <w:tcW w:w="1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tcPr>
          <w:p>
            <w:pPr>
              <w:spacing w:after="0"/>
              <w:rPr>
                <w:sz w:val="15"/>
                <w:szCs w:val="15"/>
                <w:color w:val="auto"/>
              </w:rPr>
            </w:pPr>
          </w:p>
        </w:tc>
        <w:tc>
          <w:tcPr>
            <w:tcW w:w="2640" w:type="dxa"/>
            <w:vAlign w:val="bottom"/>
            <w:gridSpan w:val="3"/>
          </w:tcPr>
          <w:p>
            <w:pPr>
              <w:ind w:left="160"/>
              <w:spacing w:after="0"/>
              <w:rPr>
                <w:sz w:val="20"/>
                <w:szCs w:val="20"/>
                <w:color w:val="auto"/>
              </w:rPr>
            </w:pPr>
            <w:r>
              <w:rPr>
                <w:rFonts w:ascii="Arial" w:cs="Arial" w:eastAsia="Arial" w:hAnsi="Arial"/>
                <w:sz w:val="15"/>
                <w:szCs w:val="15"/>
                <w:color w:val="auto"/>
              </w:rPr>
              <w:t>Birmingham</w:t>
            </w:r>
          </w:p>
        </w:tc>
        <w:tc>
          <w:tcPr>
            <w:tcW w:w="1620" w:type="dxa"/>
            <w:vAlign w:val="bottom"/>
          </w:tcPr>
          <w:p>
            <w:pPr>
              <w:jc w:val="center"/>
              <w:ind w:left="30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84"/>
              </w:rPr>
              <w:t>Standalone</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64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Arizona:</w:t>
            </w:r>
          </w:p>
        </w:tc>
        <w:tc>
          <w:tcPr>
            <w:tcW w:w="1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tcPr>
          <w:p>
            <w:pPr>
              <w:spacing w:after="0"/>
              <w:rPr>
                <w:sz w:val="15"/>
                <w:szCs w:val="15"/>
                <w:color w:val="auto"/>
              </w:rPr>
            </w:pPr>
          </w:p>
        </w:tc>
        <w:tc>
          <w:tcPr>
            <w:tcW w:w="2640" w:type="dxa"/>
            <w:vAlign w:val="bottom"/>
            <w:gridSpan w:val="3"/>
          </w:tcPr>
          <w:p>
            <w:pPr>
              <w:ind w:left="140"/>
              <w:spacing w:after="0"/>
              <w:rPr>
                <w:sz w:val="20"/>
                <w:szCs w:val="20"/>
                <w:color w:val="auto"/>
              </w:rPr>
            </w:pPr>
            <w:r>
              <w:rPr>
                <w:rFonts w:ascii="Arial" w:cs="Arial" w:eastAsia="Arial" w:hAnsi="Arial"/>
                <w:sz w:val="15"/>
                <w:szCs w:val="15"/>
                <w:color w:val="auto"/>
              </w:rPr>
              <w:t>Phoenix</w:t>
            </w:r>
          </w:p>
        </w:tc>
        <w:tc>
          <w:tcPr>
            <w:tcW w:w="1620" w:type="dxa"/>
            <w:vAlign w:val="bottom"/>
          </w:tcPr>
          <w:p>
            <w:pPr>
              <w:jc w:val="center"/>
              <w:ind w:left="30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84"/>
              </w:rPr>
              <w:t>Standalone</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64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rPr>
              <w:t>California:</w:t>
            </w:r>
          </w:p>
        </w:tc>
        <w:tc>
          <w:tcPr>
            <w:tcW w:w="1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Pr>
          <w:p>
            <w:pPr>
              <w:spacing w:after="0"/>
              <w:rPr>
                <w:sz w:val="15"/>
                <w:szCs w:val="15"/>
                <w:color w:val="auto"/>
              </w:rPr>
            </w:pPr>
          </w:p>
        </w:tc>
        <w:tc>
          <w:tcPr>
            <w:tcW w:w="2640" w:type="dxa"/>
            <w:vAlign w:val="bottom"/>
            <w:gridSpan w:val="3"/>
          </w:tcPr>
          <w:p>
            <w:pPr>
              <w:ind w:left="160"/>
              <w:spacing w:after="0"/>
              <w:rPr>
                <w:sz w:val="20"/>
                <w:szCs w:val="20"/>
                <w:color w:val="auto"/>
              </w:rPr>
            </w:pPr>
            <w:r>
              <w:rPr>
                <w:rFonts w:ascii="Arial" w:cs="Arial" w:eastAsia="Arial" w:hAnsi="Arial"/>
                <w:sz w:val="15"/>
                <w:szCs w:val="15"/>
                <w:color w:val="auto"/>
              </w:rPr>
              <w:t>Fontana</w:t>
            </w:r>
          </w:p>
        </w:tc>
        <w:tc>
          <w:tcPr>
            <w:tcW w:w="1620" w:type="dxa"/>
            <w:vAlign w:val="bottom"/>
          </w:tcPr>
          <w:p>
            <w:pPr>
              <w:jc w:val="center"/>
              <w:ind w:left="30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84"/>
              </w:rPr>
              <w:t>Standalone</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9"/>
        </w:trPr>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jc w:val="right"/>
              <w:ind w:right="1107"/>
              <w:spacing w:after="0"/>
              <w:rPr>
                <w:sz w:val="20"/>
                <w:szCs w:val="20"/>
                <w:color w:val="auto"/>
              </w:rPr>
            </w:pPr>
            <w:r>
              <w:rPr>
                <w:rFonts w:ascii="Arial" w:cs="Arial" w:eastAsia="Arial" w:hAnsi="Arial"/>
                <w:sz w:val="15"/>
                <w:szCs w:val="15"/>
                <w:color w:val="auto"/>
              </w:rPr>
              <w:t>5</w:t>
            </w:r>
          </w:p>
        </w:tc>
        <w:tc>
          <w:tcPr>
            <w:tcW w:w="1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8" w:name="page9"/>
    <w:bookmarkEnd w:id="8"/>
    <w:tbl>
      <w:tblPr>
        <w:tblLayout w:type="fixed"/>
        <w:tblInd w:w="270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20" w:type="dxa"/>
            <w:vAlign w:val="bottom"/>
          </w:tcPr>
          <w:p>
            <w:pPr>
              <w:jc w:val="center"/>
              <w:ind w:left="207"/>
              <w:spacing w:after="0"/>
              <w:rPr>
                <w:sz w:val="20"/>
                <w:szCs w:val="20"/>
                <w:color w:val="auto"/>
              </w:rPr>
            </w:pPr>
            <w:r>
              <w:rPr>
                <w:rFonts w:ascii="Arial" w:cs="Arial" w:eastAsia="Arial" w:hAnsi="Arial"/>
                <w:sz w:val="15"/>
                <w:szCs w:val="15"/>
                <w:b w:val="1"/>
                <w:bCs w:val="1"/>
                <w:color w:val="auto"/>
                <w:w w:val="87"/>
              </w:rPr>
              <w:t>Standalone or in a Rush</w:t>
            </w:r>
          </w:p>
        </w:tc>
      </w:tr>
      <w:tr>
        <w:trPr>
          <w:trHeight w:val="189"/>
        </w:trPr>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0"/>
          </w:tcPr>
          <w:p>
            <w:pPr>
              <w:ind w:left="80"/>
              <w:spacing w:after="0"/>
              <w:rPr>
                <w:sz w:val="20"/>
                <w:szCs w:val="20"/>
                <w:color w:val="auto"/>
              </w:rPr>
            </w:pPr>
            <w:r>
              <w:rPr>
                <w:rFonts w:ascii="Arial" w:cs="Arial" w:eastAsia="Arial" w:hAnsi="Arial"/>
                <w:sz w:val="15"/>
                <w:szCs w:val="15"/>
                <w:b w:val="1"/>
                <w:bCs w:val="1"/>
                <w:color w:val="auto"/>
              </w:rPr>
              <w:t>Rush Truck Leasing Location</w:t>
            </w:r>
          </w:p>
        </w:tc>
        <w:tc>
          <w:tcPr>
            <w:tcW w:w="146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b w:val="1"/>
                <w:bCs w:val="1"/>
                <w:color w:val="auto"/>
                <w:w w:val="87"/>
              </w:rPr>
              <w:t>Franchise</w:t>
            </w:r>
          </w:p>
        </w:tc>
        <w:tc>
          <w:tcPr>
            <w:tcW w:w="1820" w:type="dxa"/>
            <w:vAlign w:val="bottom"/>
            <w:tcBorders>
              <w:bottom w:val="single" w:sz="8" w:color="auto"/>
            </w:tcBorders>
          </w:tcPr>
          <w:p>
            <w:pPr>
              <w:jc w:val="center"/>
              <w:ind w:left="227"/>
              <w:spacing w:after="0"/>
              <w:rPr>
                <w:sz w:val="20"/>
                <w:szCs w:val="20"/>
                <w:color w:val="auto"/>
              </w:rPr>
            </w:pPr>
            <w:r>
              <w:rPr>
                <w:rFonts w:ascii="Arial" w:cs="Arial" w:eastAsia="Arial" w:hAnsi="Arial"/>
                <w:sz w:val="15"/>
                <w:szCs w:val="15"/>
                <w:b w:val="1"/>
                <w:bCs w:val="1"/>
                <w:color w:val="auto"/>
                <w:w w:val="90"/>
              </w:rPr>
              <w:t>Truck Center</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49"/>
        </w:trPr>
        <w:tc>
          <w:tcPr>
            <w:tcW w:w="2800" w:type="dxa"/>
            <w:vAlign w:val="bottom"/>
            <w:gridSpan w:val="11"/>
            <w:shd w:val="clear" w:color="auto" w:fill="CCEEFF"/>
          </w:tcPr>
          <w:p>
            <w:pPr>
              <w:ind w:left="140"/>
              <w:spacing w:after="0" w:line="149" w:lineRule="exact"/>
              <w:rPr>
                <w:sz w:val="20"/>
                <w:szCs w:val="20"/>
                <w:color w:val="auto"/>
              </w:rPr>
            </w:pPr>
            <w:r>
              <w:rPr>
                <w:rFonts w:ascii="Arial" w:cs="Arial" w:eastAsia="Arial" w:hAnsi="Arial"/>
                <w:sz w:val="15"/>
                <w:szCs w:val="15"/>
                <w:color w:val="auto"/>
              </w:rPr>
              <w:t>Pico Rivera</w:t>
            </w:r>
          </w:p>
        </w:tc>
        <w:tc>
          <w:tcPr>
            <w:tcW w:w="1460" w:type="dxa"/>
            <w:vAlign w:val="bottom"/>
            <w:shd w:val="clear" w:color="auto" w:fill="CCEEFF"/>
          </w:tcPr>
          <w:p>
            <w:pPr>
              <w:jc w:val="center"/>
              <w:ind w:left="147"/>
              <w:spacing w:after="0" w:line="149" w:lineRule="exact"/>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line="149" w:lineRule="exact"/>
              <w:rPr>
                <w:sz w:val="20"/>
                <w:szCs w:val="20"/>
                <w:color w:val="auto"/>
              </w:rPr>
            </w:pPr>
            <w:r>
              <w:rPr>
                <w:rFonts w:ascii="Arial" w:cs="Arial" w:eastAsia="Arial" w:hAnsi="Arial"/>
                <w:sz w:val="15"/>
                <w:szCs w:val="15"/>
                <w:color w:val="auto"/>
                <w:w w:val="84"/>
              </w:rPr>
              <w:t>Standalone</w:t>
            </w: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San Diego</w:t>
            </w:r>
          </w:p>
        </w:tc>
        <w:tc>
          <w:tcPr>
            <w:tcW w:w="1460" w:type="dxa"/>
            <w:vAlign w:val="bottom"/>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Sylmar</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2"/>
        </w:trPr>
        <w:tc>
          <w:tcPr>
            <w:tcW w:w="2800" w:type="dxa"/>
            <w:vAlign w:val="bottom"/>
            <w:gridSpan w:val="11"/>
          </w:tcPr>
          <w:p>
            <w:pPr>
              <w:spacing w:after="0" w:line="142" w:lineRule="exact"/>
              <w:rPr>
                <w:sz w:val="20"/>
                <w:szCs w:val="20"/>
                <w:color w:val="auto"/>
              </w:rPr>
            </w:pPr>
            <w:r>
              <w:rPr>
                <w:rFonts w:ascii="Arial" w:cs="Arial" w:eastAsia="Arial" w:hAnsi="Arial"/>
                <w:sz w:val="15"/>
                <w:szCs w:val="15"/>
                <w:b w:val="1"/>
                <w:bCs w:val="1"/>
                <w:i w:val="1"/>
                <w:iCs w:val="1"/>
                <w:color w:val="auto"/>
              </w:rPr>
              <w:t>Denver:</w:t>
            </w: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6"/>
        </w:trPr>
        <w:tc>
          <w:tcPr>
            <w:tcW w:w="3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1"/>
        </w:trPr>
        <w:tc>
          <w:tcPr>
            <w:tcW w:w="2800" w:type="dxa"/>
            <w:vAlign w:val="bottom"/>
            <w:gridSpan w:val="11"/>
            <w:shd w:val="clear" w:color="auto" w:fill="CCEEFF"/>
          </w:tcPr>
          <w:p>
            <w:pPr>
              <w:ind w:left="180"/>
              <w:spacing w:after="0"/>
              <w:rPr>
                <w:sz w:val="20"/>
                <w:szCs w:val="20"/>
                <w:color w:val="auto"/>
              </w:rPr>
            </w:pPr>
            <w:r>
              <w:rPr>
                <w:rFonts w:ascii="Arial" w:cs="Arial" w:eastAsia="Arial" w:hAnsi="Arial"/>
                <w:sz w:val="15"/>
                <w:szCs w:val="15"/>
                <w:color w:val="auto"/>
              </w:rPr>
              <w:t>Colorado</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8"/>
        </w:trPr>
        <w:tc>
          <w:tcPr>
            <w:tcW w:w="5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5"/>
                <w:szCs w:val="15"/>
                <w:b w:val="1"/>
                <w:bCs w:val="1"/>
                <w:i w:val="1"/>
                <w:iCs w:val="1"/>
                <w:color w:val="auto"/>
                <w:w w:val="87"/>
              </w:rPr>
              <w:t>Florida:</w:t>
            </w:r>
          </w:p>
        </w:tc>
        <w:tc>
          <w:tcPr>
            <w:tcW w:w="2280" w:type="dxa"/>
            <w:vAlign w:val="bottom"/>
            <w:gridSpan w:val="7"/>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Orlando</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Tampa</w:t>
            </w:r>
          </w:p>
        </w:tc>
        <w:tc>
          <w:tcPr>
            <w:tcW w:w="1460" w:type="dxa"/>
            <w:vAlign w:val="bottom"/>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Jacksonville</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42"/>
        </w:trPr>
        <w:tc>
          <w:tcPr>
            <w:tcW w:w="2800" w:type="dxa"/>
            <w:vAlign w:val="bottom"/>
            <w:gridSpan w:val="11"/>
          </w:tcPr>
          <w:p>
            <w:pPr>
              <w:spacing w:after="0" w:line="142" w:lineRule="exact"/>
              <w:rPr>
                <w:sz w:val="20"/>
                <w:szCs w:val="20"/>
                <w:color w:val="auto"/>
              </w:rPr>
            </w:pPr>
            <w:r>
              <w:rPr>
                <w:rFonts w:ascii="Arial" w:cs="Arial" w:eastAsia="Arial" w:hAnsi="Arial"/>
                <w:sz w:val="15"/>
                <w:szCs w:val="15"/>
                <w:b w:val="1"/>
                <w:bCs w:val="1"/>
                <w:i w:val="1"/>
                <w:iCs w:val="1"/>
                <w:color w:val="auto"/>
              </w:rPr>
              <w:t>Idaho:</w:t>
            </w: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6"/>
        </w:trPr>
        <w:tc>
          <w:tcPr>
            <w:tcW w:w="3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Boise</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8"/>
        </w:trPr>
        <w:tc>
          <w:tcPr>
            <w:tcW w:w="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5"/>
                <w:szCs w:val="15"/>
                <w:b w:val="1"/>
                <w:bCs w:val="1"/>
                <w:i w:val="1"/>
                <w:iCs w:val="1"/>
                <w:color w:val="auto"/>
                <w:w w:val="87"/>
              </w:rPr>
              <w:t>Illinois:</w:t>
            </w:r>
          </w:p>
        </w:tc>
        <w:tc>
          <w:tcPr>
            <w:tcW w:w="2320" w:type="dxa"/>
            <w:vAlign w:val="bottom"/>
            <w:gridSpan w:val="8"/>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Carol Stream</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Chicago</w:t>
            </w:r>
          </w:p>
        </w:tc>
        <w:tc>
          <w:tcPr>
            <w:tcW w:w="1460" w:type="dxa"/>
            <w:vAlign w:val="bottom"/>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Huntley</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Joliet</w:t>
            </w:r>
          </w:p>
        </w:tc>
        <w:tc>
          <w:tcPr>
            <w:tcW w:w="1460" w:type="dxa"/>
            <w:vAlign w:val="bottom"/>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Springfield</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2"/>
        </w:trPr>
        <w:tc>
          <w:tcPr>
            <w:tcW w:w="2800" w:type="dxa"/>
            <w:vAlign w:val="bottom"/>
            <w:gridSpan w:val="11"/>
          </w:tcPr>
          <w:p>
            <w:pPr>
              <w:spacing w:after="0" w:line="142" w:lineRule="exact"/>
              <w:rPr>
                <w:sz w:val="20"/>
                <w:szCs w:val="20"/>
                <w:color w:val="auto"/>
              </w:rPr>
            </w:pPr>
            <w:r>
              <w:rPr>
                <w:rFonts w:ascii="Arial" w:cs="Arial" w:eastAsia="Arial" w:hAnsi="Arial"/>
                <w:sz w:val="15"/>
                <w:szCs w:val="15"/>
                <w:b w:val="1"/>
                <w:bCs w:val="1"/>
                <w:i w:val="1"/>
                <w:iCs w:val="1"/>
                <w:color w:val="auto"/>
              </w:rPr>
              <w:t>Indiana:</w:t>
            </w: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6"/>
        </w:trPr>
        <w:tc>
          <w:tcPr>
            <w:tcW w:w="3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Indianapolis</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8"/>
        </w:trPr>
        <w:tc>
          <w:tcPr>
            <w:tcW w:w="580" w:type="dxa"/>
            <w:vAlign w:val="bottom"/>
            <w:tcBorders>
              <w:bottom w:val="single" w:sz="8" w:color="auto"/>
            </w:tcBorders>
            <w:gridSpan w:val="6"/>
          </w:tcPr>
          <w:p>
            <w:pPr>
              <w:spacing w:after="0" w:line="142" w:lineRule="exact"/>
              <w:rPr>
                <w:sz w:val="20"/>
                <w:szCs w:val="20"/>
                <w:color w:val="auto"/>
              </w:rPr>
            </w:pPr>
            <w:r>
              <w:rPr>
                <w:rFonts w:ascii="Arial" w:cs="Arial" w:eastAsia="Arial" w:hAnsi="Arial"/>
                <w:sz w:val="15"/>
                <w:szCs w:val="15"/>
                <w:b w:val="1"/>
                <w:bCs w:val="1"/>
                <w:i w:val="1"/>
                <w:iCs w:val="1"/>
                <w:color w:val="auto"/>
                <w:w w:val="83"/>
              </w:rPr>
              <w:t>Missouri:</w:t>
            </w:r>
          </w:p>
        </w:tc>
        <w:tc>
          <w:tcPr>
            <w:tcW w:w="2220" w:type="dxa"/>
            <w:vAlign w:val="bottom"/>
            <w:gridSpan w:val="5"/>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St. Peters</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8"/>
        </w:trPr>
        <w:tc>
          <w:tcPr>
            <w:tcW w:w="980" w:type="dxa"/>
            <w:vAlign w:val="bottom"/>
            <w:tcBorders>
              <w:bottom w:val="single" w:sz="8" w:color="auto"/>
            </w:tcBorders>
            <w:gridSpan w:val="10"/>
          </w:tcPr>
          <w:p>
            <w:pPr>
              <w:spacing w:after="0" w:line="142" w:lineRule="exact"/>
              <w:rPr>
                <w:sz w:val="20"/>
                <w:szCs w:val="20"/>
                <w:color w:val="auto"/>
              </w:rPr>
            </w:pPr>
            <w:r>
              <w:rPr>
                <w:rFonts w:ascii="Arial" w:cs="Arial" w:eastAsia="Arial" w:hAnsi="Arial"/>
                <w:sz w:val="15"/>
                <w:szCs w:val="15"/>
                <w:b w:val="1"/>
                <w:bCs w:val="1"/>
                <w:i w:val="1"/>
                <w:iCs w:val="1"/>
                <w:color w:val="auto"/>
                <w:w w:val="87"/>
              </w:rPr>
              <w:t>North Carolina:</w:t>
            </w: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Charlotte</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48"/>
        </w:trPr>
        <w:tc>
          <w:tcPr>
            <w:tcW w:w="800" w:type="dxa"/>
            <w:vAlign w:val="bottom"/>
            <w:tcBorders>
              <w:bottom w:val="single" w:sz="8" w:color="auto"/>
            </w:tcBorders>
            <w:gridSpan w:val="9"/>
          </w:tcPr>
          <w:p>
            <w:pPr>
              <w:spacing w:after="0" w:line="142" w:lineRule="exact"/>
              <w:rPr>
                <w:sz w:val="20"/>
                <w:szCs w:val="20"/>
                <w:color w:val="auto"/>
              </w:rPr>
            </w:pPr>
            <w:r>
              <w:rPr>
                <w:rFonts w:ascii="Arial" w:cs="Arial" w:eastAsia="Arial" w:hAnsi="Arial"/>
                <w:sz w:val="15"/>
                <w:szCs w:val="15"/>
                <w:b w:val="1"/>
                <w:bCs w:val="1"/>
                <w:i w:val="1"/>
                <w:iCs w:val="1"/>
                <w:color w:val="auto"/>
                <w:w w:val="85"/>
              </w:rPr>
              <w:t>New Mexico:</w:t>
            </w:r>
          </w:p>
        </w:tc>
        <w:tc>
          <w:tcPr>
            <w:tcW w:w="2000" w:type="dxa"/>
            <w:vAlign w:val="bottom"/>
            <w:gridSpan w:val="2"/>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Albuquerque</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42"/>
        </w:trPr>
        <w:tc>
          <w:tcPr>
            <w:tcW w:w="2800" w:type="dxa"/>
            <w:vAlign w:val="bottom"/>
            <w:gridSpan w:val="11"/>
          </w:tcPr>
          <w:p>
            <w:pPr>
              <w:spacing w:after="0" w:line="142" w:lineRule="exact"/>
              <w:rPr>
                <w:sz w:val="20"/>
                <w:szCs w:val="20"/>
                <w:color w:val="auto"/>
              </w:rPr>
            </w:pPr>
            <w:r>
              <w:rPr>
                <w:rFonts w:ascii="Arial" w:cs="Arial" w:eastAsia="Arial" w:hAnsi="Arial"/>
                <w:sz w:val="15"/>
                <w:szCs w:val="15"/>
                <w:b w:val="1"/>
                <w:bCs w:val="1"/>
                <w:i w:val="1"/>
                <w:iCs w:val="1"/>
                <w:color w:val="auto"/>
              </w:rPr>
              <w:t>Ohio:</w:t>
            </w: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6"/>
        </w:trPr>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1"/>
        </w:trPr>
        <w:tc>
          <w:tcPr>
            <w:tcW w:w="2800" w:type="dxa"/>
            <w:vAlign w:val="bottom"/>
            <w:gridSpan w:val="11"/>
            <w:shd w:val="clear" w:color="auto" w:fill="CCEEFF"/>
          </w:tcPr>
          <w:p>
            <w:pPr>
              <w:ind w:left="120"/>
              <w:spacing w:after="0"/>
              <w:rPr>
                <w:sz w:val="20"/>
                <w:szCs w:val="20"/>
                <w:color w:val="auto"/>
              </w:rPr>
            </w:pPr>
            <w:r>
              <w:rPr>
                <w:rFonts w:ascii="Arial" w:cs="Arial" w:eastAsia="Arial" w:hAnsi="Arial"/>
                <w:sz w:val="15"/>
                <w:szCs w:val="15"/>
                <w:color w:val="auto"/>
              </w:rPr>
              <w:t>Cincinnati</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75"/>
        </w:trPr>
        <w:tc>
          <w:tcPr>
            <w:tcW w:w="2800" w:type="dxa"/>
            <w:vAlign w:val="bottom"/>
            <w:gridSpan w:val="11"/>
          </w:tcPr>
          <w:p>
            <w:pPr>
              <w:ind w:left="120"/>
              <w:spacing w:after="0"/>
              <w:rPr>
                <w:sz w:val="20"/>
                <w:szCs w:val="20"/>
                <w:color w:val="auto"/>
              </w:rPr>
            </w:pPr>
            <w:r>
              <w:rPr>
                <w:rFonts w:ascii="Arial" w:cs="Arial" w:eastAsia="Arial" w:hAnsi="Arial"/>
                <w:sz w:val="15"/>
                <w:szCs w:val="15"/>
                <w:color w:val="auto"/>
              </w:rPr>
              <w:t>Oakwood Village</w:t>
            </w:r>
          </w:p>
        </w:tc>
        <w:tc>
          <w:tcPr>
            <w:tcW w:w="1460" w:type="dxa"/>
            <w:vAlign w:val="bottom"/>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75"/>
        </w:trPr>
        <w:tc>
          <w:tcPr>
            <w:tcW w:w="2800" w:type="dxa"/>
            <w:vAlign w:val="bottom"/>
            <w:gridSpan w:val="11"/>
            <w:shd w:val="clear" w:color="auto" w:fill="CCEEFF"/>
          </w:tcPr>
          <w:p>
            <w:pPr>
              <w:ind w:left="120"/>
              <w:spacing w:after="0"/>
              <w:rPr>
                <w:sz w:val="20"/>
                <w:szCs w:val="20"/>
                <w:color w:val="auto"/>
              </w:rPr>
            </w:pPr>
            <w:r>
              <w:rPr>
                <w:rFonts w:ascii="Arial" w:cs="Arial" w:eastAsia="Arial" w:hAnsi="Arial"/>
                <w:sz w:val="15"/>
                <w:szCs w:val="15"/>
                <w:color w:val="auto"/>
              </w:rPr>
              <w:t>Columbus</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tcPr>
          <w:p>
            <w:pPr>
              <w:ind w:left="120"/>
              <w:spacing w:after="0"/>
              <w:rPr>
                <w:sz w:val="20"/>
                <w:szCs w:val="20"/>
                <w:color w:val="auto"/>
              </w:rPr>
            </w:pPr>
            <w:r>
              <w:rPr>
                <w:rFonts w:ascii="Arial" w:cs="Arial" w:eastAsia="Arial" w:hAnsi="Arial"/>
                <w:sz w:val="15"/>
                <w:szCs w:val="15"/>
                <w:color w:val="auto"/>
              </w:rPr>
              <w:t>Dayton</w:t>
            </w:r>
          </w:p>
        </w:tc>
        <w:tc>
          <w:tcPr>
            <w:tcW w:w="1460" w:type="dxa"/>
            <w:vAlign w:val="bottom"/>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shd w:val="clear" w:color="auto" w:fill="CCEEFF"/>
          </w:tcPr>
          <w:p>
            <w:pPr>
              <w:ind w:left="120"/>
              <w:spacing w:after="0"/>
              <w:rPr>
                <w:sz w:val="20"/>
                <w:szCs w:val="20"/>
                <w:color w:val="auto"/>
              </w:rPr>
            </w:pPr>
            <w:r>
              <w:rPr>
                <w:rFonts w:ascii="Arial" w:cs="Arial" w:eastAsia="Arial" w:hAnsi="Arial"/>
                <w:sz w:val="15"/>
                <w:szCs w:val="15"/>
                <w:color w:val="auto"/>
              </w:rPr>
              <w:t>Lima</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8"/>
        </w:trPr>
        <w:tc>
          <w:tcPr>
            <w:tcW w:w="680" w:type="dxa"/>
            <w:vAlign w:val="bottom"/>
            <w:tcBorders>
              <w:bottom w:val="single" w:sz="8" w:color="auto"/>
            </w:tcBorders>
            <w:gridSpan w:val="8"/>
          </w:tcPr>
          <w:p>
            <w:pPr>
              <w:spacing w:after="0" w:line="142" w:lineRule="exact"/>
              <w:rPr>
                <w:sz w:val="20"/>
                <w:szCs w:val="20"/>
                <w:color w:val="auto"/>
              </w:rPr>
            </w:pPr>
            <w:r>
              <w:rPr>
                <w:rFonts w:ascii="Arial" w:cs="Arial" w:eastAsia="Arial" w:hAnsi="Arial"/>
                <w:sz w:val="15"/>
                <w:szCs w:val="15"/>
                <w:b w:val="1"/>
                <w:bCs w:val="1"/>
                <w:i w:val="1"/>
                <w:iCs w:val="1"/>
                <w:color w:val="auto"/>
                <w:w w:val="85"/>
              </w:rPr>
              <w:t>Oklahoma:</w:t>
            </w:r>
          </w:p>
        </w:tc>
        <w:tc>
          <w:tcPr>
            <w:tcW w:w="2120" w:type="dxa"/>
            <w:vAlign w:val="bottom"/>
            <w:gridSpan w:val="3"/>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Oklahoma City</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8"/>
        </w:trPr>
        <w:tc>
          <w:tcPr>
            <w:tcW w:w="660" w:type="dxa"/>
            <w:vAlign w:val="bottom"/>
            <w:tcBorders>
              <w:bottom w:val="single" w:sz="8" w:color="auto"/>
            </w:tcBorders>
            <w:gridSpan w:val="7"/>
          </w:tcPr>
          <w:p>
            <w:pPr>
              <w:spacing w:after="0" w:line="142" w:lineRule="exact"/>
              <w:rPr>
                <w:sz w:val="20"/>
                <w:szCs w:val="20"/>
                <w:color w:val="auto"/>
              </w:rPr>
            </w:pPr>
            <w:r>
              <w:rPr>
                <w:rFonts w:ascii="Arial" w:cs="Arial" w:eastAsia="Arial" w:hAnsi="Arial"/>
                <w:sz w:val="15"/>
                <w:szCs w:val="15"/>
                <w:b w:val="1"/>
                <w:bCs w:val="1"/>
                <w:i w:val="1"/>
                <w:iCs w:val="1"/>
                <w:color w:val="auto"/>
                <w:w w:val="77"/>
              </w:rPr>
              <w:t>Tennessee:</w:t>
            </w:r>
          </w:p>
        </w:tc>
        <w:tc>
          <w:tcPr>
            <w:tcW w:w="2140" w:type="dxa"/>
            <w:vAlign w:val="bottom"/>
            <w:gridSpan w:val="4"/>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Nashville</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42"/>
        </w:trPr>
        <w:tc>
          <w:tcPr>
            <w:tcW w:w="2800" w:type="dxa"/>
            <w:vAlign w:val="bottom"/>
            <w:gridSpan w:val="11"/>
          </w:tcPr>
          <w:p>
            <w:pPr>
              <w:spacing w:after="0" w:line="142" w:lineRule="exact"/>
              <w:rPr>
                <w:sz w:val="20"/>
                <w:szCs w:val="20"/>
                <w:color w:val="auto"/>
              </w:rPr>
            </w:pPr>
            <w:r>
              <w:rPr>
                <w:rFonts w:ascii="Arial" w:cs="Arial" w:eastAsia="Arial" w:hAnsi="Arial"/>
                <w:sz w:val="15"/>
                <w:szCs w:val="15"/>
                <w:b w:val="1"/>
                <w:bCs w:val="1"/>
                <w:i w:val="1"/>
                <w:iCs w:val="1"/>
                <w:color w:val="auto"/>
              </w:rPr>
              <w:t>Texas:</w:t>
            </w: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6"/>
        </w:trPr>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Austin</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Corpus Christi</w:t>
            </w:r>
          </w:p>
        </w:tc>
        <w:tc>
          <w:tcPr>
            <w:tcW w:w="1460" w:type="dxa"/>
            <w:vAlign w:val="bottom"/>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El Paso</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Houston</w:t>
            </w:r>
          </w:p>
        </w:tc>
        <w:tc>
          <w:tcPr>
            <w:tcW w:w="1460" w:type="dxa"/>
            <w:vAlign w:val="bottom"/>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75"/>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Lubbock</w:t>
            </w:r>
          </w:p>
        </w:tc>
        <w:tc>
          <w:tcPr>
            <w:tcW w:w="1460" w:type="dxa"/>
            <w:vAlign w:val="bottom"/>
            <w:shd w:val="clear" w:color="auto" w:fill="CCEEFF"/>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San Antonio</w:t>
            </w:r>
          </w:p>
        </w:tc>
        <w:tc>
          <w:tcPr>
            <w:tcW w:w="1460" w:type="dxa"/>
            <w:vAlign w:val="bottom"/>
          </w:tcPr>
          <w:p>
            <w:pPr>
              <w:jc w:val="center"/>
              <w:ind w:left="147"/>
              <w:spacing w:after="0"/>
              <w:rPr>
                <w:sz w:val="20"/>
                <w:szCs w:val="20"/>
                <w:color w:val="auto"/>
              </w:rPr>
            </w:pPr>
            <w:r>
              <w:rPr>
                <w:rFonts w:ascii="Arial" w:cs="Arial" w:eastAsia="Arial" w:hAnsi="Arial"/>
                <w:sz w:val="15"/>
                <w:szCs w:val="15"/>
                <w:color w:val="auto"/>
                <w:w w:val="83"/>
              </w:rPr>
              <w:t>PacLease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92"/>
              </w:rPr>
              <w:t>In RTC</w:t>
            </w:r>
          </w:p>
        </w:tc>
      </w:tr>
      <w:tr>
        <w:trPr>
          <w:trHeight w:val="155"/>
        </w:trPr>
        <w:tc>
          <w:tcPr>
            <w:tcW w:w="540" w:type="dxa"/>
            <w:vAlign w:val="bottom"/>
            <w:tcBorders>
              <w:bottom w:val="single" w:sz="8" w:color="auto"/>
            </w:tcBorders>
            <w:gridSpan w:val="5"/>
            <w:shd w:val="clear" w:color="auto" w:fill="CCEEFF"/>
          </w:tcPr>
          <w:p>
            <w:pPr>
              <w:spacing w:after="0" w:line="142" w:lineRule="exact"/>
              <w:rPr>
                <w:sz w:val="20"/>
                <w:szCs w:val="20"/>
                <w:color w:val="auto"/>
              </w:rPr>
            </w:pPr>
            <w:r>
              <w:rPr>
                <w:rFonts w:ascii="Arial" w:cs="Arial" w:eastAsia="Arial" w:hAnsi="Arial"/>
                <w:sz w:val="15"/>
                <w:szCs w:val="15"/>
                <w:b w:val="1"/>
                <w:bCs w:val="1"/>
                <w:i w:val="1"/>
                <w:iCs w:val="1"/>
                <w:color w:val="auto"/>
                <w:w w:val="86"/>
              </w:rPr>
              <w:t>Virginia:</w:t>
            </w:r>
          </w:p>
        </w:tc>
        <w:tc>
          <w:tcPr>
            <w:tcW w:w="2260" w:type="dxa"/>
            <w:vAlign w:val="bottom"/>
            <w:tcBorders>
              <w:bottom w:val="single" w:sz="8" w:color="CCEEFF"/>
            </w:tcBorders>
            <w:gridSpan w:val="6"/>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r>
      <w:tr>
        <w:trPr>
          <w:trHeight w:val="175"/>
        </w:trPr>
        <w:tc>
          <w:tcPr>
            <w:tcW w:w="2800" w:type="dxa"/>
            <w:vAlign w:val="bottom"/>
            <w:gridSpan w:val="11"/>
          </w:tcPr>
          <w:p>
            <w:pPr>
              <w:ind w:left="140"/>
              <w:spacing w:after="0"/>
              <w:rPr>
                <w:sz w:val="20"/>
                <w:szCs w:val="20"/>
                <w:color w:val="auto"/>
              </w:rPr>
            </w:pPr>
            <w:r>
              <w:rPr>
                <w:rFonts w:ascii="Arial" w:cs="Arial" w:eastAsia="Arial" w:hAnsi="Arial"/>
                <w:sz w:val="15"/>
                <w:szCs w:val="15"/>
                <w:color w:val="auto"/>
              </w:rPr>
              <w:t>Richmond</w:t>
            </w:r>
          </w:p>
        </w:tc>
        <w:tc>
          <w:tcPr>
            <w:tcW w:w="1460" w:type="dxa"/>
            <w:vAlign w:val="bottom"/>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75"/>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Norfolk</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84"/>
              </w:rPr>
              <w:t>Standalone</w:t>
            </w:r>
          </w:p>
        </w:tc>
      </w:tr>
      <w:tr>
        <w:trPr>
          <w:trHeight w:val="142"/>
        </w:trPr>
        <w:tc>
          <w:tcPr>
            <w:tcW w:w="2800" w:type="dxa"/>
            <w:vAlign w:val="bottom"/>
            <w:gridSpan w:val="11"/>
          </w:tcPr>
          <w:p>
            <w:pPr>
              <w:spacing w:after="0" w:line="142" w:lineRule="exact"/>
              <w:rPr>
                <w:sz w:val="20"/>
                <w:szCs w:val="20"/>
                <w:color w:val="auto"/>
              </w:rPr>
            </w:pPr>
            <w:r>
              <w:rPr>
                <w:rFonts w:ascii="Arial" w:cs="Arial" w:eastAsia="Arial" w:hAnsi="Arial"/>
                <w:sz w:val="15"/>
                <w:szCs w:val="15"/>
                <w:b w:val="1"/>
                <w:bCs w:val="1"/>
                <w:i w:val="1"/>
                <w:iCs w:val="1"/>
                <w:color w:val="auto"/>
              </w:rPr>
              <w:t>Utah:</w:t>
            </w: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6"/>
        </w:trPr>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1"/>
        </w:trPr>
        <w:tc>
          <w:tcPr>
            <w:tcW w:w="2800" w:type="dxa"/>
            <w:vAlign w:val="bottom"/>
            <w:gridSpan w:val="11"/>
            <w:shd w:val="clear" w:color="auto" w:fill="CCEEFF"/>
          </w:tcPr>
          <w:p>
            <w:pPr>
              <w:ind w:left="140"/>
              <w:spacing w:after="0"/>
              <w:rPr>
                <w:sz w:val="20"/>
                <w:szCs w:val="20"/>
                <w:color w:val="auto"/>
              </w:rPr>
            </w:pPr>
            <w:r>
              <w:rPr>
                <w:rFonts w:ascii="Arial" w:cs="Arial" w:eastAsia="Arial" w:hAnsi="Arial"/>
                <w:sz w:val="15"/>
                <w:szCs w:val="15"/>
                <w:color w:val="auto"/>
              </w:rPr>
              <w:t>Salt Lake City</w:t>
            </w:r>
          </w:p>
        </w:tc>
        <w:tc>
          <w:tcPr>
            <w:tcW w:w="1460" w:type="dxa"/>
            <w:vAlign w:val="bottom"/>
            <w:shd w:val="clear" w:color="auto" w:fill="CCEEFF"/>
          </w:tcPr>
          <w:p>
            <w:pPr>
              <w:jc w:val="center"/>
              <w:ind w:left="127"/>
              <w:spacing w:after="0"/>
              <w:rPr>
                <w:sz w:val="20"/>
                <w:szCs w:val="20"/>
                <w:color w:val="auto"/>
              </w:rPr>
            </w:pPr>
            <w:r>
              <w:rPr>
                <w:rFonts w:ascii="Arial" w:cs="Arial" w:eastAsia="Arial" w:hAnsi="Arial"/>
                <w:sz w:val="15"/>
                <w:szCs w:val="15"/>
                <w:color w:val="auto"/>
                <w:w w:val="82"/>
              </w:rPr>
              <w:t>Idealease</w:t>
            </w:r>
          </w:p>
        </w:tc>
        <w:tc>
          <w:tcPr>
            <w:tcW w:w="1820" w:type="dxa"/>
            <w:vAlign w:val="bottom"/>
            <w:shd w:val="clear" w:color="auto" w:fill="CCEEFF"/>
          </w:tcPr>
          <w:p>
            <w:pPr>
              <w:jc w:val="center"/>
              <w:ind w:left="227"/>
              <w:spacing w:after="0"/>
              <w:rPr>
                <w:sz w:val="20"/>
                <w:szCs w:val="20"/>
                <w:color w:val="auto"/>
              </w:rPr>
            </w:pPr>
            <w:r>
              <w:rPr>
                <w:rFonts w:ascii="Arial" w:cs="Arial" w:eastAsia="Arial" w:hAnsi="Arial"/>
                <w:sz w:val="15"/>
                <w:szCs w:val="15"/>
                <w:color w:val="auto"/>
                <w:w w:val="84"/>
              </w:rPr>
              <w:t>Standalone</w:t>
            </w:r>
          </w:p>
        </w:tc>
      </w:tr>
    </w:tbl>
    <w:p>
      <w:pPr>
        <w:spacing w:after="0" w:line="16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addition to the locations in the above table, Rush Truck Leasing also provides full-service maintenance on customers’ vehicles at several of its customers’ facilities.</w:t>
      </w:r>
    </w:p>
    <w:p>
      <w:pPr>
        <w:spacing w:after="0" w:line="189" w:lineRule="exact"/>
        <w:rPr>
          <w:sz w:val="20"/>
          <w:szCs w:val="20"/>
          <w:color w:val="auto"/>
        </w:rPr>
      </w:pPr>
    </w:p>
    <w:p>
      <w:pPr>
        <w:ind w:firstLine="525"/>
        <w:spacing w:after="0" w:line="383" w:lineRule="auto"/>
        <w:rPr>
          <w:sz w:val="20"/>
          <w:szCs w:val="20"/>
          <w:color w:val="auto"/>
        </w:rPr>
      </w:pPr>
      <w:r>
        <w:rPr>
          <w:rFonts w:ascii="Arial" w:cs="Arial" w:eastAsia="Arial" w:hAnsi="Arial"/>
          <w:sz w:val="12"/>
          <w:szCs w:val="12"/>
          <w:i w:val="1"/>
          <w:iCs w:val="1"/>
          <w:color w:val="auto"/>
        </w:rPr>
        <w:t xml:space="preserve">Financial and Insurance Products. </w:t>
      </w:r>
      <w:r>
        <w:rPr>
          <w:rFonts w:ascii="Arial" w:cs="Arial" w:eastAsia="Arial" w:hAnsi="Arial"/>
          <w:sz w:val="12"/>
          <w:szCs w:val="12"/>
          <w:color w:val="auto"/>
        </w:rPr>
        <w:t>At our Rush Truck Centers, we offer third-party financing to assist customers in purchasing new and used commercial vehicles. Additionally, we</w:t>
      </w:r>
      <w:r>
        <w:rPr>
          <w:rFonts w:ascii="Arial" w:cs="Arial" w:eastAsia="Arial" w:hAnsi="Arial"/>
          <w:sz w:val="12"/>
          <w:szCs w:val="12"/>
          <w:i w:val="1"/>
          <w:iCs w:val="1"/>
          <w:color w:val="auto"/>
        </w:rPr>
        <w:t xml:space="preserve"> </w:t>
      </w:r>
      <w:r>
        <w:rPr>
          <w:rFonts w:ascii="Arial" w:cs="Arial" w:eastAsia="Arial" w:hAnsi="Arial"/>
          <w:sz w:val="12"/>
          <w:szCs w:val="12"/>
          <w:color w:val="auto"/>
        </w:rPr>
        <w:t>sell, as agent, a complete line of property and casualty insurance, including collision and liability insurance on commercial vehicles, cargo insurance and credit life insurance.</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9" w:name="page10"/>
    <w:bookmarkEnd w:id="9"/>
    <w:p>
      <w:pPr>
        <w:ind w:right="20" w:firstLine="525"/>
        <w:spacing w:after="0" w:line="259" w:lineRule="auto"/>
        <w:rPr>
          <w:sz w:val="20"/>
          <w:szCs w:val="20"/>
          <w:color w:val="auto"/>
        </w:rPr>
      </w:pPr>
      <w:r>
        <w:rPr>
          <w:rFonts w:ascii="Arial" w:cs="Arial" w:eastAsia="Arial" w:hAnsi="Arial"/>
          <w:sz w:val="15"/>
          <w:szCs w:val="15"/>
          <w:i w:val="1"/>
          <w:iCs w:val="1"/>
          <w:color w:val="auto"/>
        </w:rPr>
        <w:t xml:space="preserve">Other Businesses. </w:t>
      </w:r>
      <w:r>
        <w:rPr>
          <w:rFonts w:ascii="Arial" w:cs="Arial" w:eastAsia="Arial" w:hAnsi="Arial"/>
          <w:sz w:val="15"/>
          <w:szCs w:val="15"/>
          <w:color w:val="auto"/>
        </w:rPr>
        <w:t>Perfection Equipment offers installation of equipment, equipment repair, parts installation, and paint and body repair at its location in Oklahoma City. Perfection</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specializes in up-fitting trucks used by oilfield service providers and other specialized service providers.</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World Wide Tires stores operate in three locations in Texas. World Wide Tires primarily sells tires for use on Class 8 trucks.</w:t>
      </w:r>
    </w:p>
    <w:p>
      <w:pPr>
        <w:spacing w:after="0" w:line="177" w:lineRule="exact"/>
        <w:rPr>
          <w:sz w:val="20"/>
          <w:szCs w:val="20"/>
          <w:color w:val="auto"/>
        </w:rPr>
      </w:pPr>
    </w:p>
    <w:p>
      <w:pPr>
        <w:ind w:right="20" w:firstLine="525"/>
        <w:spacing w:after="0" w:line="259" w:lineRule="auto"/>
        <w:rPr>
          <w:sz w:val="20"/>
          <w:szCs w:val="20"/>
          <w:color w:val="auto"/>
        </w:rPr>
      </w:pPr>
      <w:r>
        <w:rPr>
          <w:rFonts w:ascii="Arial" w:cs="Arial" w:eastAsia="Arial" w:hAnsi="Arial"/>
          <w:sz w:val="15"/>
          <w:szCs w:val="15"/>
          <w:color w:val="auto"/>
        </w:rPr>
        <w:t>Custom Vehicle Solutions operates in two locations in Texas. Custom Vehicle Solutions provides new vehicle pre-delivery inspections, truck modifications, natural gas fuel system installations, and body, chassis upfit and component installation.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w:t>
      </w:r>
    </w:p>
    <w:p>
      <w:pPr>
        <w:spacing w:after="0" w:line="181" w:lineRule="exact"/>
        <w:rPr>
          <w:sz w:val="20"/>
          <w:szCs w:val="20"/>
          <w:color w:val="auto"/>
        </w:rPr>
      </w:pPr>
    </w:p>
    <w:p>
      <w:pPr>
        <w:ind w:right="20" w:firstLine="525"/>
        <w:spacing w:after="0" w:line="259" w:lineRule="auto"/>
        <w:rPr>
          <w:sz w:val="20"/>
          <w:szCs w:val="20"/>
          <w:color w:val="auto"/>
        </w:rPr>
      </w:pPr>
      <w:r>
        <w:rPr>
          <w:rFonts w:ascii="Arial" w:cs="Arial" w:eastAsia="Arial" w:hAnsi="Arial"/>
          <w:sz w:val="15"/>
          <w:szCs w:val="15"/>
          <w:color w:val="auto"/>
        </w:rPr>
        <w:t>See Part II, Item 7, “Management’s Discussion and Analysis of Financial Condition and Results of Operations – Industry” for a description of our industry and the markets in which we operate.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Strategy</w:t>
      </w:r>
    </w:p>
    <w:p>
      <w:pPr>
        <w:spacing w:after="0" w:line="181" w:lineRule="exact"/>
        <w:rPr>
          <w:sz w:val="20"/>
          <w:szCs w:val="20"/>
          <w:color w:val="auto"/>
        </w:rPr>
      </w:pPr>
    </w:p>
    <w:p>
      <w:pPr>
        <w:ind w:right="20" w:firstLine="525"/>
        <w:spacing w:after="0" w:line="259" w:lineRule="auto"/>
        <w:rPr>
          <w:sz w:val="20"/>
          <w:szCs w:val="20"/>
          <w:color w:val="auto"/>
        </w:rPr>
      </w:pPr>
      <w:r>
        <w:rPr>
          <w:rFonts w:ascii="Arial" w:cs="Arial" w:eastAsia="Arial" w:hAnsi="Arial"/>
          <w:sz w:val="15"/>
          <w:szCs w:val="15"/>
          <w:i w:val="1"/>
          <w:iCs w:val="1"/>
          <w:color w:val="auto"/>
        </w:rPr>
        <w:t xml:space="preserve">Operating Strategy. </w:t>
      </w:r>
      <w:r>
        <w:rPr>
          <w:rFonts w:ascii="Arial" w:cs="Arial" w:eastAsia="Arial" w:hAnsi="Arial"/>
          <w:sz w:val="15"/>
          <w:szCs w:val="15"/>
          <w:color w:val="auto"/>
        </w:rPr>
        <w:t>Our strategy is to operate an integrated dealer network that provides service solutions to the commercial vehicle industry. Our strategy includes the following key</w:t>
      </w:r>
      <w:r>
        <w:rPr>
          <w:rFonts w:ascii="Arial" w:cs="Arial" w:eastAsia="Arial" w:hAnsi="Arial"/>
          <w:sz w:val="15"/>
          <w:szCs w:val="15"/>
          <w:i w:val="1"/>
          <w:iCs w:val="1"/>
          <w:color w:val="auto"/>
        </w:rPr>
        <w:t xml:space="preserve"> </w:t>
      </w:r>
      <w:r>
        <w:rPr>
          <w:rFonts w:ascii="Arial" w:cs="Arial" w:eastAsia="Arial" w:hAnsi="Arial"/>
          <w:sz w:val="15"/>
          <w:szCs w:val="15"/>
          <w:color w:val="auto"/>
        </w:rPr>
        <w:t>elements:</w:t>
      </w:r>
    </w:p>
    <w:p>
      <w:pPr>
        <w:spacing w:after="0" w:line="152" w:lineRule="exact"/>
        <w:rPr>
          <w:sz w:val="20"/>
          <w:szCs w:val="20"/>
          <w:color w:val="auto"/>
        </w:rPr>
      </w:pPr>
    </w:p>
    <w:p>
      <w:pPr>
        <w:jc w:val="both"/>
        <w:ind w:left="820" w:hanging="375"/>
        <w:spacing w:after="0" w:line="248" w:lineRule="auto"/>
        <w:tabs>
          <w:tab w:leader="none" w:pos="820" w:val="left"/>
        </w:tabs>
        <w:numPr>
          <w:ilvl w:val="0"/>
          <w:numId w:val="1"/>
        </w:numPr>
        <w:rPr>
          <w:rFonts w:ascii="Arial" w:cs="Arial" w:eastAsia="Arial" w:hAnsi="Arial"/>
          <w:sz w:val="15"/>
          <w:szCs w:val="15"/>
          <w:color w:val="auto"/>
        </w:rPr>
      </w:pPr>
      <w:r>
        <w:rPr>
          <w:rFonts w:ascii="Arial" w:cs="Arial" w:eastAsia="Arial" w:hAnsi="Arial"/>
          <w:sz w:val="15"/>
          <w:szCs w:val="15"/>
          <w:u w:val="single" w:color="auto"/>
          <w:color w:val="auto"/>
        </w:rPr>
        <w:t>One-Stop Centers</w:t>
      </w:r>
      <w:r>
        <w:rPr>
          <w:rFonts w:ascii="Arial" w:cs="Arial" w:eastAsia="Arial" w:hAnsi="Arial"/>
          <w:sz w:val="15"/>
          <w:szCs w:val="15"/>
          <w:color w:val="auto"/>
        </w:rPr>
        <w:t>. We have developed our commercial vehicle dealerships as “one-stop centers” where, at one convenient location, our customers can do the following: purchase new and used commercial vehicles; finance, lease or rent commercial vehicles;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commercial vehicle sales.</w:t>
      </w:r>
    </w:p>
    <w:p>
      <w:pPr>
        <w:spacing w:after="0" w:line="161" w:lineRule="exact"/>
        <w:rPr>
          <w:rFonts w:ascii="Arial" w:cs="Arial" w:eastAsia="Arial" w:hAnsi="Arial"/>
          <w:sz w:val="15"/>
          <w:szCs w:val="15"/>
          <w:color w:val="auto"/>
        </w:rPr>
      </w:pPr>
    </w:p>
    <w:p>
      <w:pPr>
        <w:ind w:left="820" w:right="20" w:hanging="375"/>
        <w:spacing w:after="0" w:line="294" w:lineRule="auto"/>
        <w:tabs>
          <w:tab w:leader="none" w:pos="820" w:val="left"/>
        </w:tabs>
        <w:numPr>
          <w:ilvl w:val="0"/>
          <w:numId w:val="1"/>
        </w:numPr>
        <w:rPr>
          <w:rFonts w:ascii="Arial" w:cs="Arial" w:eastAsia="Arial" w:hAnsi="Arial"/>
          <w:sz w:val="14"/>
          <w:szCs w:val="14"/>
          <w:color w:val="auto"/>
        </w:rPr>
      </w:pPr>
      <w:r>
        <w:rPr>
          <w:rFonts w:ascii="Arial" w:cs="Arial" w:eastAsia="Arial" w:hAnsi="Arial"/>
          <w:sz w:val="14"/>
          <w:szCs w:val="14"/>
          <w:u w:val="single" w:color="auto"/>
          <w:color w:val="auto"/>
        </w:rPr>
        <w:t>Branding Program</w:t>
      </w:r>
      <w:r>
        <w:rPr>
          <w:rFonts w:ascii="Arial" w:cs="Arial" w:eastAsia="Arial" w:hAnsi="Arial"/>
          <w:sz w:val="14"/>
          <w:szCs w:val="14"/>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30" w:lineRule="exact"/>
        <w:rPr>
          <w:rFonts w:ascii="Arial" w:cs="Arial" w:eastAsia="Arial" w:hAnsi="Arial"/>
          <w:sz w:val="14"/>
          <w:szCs w:val="14"/>
          <w:color w:val="auto"/>
        </w:rPr>
      </w:pPr>
    </w:p>
    <w:p>
      <w:pPr>
        <w:jc w:val="both"/>
        <w:ind w:left="820" w:right="20" w:hanging="375"/>
        <w:spacing w:after="0" w:line="271" w:lineRule="auto"/>
        <w:tabs>
          <w:tab w:leader="none" w:pos="820" w:val="left"/>
        </w:tabs>
        <w:numPr>
          <w:ilvl w:val="0"/>
          <w:numId w:val="1"/>
        </w:numPr>
        <w:rPr>
          <w:rFonts w:ascii="Arial" w:cs="Arial" w:eastAsia="Arial" w:hAnsi="Arial"/>
          <w:sz w:val="14"/>
          <w:szCs w:val="14"/>
          <w:color w:val="auto"/>
        </w:rPr>
      </w:pPr>
      <w:r>
        <w:rPr>
          <w:rFonts w:ascii="Arial" w:cs="Arial" w:eastAsia="Arial" w:hAnsi="Arial"/>
          <w:sz w:val="14"/>
          <w:szCs w:val="14"/>
          <w:u w:val="single" w:color="auto"/>
          <w:color w:val="auto"/>
        </w:rPr>
        <w:t>Management by Dealership Units</w:t>
      </w:r>
      <w:r>
        <w:rPr>
          <w:rFonts w:ascii="Arial" w:cs="Arial" w:eastAsia="Arial" w:hAnsi="Arial"/>
          <w:sz w:val="14"/>
          <w:szCs w:val="14"/>
          <w:color w:val="auto"/>
        </w:rPr>
        <w:t>. At each of our dealerships, we operate one or more of the following departments: new commercial vehicle sales, used commercial vehicle sales, financial services, parts, service or body shop. Our general managers measure and manage the operations of each of our dealerships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147" w:lineRule="exact"/>
        <w:rPr>
          <w:rFonts w:ascii="Arial" w:cs="Arial" w:eastAsia="Arial" w:hAnsi="Arial"/>
          <w:sz w:val="14"/>
          <w:szCs w:val="14"/>
          <w:color w:val="auto"/>
        </w:rPr>
      </w:pPr>
    </w:p>
    <w:p>
      <w:pPr>
        <w:jc w:val="both"/>
        <w:ind w:left="820" w:right="20" w:hanging="375"/>
        <w:spacing w:after="0" w:line="251" w:lineRule="auto"/>
        <w:tabs>
          <w:tab w:leader="none" w:pos="820" w:val="left"/>
        </w:tabs>
        <w:numPr>
          <w:ilvl w:val="0"/>
          <w:numId w:val="1"/>
        </w:numPr>
        <w:rPr>
          <w:rFonts w:ascii="Arial" w:cs="Arial" w:eastAsia="Arial" w:hAnsi="Arial"/>
          <w:sz w:val="15"/>
          <w:szCs w:val="15"/>
          <w:color w:val="auto"/>
        </w:rPr>
      </w:pPr>
      <w:r>
        <w:rPr>
          <w:rFonts w:ascii="Arial" w:cs="Arial" w:eastAsia="Arial" w:hAnsi="Arial"/>
          <w:sz w:val="15"/>
          <w:szCs w:val="15"/>
          <w:u w:val="single" w:color="auto"/>
          <w:color w:val="auto"/>
        </w:rPr>
        <w:t>Aftermarket Services.</w:t>
      </w:r>
      <w:r>
        <w:rPr>
          <w:rFonts w:ascii="Arial" w:cs="Arial" w:eastAsia="Arial" w:hAnsi="Arial"/>
          <w:sz w:val="15"/>
          <w:szCs w:val="15"/>
          <w:color w:val="auto"/>
        </w:rPr>
        <w:t xml:space="preserve"> The Company’s aftermarket capabilities now include a wide range of services and products such as a fleet of mobile service units, mobile technicians who staff our customers’ facilities, a proprietary line of parts and accessories, new diagnostic and analysis capabilities, factory certified service for alternative fuel vehicles and assembly service for specialized bodies and equipment.</w:t>
      </w:r>
    </w:p>
    <w:p>
      <w:pPr>
        <w:spacing w:after="0" w:line="158"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i w:val="1"/>
          <w:iCs w:val="1"/>
          <w:color w:val="auto"/>
        </w:rPr>
        <w:t xml:space="preserve">Growth Strategy. </w:t>
      </w:r>
      <w:r>
        <w:rPr>
          <w:rFonts w:ascii="Arial" w:cs="Arial" w:eastAsia="Arial" w:hAnsi="Arial"/>
          <w:sz w:val="15"/>
          <w:szCs w:val="15"/>
          <w:color w:val="auto"/>
        </w:rPr>
        <w:t>Through our expansion and acquisition initiatives, we have grown to operate a large, multistate, full-service network of commercial vehicle dealerships. As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below, we intend to continue to grow our business internally and through acquisitions by expanding into new geographic areas, expanding our product and service offerings and opening new dealerships in existing markets.</w:t>
      </w:r>
    </w:p>
    <w:p>
      <w:pPr>
        <w:spacing w:after="0" w:line="158" w:lineRule="exact"/>
        <w:rPr>
          <w:sz w:val="20"/>
          <w:szCs w:val="20"/>
          <w:color w:val="auto"/>
        </w:rPr>
      </w:pPr>
    </w:p>
    <w:p>
      <w:pPr>
        <w:jc w:val="both"/>
        <w:ind w:left="920" w:hanging="388"/>
        <w:spacing w:after="0" w:line="251" w:lineRule="auto"/>
        <w:tabs>
          <w:tab w:leader="none" w:pos="920"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Expansion Into New Geographic Areas.</w:t>
      </w:r>
      <w:r>
        <w:rPr>
          <w:rFonts w:ascii="Arial" w:cs="Arial" w:eastAsia="Arial" w:hAnsi="Arial"/>
          <w:sz w:val="15"/>
          <w:szCs w:val="15"/>
          <w:color w:val="auto"/>
        </w:rPr>
        <w:t xml:space="preserve"> We plan to continue to expand our dealership network by acquiring dealerships in areas of the U.S. where we do not already have dealerships. We believe the geographic diversity of our Rush Truck Center network has significantly expanded our customer base while reducing the effects of local economic cycles.</w:t>
      </w:r>
    </w:p>
    <w:p>
      <w:pPr>
        <w:spacing w:after="0" w:line="158" w:lineRule="exact"/>
        <w:rPr>
          <w:rFonts w:ascii="Arial" w:cs="Arial" w:eastAsia="Arial" w:hAnsi="Arial"/>
          <w:sz w:val="15"/>
          <w:szCs w:val="15"/>
          <w:color w:val="auto"/>
        </w:rPr>
      </w:pPr>
    </w:p>
    <w:p>
      <w:pPr>
        <w:jc w:val="both"/>
        <w:ind w:left="920" w:hanging="388"/>
        <w:spacing w:after="0" w:line="271" w:lineRule="auto"/>
        <w:tabs>
          <w:tab w:leader="none" w:pos="920"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auto"/>
        </w:rPr>
        <w:t>Expansion of Product and Service Offerings.</w:t>
      </w:r>
      <w:r>
        <w:rPr>
          <w:rFonts w:ascii="Arial" w:cs="Arial" w:eastAsia="Arial" w:hAnsi="Arial"/>
          <w:sz w:val="14"/>
          <w:szCs w:val="14"/>
          <w:color w:val="auto"/>
        </w:rPr>
        <w:t xml:space="preserve"> We intend to continue to expand our product lines within our dealerships by adding product categories and service capabilities that are both complementary to our existing product lines and well suited to our operating model. We believe that there are many additional product and service offerings that would complement our primary product lines. For example, we believe that technological advances to the vehicles we sell will provide us with the opportunity to provide vehicle owners with more preventative maintenance options and the ability to maximize the performance of vehicles in their fleets.</w:t>
      </w:r>
    </w:p>
    <w:p>
      <w:pPr>
        <w:spacing w:after="0" w:line="147" w:lineRule="exact"/>
        <w:rPr>
          <w:rFonts w:ascii="Arial" w:cs="Arial" w:eastAsia="Arial" w:hAnsi="Arial"/>
          <w:sz w:val="14"/>
          <w:szCs w:val="14"/>
          <w:color w:val="auto"/>
        </w:rPr>
      </w:pPr>
    </w:p>
    <w:p>
      <w:pPr>
        <w:ind w:left="920" w:right="20" w:hanging="388"/>
        <w:spacing w:after="0" w:line="259" w:lineRule="auto"/>
        <w:tabs>
          <w:tab w:leader="none" w:pos="920"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Open New Rush Truck Centers in Existing Areas of Operation.</w:t>
      </w:r>
      <w:r>
        <w:rPr>
          <w:rFonts w:ascii="Arial" w:cs="Arial" w:eastAsia="Arial" w:hAnsi="Arial"/>
          <w:sz w:val="15"/>
          <w:szCs w:val="15"/>
          <w:color w:val="auto"/>
        </w:rPr>
        <w:t xml:space="preserve"> We continually evaluate opportunities to increase our market presence by adding new Rush Truck Centers to underserved markets within our current areas of operation.</w:t>
      </w:r>
    </w:p>
    <w:p>
      <w:pPr>
        <w:spacing w:after="0" w:line="349"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Management of Our Dealerships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manage our dealerships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Rush Truck Centers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Rush Truck Centers are responsible for sales of new and used commercial vehicles, as well as related parts and services.</w:t>
      </w:r>
    </w:p>
    <w:p>
      <w:pPr>
        <w:spacing w:after="0" w:line="177" w:lineRule="exact"/>
        <w:rPr>
          <w:sz w:val="20"/>
          <w:szCs w:val="20"/>
          <w:color w:val="auto"/>
        </w:rPr>
      </w:pPr>
    </w:p>
    <w:p>
      <w:pPr>
        <w:jc w:val="both"/>
        <w:ind w:firstLine="525"/>
        <w:spacing w:after="0" w:line="266" w:lineRule="auto"/>
        <w:rPr>
          <w:sz w:val="20"/>
          <w:szCs w:val="20"/>
          <w:color w:val="auto"/>
        </w:rPr>
      </w:pPr>
      <w:r>
        <w:rPr>
          <w:rFonts w:ascii="Arial" w:cs="Arial" w:eastAsia="Arial" w:hAnsi="Arial"/>
          <w:sz w:val="14"/>
          <w:szCs w:val="14"/>
          <w:u w:val="single" w:color="auto"/>
          <w:color w:val="auto"/>
        </w:rPr>
        <w:t>Commercial Vehicle Parts and Service</w:t>
      </w:r>
      <w:r>
        <w:rPr>
          <w:rFonts w:ascii="Arial" w:cs="Arial" w:eastAsia="Arial" w:hAnsi="Arial"/>
          <w:sz w:val="14"/>
          <w:szCs w:val="14"/>
          <w:color w:val="auto"/>
        </w:rPr>
        <w:t>. Commercial vehicle related parts and service revenues accounted for approximately $988.3 million, or 29.2%, of our total revenues for 2013, but 64.4% of our gross profit. The parts and service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makes and classes of commercial vehicles. Each Rush Truck Center is a warranty service center for the commercial vehicle manufacturers represented at that location and most are also authorized service centers for other vehicle component manufacturers, including Cummins, Eaton and Allison. We have approximately 1,900 service and body shop bays throughout our Rush Truck Center network. We also have approximately 225 mobile service units and 300 mobile technicians who staff our mobile service units and our customers’ facilities.</w:t>
      </w:r>
    </w:p>
    <w:p>
      <w:pPr>
        <w:spacing w:after="0" w:line="150"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Our service departments perform warranty and non-warranty repairs on commercial vehicles. The cost of warranty work is generally reimbursed by the applicable manufacturer at retail commercial rates. Additionally, we provide a wide array of services, including assembly service for specialized truck bodies and truck mounted equipment. Our goal is to provide our customer any service that they need related to their commercial vehicles.</w:t>
      </w:r>
    </w:p>
    <w:p>
      <w:pPr>
        <w:spacing w:after="0" w:line="15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As part of our leasing and rental operations, we also enter into contracts to provide full-service maintenance on some customers’ vehicles. We had 967 vehicles under contract maintenance as of December 31, 2013, and 851 vehicles under contract maintenance as of December 31, 2012. This revenue is included as parts and service revenue on the Consolidated Statement of Income.</w:t>
      </w:r>
    </w:p>
    <w:p>
      <w:pPr>
        <w:spacing w:after="0" w:line="15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u w:val="single" w:color="auto"/>
          <w:color w:val="auto"/>
        </w:rPr>
        <w:t>New Commercial Vehicle Sales</w:t>
      </w:r>
      <w:r>
        <w:rPr>
          <w:rFonts w:ascii="Arial" w:cs="Arial" w:eastAsia="Arial" w:hAnsi="Arial"/>
          <w:sz w:val="15"/>
          <w:szCs w:val="15"/>
          <w:color w:val="auto"/>
        </w:rPr>
        <w:t>. New commercial vehicle sales represent the largest portion of our revenue, accounting for approximately $1,987.4 million, or 58.7%, of our total revenues in 2013. Of this total, new Class 8 heavy-duty truck sales accounted for approximately $1,304.9 million, or 38.6% of our total revenues for 2013, and 65.7% of our new commercial vehicle revenues for 2013.</w:t>
      </w:r>
    </w:p>
    <w:p>
      <w:pPr>
        <w:spacing w:after="0" w:line="158"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color w:val="auto"/>
        </w:rPr>
        <w:t xml:space="preserve">Our Rush Truck Centers that sell new and used Class 8 heavy-duty trucks, also sell medium-duty and light-duty commercial vehicles. Certain Rush Truck Centers sell medium-duty commercial vehicles manufactured by Peterbilt, Hino, Isuzu, Ford, International or Mitsubishi Fuso and buses manufactured by Blue Bird, IC BUS and Elkhart and light-duty commercial vehicles manufactured by Ford (see Part I, Item 1, “General – </w:t>
      </w:r>
      <w:r>
        <w:rPr>
          <w:rFonts w:ascii="Arial" w:cs="Arial" w:eastAsia="Arial" w:hAnsi="Arial"/>
          <w:sz w:val="12"/>
          <w:szCs w:val="12"/>
          <w:i w:val="1"/>
          <w:iCs w:val="1"/>
          <w:color w:val="auto"/>
        </w:rPr>
        <w:t>Rush Truck Centers</w:t>
      </w:r>
      <w:r>
        <w:rPr>
          <w:rFonts w:ascii="Arial" w:cs="Arial" w:eastAsia="Arial" w:hAnsi="Arial"/>
          <w:sz w:val="12"/>
          <w:szCs w:val="12"/>
          <w:color w:val="auto"/>
        </w:rPr>
        <w:t>” for information on which brands we sell at each Rush Truck Center). New medium-duty commercial vehicle sales, excluding new bus sales, accounted for approximately $477.6 million, or 14.1% of our total revenues for 2013, and 24.0% of our new commercial vehicle revenues for 2013. New light-duty commercial vehicle sales accounted for approximately $63.2 million, or 1.9% of our total revenues for 2013, and 3.2% of our new commercial vehicle revenues for 2013. New bus sales accounted for approximately $127.3 million, or 3.8% of our total revenues for 2013, and 6.4% of our new commercial vehicle revenues for 2013.</w:t>
      </w:r>
    </w:p>
    <w:p>
      <w:pPr>
        <w:spacing w:after="0" w:line="317"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11" w:name="page12"/>
    <w:bookmarkEnd w:id="11"/>
    <w:p>
      <w:pPr>
        <w:jc w:val="both"/>
        <w:ind w:firstLine="525"/>
        <w:spacing w:after="0" w:line="269" w:lineRule="auto"/>
        <w:rPr>
          <w:sz w:val="20"/>
          <w:szCs w:val="20"/>
          <w:color w:val="auto"/>
        </w:rPr>
      </w:pPr>
      <w:r>
        <w:rPr>
          <w:rFonts w:ascii="Arial" w:cs="Arial" w:eastAsia="Arial" w:hAnsi="Arial"/>
          <w:sz w:val="14"/>
          <w:szCs w:val="14"/>
          <w:color w:val="auto"/>
        </w:rPr>
        <w:t>A significant portion of our new commercial vehicle sales are to fleet customers (customers who purchase more than five commercial vehicles in any 12-month period). Because of the size and geographic scope of our Rush Truck Center network, our strong relationships with our fleet customers and our ability to handle large quantities of used commercial vehicle trade-ins, we are able to successfully market and sell to fleet customers nationwide. We believe that we have a competitive advantage over most other dealers in that we can absorb multi-unit trade-ins often associated with fleet sales and effectively disperse the used commercial vehicles for resale throughout our dealership network. We believe that the broad range of services we offer to purchasers of commercial vehicles at the time of purchase and post-purchase has resulted in a high level of customer loyalty.</w:t>
      </w:r>
    </w:p>
    <w:p>
      <w:pPr>
        <w:spacing w:after="0" w:line="147"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u w:val="single" w:color="auto"/>
          <w:color w:val="auto"/>
        </w:rPr>
        <w:t>Used Commercial Vehicle Sales</w:t>
      </w:r>
      <w:r>
        <w:rPr>
          <w:rFonts w:ascii="Arial" w:cs="Arial" w:eastAsia="Arial" w:hAnsi="Arial"/>
          <w:sz w:val="14"/>
          <w:szCs w:val="14"/>
          <w:color w:val="auto"/>
        </w:rPr>
        <w:t>. Used commercial vehicle sales accounted for approximately $252.4 million, or 7.5%, of our total revenues for 2013. We sell used commercial vehicles at most of our Rush Truck Centers. We believe that we are well positioned to market used commercial vehicles due to our ability to recondition them for resale utilizing the parts and service departments of our Rush Truck Centers and our ability to move used commercial vehicles between Rush Truck Centers to satisfy customer demand. The majority of our used commercial vehicle inventory consists of commercial vehicles taken as trade-ins from new truck customers or retired from our lease and rental fleet, but we supplement our used commercial vehicle inventory by purchasing used commercial vehicles from third parties for resale.</w:t>
      </w:r>
    </w:p>
    <w:p>
      <w:pPr>
        <w:spacing w:after="0" w:line="14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u w:val="single" w:color="auto"/>
          <w:color w:val="auto"/>
        </w:rPr>
        <w:t>New and Used Commercial Vehicle Financing</w:t>
      </w:r>
      <w:r>
        <w:rPr>
          <w:rFonts w:ascii="Arial" w:cs="Arial" w:eastAsia="Arial" w:hAnsi="Arial"/>
          <w:sz w:val="15"/>
          <w:szCs w:val="15"/>
          <w:color w:val="auto"/>
        </w:rPr>
        <w:t>. Our Rush Truck Centers have personnel responsible for arranging third-party financing for our product offerings. Generally, commercial vehicle finance contracts are memorialized through the use of installment contracts, which are secured by the commercial vehicles financed, and require a down payment, with the remaining balance financed over a two to seven-year period. The majority of finance contracts are sold to third parties without recourse to the Company. The Company provides an allowance for repossession losses and early repayment penalties.</w:t>
      </w:r>
    </w:p>
    <w:p>
      <w:pPr>
        <w:spacing w:after="0" w:line="161"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u w:val="single" w:color="auto"/>
          <w:color w:val="auto"/>
        </w:rPr>
        <w:t>Truck Leasing and Rental</w:t>
      </w:r>
      <w:r>
        <w:rPr>
          <w:rFonts w:ascii="Arial" w:cs="Arial" w:eastAsia="Arial" w:hAnsi="Arial"/>
          <w:sz w:val="15"/>
          <w:szCs w:val="15"/>
          <w:color w:val="auto"/>
        </w:rPr>
        <w:t>. Truck leasing and rental revenues accounted for approximately $129.6 million, or 3.8%, of our total revenues for 2013. At our Rush Truck Leasing locations, we engage in full-service truck leasing under the PacLease and Idealease trade names.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5,348 vehicles in our lease and rental fleet, including cranes, as of December 31, 2013 compared to 4,508 vehicles as of December 31, 2012. Generally, we sell trucks that have been retired from our lease and rental fleet through the used sales operations at our Rush Truck Centers. Historically, we have realized gains on the sale of used lease and rental trucks.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Insurance Products</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sale of financial and insurance products accounted for approximately $15.3 million, or 0.5%, of our total revenue for 2013. Finance and insurance revenues have minimal direct costs and, therefore, contribute a disproportionate share of our operating profits.</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u w:val="single" w:color="auto"/>
          <w:color w:val="auto"/>
        </w:rPr>
        <w:t>Insurance Products</w:t>
      </w:r>
      <w:r>
        <w:rPr>
          <w:rFonts w:ascii="Arial" w:cs="Arial" w:eastAsia="Arial" w:hAnsi="Arial"/>
          <w:sz w:val="15"/>
          <w:szCs w:val="15"/>
          <w:color w:val="auto"/>
        </w:rPr>
        <w:t>. We sell, as agent, a complete line of property and casualty insurance to commercial vehicle owners. Our agency is licensed to sell truck liability, collision and comprehensive, workers’ compensation, cargo, credit life and occupational accident insurance coverage offered by a number of leading insurance companies. Our renewal rate in 2013 was approximately 90%. We also have licensed insurance agents at several Rush Truck Centers.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181"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Our established long history of operations in the commercial vehicle business has resulted in a strong customer base that is diverse in terms of geography, industry and scale of operations. Our customers include owner operators, regional and national truck fleets, corporations and local governments. During 2013, no single customer accounted for more than 10% of our sales by dollar volume. We generally promote our products and related services through direct customer contact by our sales personnel, advertisements in trade magazines and attendance at industry shows.</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500" w:right="519" w:bottom="1440" w:gutter="0" w:footer="0" w:header="0"/>
        </w:sectPr>
      </w:pPr>
    </w:p>
    <w:bookmarkStart w:id="12" w:name="page13"/>
    <w:bookmarkEnd w:id="12"/>
    <w:p>
      <w:pPr>
        <w:jc w:val="both"/>
        <w:ind w:right="20" w:firstLine="525"/>
        <w:spacing w:after="0" w:line="259" w:lineRule="auto"/>
        <w:rPr>
          <w:sz w:val="20"/>
          <w:szCs w:val="20"/>
          <w:color w:val="auto"/>
        </w:rPr>
      </w:pPr>
      <w:r>
        <w:rPr>
          <w:rFonts w:ascii="Arial" w:cs="Arial" w:eastAsia="Arial" w:hAnsi="Arial"/>
          <w:sz w:val="15"/>
          <w:szCs w:val="15"/>
          <w:color w:val="auto"/>
        </w:rPr>
        <w:t>In an effort to enhance our name recognition and to communicate the standardized high level of quality products and services provided at our Rush Truck Centers, we implement our “Rush” brand name concept at each of our dealerships.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Facility Management</w:t>
      </w:r>
    </w:p>
    <w:p>
      <w:pPr>
        <w:spacing w:after="0" w:line="225" w:lineRule="exact"/>
        <w:rPr>
          <w:sz w:val="20"/>
          <w:szCs w:val="20"/>
          <w:color w:val="auto"/>
        </w:rPr>
      </w:pPr>
    </w:p>
    <w:p>
      <w:pPr>
        <w:jc w:val="both"/>
        <w:ind w:right="20" w:firstLine="525"/>
        <w:spacing w:after="0" w:line="269" w:lineRule="auto"/>
        <w:rPr>
          <w:sz w:val="20"/>
          <w:szCs w:val="20"/>
          <w:color w:val="auto"/>
        </w:rPr>
      </w:pPr>
      <w:r>
        <w:rPr>
          <w:rFonts w:ascii="Arial" w:cs="Arial" w:eastAsia="Arial" w:hAnsi="Arial"/>
          <w:sz w:val="14"/>
          <w:szCs w:val="14"/>
          <w:i w:val="1"/>
          <w:iCs w:val="1"/>
          <w:color w:val="auto"/>
        </w:rPr>
        <w:t xml:space="preserve">Personnel. </w:t>
      </w:r>
      <w:r>
        <w:rPr>
          <w:rFonts w:ascii="Arial" w:cs="Arial" w:eastAsia="Arial" w:hAnsi="Arial"/>
          <w:sz w:val="14"/>
          <w:szCs w:val="14"/>
          <w:color w:val="auto"/>
        </w:rPr>
        <w:t>Each of our facilities is typically managed by a general manager who oversees the operations, personnel and the financial performance of the location, subject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direction of a regional manager and personnel at our corporate headquarters. Additionally, each full-service Rush Truck Center is typically staffed by a sales manager, parts manager, service manager, body shop manager, sales representatives, parts employees, and other service and make-ready employees, as appropriate, given the services offered. The sales staff of each Rush Truck Center is compensated on a salary plus commission or a commission only basis, while managers receive a combination of salary and performance bonus. We believe that our employees are among the highest paid in the industry, which enables us to attract and retain qualified personnel.</w:t>
      </w:r>
    </w:p>
    <w:p>
      <w:pPr>
        <w:spacing w:after="0" w:line="147" w:lineRule="exact"/>
        <w:rPr>
          <w:sz w:val="20"/>
          <w:szCs w:val="20"/>
          <w:color w:val="auto"/>
        </w:rPr>
      </w:pPr>
    </w:p>
    <w:p>
      <w:pPr>
        <w:jc w:val="both"/>
        <w:ind w:right="20" w:firstLine="525"/>
        <w:spacing w:after="0" w:line="383" w:lineRule="auto"/>
        <w:rPr>
          <w:sz w:val="20"/>
          <w:szCs w:val="20"/>
          <w:color w:val="auto"/>
        </w:rPr>
      </w:pPr>
      <w:r>
        <w:rPr>
          <w:rFonts w:ascii="Arial" w:cs="Arial" w:eastAsia="Arial" w:hAnsi="Arial"/>
          <w:sz w:val="12"/>
          <w:szCs w:val="12"/>
          <w:color w:val="auto"/>
        </w:rPr>
        <w:t>On an annual basis, the regional managers work with the general managers to prepare detailed monthly profit and loss forecasts based upon historical information and projected trends. During the year, the general managers regularly review their facility’s progress with their regional manager and senior management and make appropriate adjustments as needed.</w:t>
      </w:r>
    </w:p>
    <w:p>
      <w:pPr>
        <w:spacing w:after="0" w:line="84"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 sponsored leadership and management seminars and receive continuing education on the products we distribute, marketing strategies and management information systems.</w:t>
      </w:r>
    </w:p>
    <w:p>
      <w:pPr>
        <w:spacing w:after="0" w:line="142"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Each Rush Truck Center is audited regularly for compliance with corporate policies and procedures. These routine unannounced internal 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w:t>
      </w:r>
    </w:p>
    <w:p>
      <w:pPr>
        <w:spacing w:after="0" w:line="202" w:lineRule="exact"/>
        <w:rPr>
          <w:sz w:val="20"/>
          <w:szCs w:val="20"/>
          <w:color w:val="auto"/>
        </w:rPr>
      </w:pPr>
    </w:p>
    <w:p>
      <w:pPr>
        <w:jc w:val="both"/>
        <w:ind w:right="20" w:firstLine="525"/>
        <w:spacing w:after="0" w:line="271" w:lineRule="auto"/>
        <w:rPr>
          <w:sz w:val="20"/>
          <w:szCs w:val="20"/>
          <w:color w:val="auto"/>
        </w:rPr>
      </w:pPr>
      <w:r>
        <w:rPr>
          <w:rFonts w:ascii="Arial" w:cs="Arial" w:eastAsia="Arial" w:hAnsi="Arial"/>
          <w:sz w:val="14"/>
          <w:szCs w:val="14"/>
          <w:i w:val="1"/>
          <w:iCs w:val="1"/>
          <w:color w:val="auto"/>
        </w:rPr>
        <w:t xml:space="preserve">Purchasing and Suppliers. </w:t>
      </w:r>
      <w:r>
        <w:rPr>
          <w:rFonts w:ascii="Arial" w:cs="Arial" w:eastAsia="Arial" w:hAnsi="Arial"/>
          <w:sz w:val="14"/>
          <w:szCs w:val="14"/>
          <w:color w:val="auto"/>
        </w:rPr>
        <w:t>We believe that pricing is an important element of our marketing strategy. Because of our size, we benefit from volume purchases at favorable prices that</w:t>
      </w:r>
      <w:r>
        <w:rPr>
          <w:rFonts w:ascii="Arial" w:cs="Arial" w:eastAsia="Arial" w:hAnsi="Arial"/>
          <w:sz w:val="14"/>
          <w:szCs w:val="14"/>
          <w:i w:val="1"/>
          <w:iCs w:val="1"/>
          <w:color w:val="auto"/>
        </w:rPr>
        <w:t xml:space="preserve"> </w:t>
      </w:r>
      <w:r>
        <w:rPr>
          <w:rFonts w:ascii="Arial" w:cs="Arial" w:eastAsia="Arial" w:hAnsi="Arial"/>
          <w:sz w:val="14"/>
          <w:szCs w:val="14"/>
          <w:color w:val="auto"/>
        </w:rPr>
        <w:t>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91"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i w:val="1"/>
          <w:iCs w:val="1"/>
          <w:color w:val="auto"/>
        </w:rPr>
        <w:t xml:space="preserve">Management Information Systems. </w:t>
      </w:r>
      <w:r>
        <w:rPr>
          <w:rFonts w:ascii="Arial" w:cs="Arial" w:eastAsia="Arial" w:hAnsi="Arial"/>
          <w:sz w:val="15"/>
          <w:szCs w:val="15"/>
          <w:color w:val="auto"/>
        </w:rPr>
        <w:t>We utilize our management information systems to monitor the inventory level of commercial vehicles and parts at each of our dealerships.</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tracks historic sales levels of different product lines, which enables management to identify the appropriate level and combination of inventory and forms the basis of our operating plan.</w:t>
      </w:r>
    </w:p>
    <w:p>
      <w:pPr>
        <w:spacing w:after="0" w:line="158" w:lineRule="exact"/>
        <w:rPr>
          <w:sz w:val="20"/>
          <w:szCs w:val="20"/>
          <w:color w:val="auto"/>
        </w:rPr>
      </w:pPr>
    </w:p>
    <w:p>
      <w:pPr>
        <w:jc w:val="both"/>
        <w:ind w:right="20" w:firstLine="525"/>
        <w:spacing w:after="0" w:line="383" w:lineRule="auto"/>
        <w:rPr>
          <w:sz w:val="20"/>
          <w:szCs w:val="20"/>
          <w:color w:val="auto"/>
        </w:rPr>
      </w:pPr>
      <w:r>
        <w:rPr>
          <w:rFonts w:ascii="Arial" w:cs="Arial" w:eastAsia="Arial" w:hAnsi="Arial"/>
          <w:sz w:val="12"/>
          <w:szCs w:val="12"/>
          <w:color w:val="auto"/>
        </w:rPr>
        <w:t>Information received from industry analysts allows us to determine market share statistics and gross volume sales numbers for our products as well as those of competitors. Local management remains aware of changes within markets we service and are able to realign product lines and add new commercial vehicle models as demands of the market change.</w:t>
      </w:r>
    </w:p>
    <w:p>
      <w:pPr>
        <w:spacing w:after="0" w:line="128" w:lineRule="exact"/>
        <w:rPr>
          <w:sz w:val="20"/>
          <w:szCs w:val="20"/>
          <w:color w:val="auto"/>
        </w:rPr>
      </w:pPr>
    </w:p>
    <w:p>
      <w:pPr>
        <w:jc w:val="both"/>
        <w:ind w:right="20" w:firstLine="525"/>
        <w:spacing w:after="0" w:line="271" w:lineRule="auto"/>
        <w:rPr>
          <w:sz w:val="20"/>
          <w:szCs w:val="20"/>
          <w:color w:val="auto"/>
        </w:rPr>
      </w:pPr>
      <w:r>
        <w:rPr>
          <w:rFonts w:ascii="Arial" w:cs="Arial" w:eastAsia="Arial" w:hAnsi="Arial"/>
          <w:sz w:val="14"/>
          <w:szCs w:val="14"/>
          <w:i w:val="1"/>
          <w:iCs w:val="1"/>
          <w:color w:val="auto"/>
        </w:rPr>
        <w:t xml:space="preserve">Distribution and Inventory Management. </w:t>
      </w:r>
      <w:r>
        <w:rPr>
          <w:rFonts w:ascii="Arial" w:cs="Arial" w:eastAsia="Arial" w:hAnsi="Arial"/>
          <w:sz w:val="14"/>
          <w:szCs w:val="14"/>
          <w:color w:val="auto"/>
        </w:rPr>
        <w:t>We utilize an inventory tracking system that allows for the prompt transfer of inventory among various Rush Truck Centers. The transfer of</w:t>
      </w:r>
      <w:r>
        <w:rPr>
          <w:rFonts w:ascii="Arial" w:cs="Arial" w:eastAsia="Arial" w:hAnsi="Arial"/>
          <w:sz w:val="14"/>
          <w:szCs w:val="14"/>
          <w:i w:val="1"/>
          <w:iCs w:val="1"/>
          <w:color w:val="auto"/>
        </w:rPr>
        <w:t xml:space="preserve"> </w:t>
      </w:r>
      <w:r>
        <w:rPr>
          <w:rFonts w:ascii="Arial" w:cs="Arial" w:eastAsia="Arial" w:hAnsi="Arial"/>
          <w:sz w:val="14"/>
          <w:szCs w:val="14"/>
          <w:color w:val="auto"/>
        </w:rPr>
        <w:t>inventory reduces delays in delivery, helps maximize inventory turns and assists in controlling problems created by overstock and understock situations. Our network is linked directly to our major suppliers for purposes of ordering vehicles and parts and managing parts inventory levels. Automated reordering and communication systems allow us to maintain proper inventory levels and permit us to have inventory delivered to our locations, or directly to customers, typically within 24 hours of an order being placed.</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Recent Acquisitions and Disposition</w:t>
      </w:r>
    </w:p>
    <w:p>
      <w:pPr>
        <w:spacing w:after="0" w:line="181"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In January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 The purchase price for the assets, membership interests, goodwill and dealership properties was approximately $144.7 million, which was paid in cash and 83,091 shares of the Company’s Class B Common Stock with a total value of $2.0 million on the date of acquisition.</w:t>
      </w:r>
    </w:p>
    <w:p>
      <w:pPr>
        <w:spacing w:after="0" w:line="162" w:lineRule="exact"/>
        <w:rPr>
          <w:sz w:val="20"/>
          <w:szCs w:val="20"/>
          <w:color w:val="auto"/>
        </w:rPr>
      </w:pPr>
    </w:p>
    <w:p>
      <w:pPr>
        <w:jc w:val="both"/>
        <w:ind w:right="20" w:firstLine="525"/>
        <w:spacing w:after="0" w:line="271" w:lineRule="auto"/>
        <w:rPr>
          <w:sz w:val="20"/>
          <w:szCs w:val="20"/>
          <w:color w:val="auto"/>
        </w:rPr>
      </w:pPr>
      <w:r>
        <w:rPr>
          <w:rFonts w:ascii="Arial" w:cs="Arial" w:eastAsia="Arial" w:hAnsi="Arial"/>
          <w:sz w:val="14"/>
          <w:szCs w:val="14"/>
          <w:color w:val="auto"/>
        </w:rPr>
        <w:t>On October 28, 2013, the Company acquired certain assets of Prairie International Trucks, which operated commercial vehicle dealerships and a commercial vehicle leasing operation in Bloomington, Champaign, Decatur, Quincy and Springfield, Illinois. These locations are operating as Rush Truck Centers and offer commercial vehicle sales, parts and service for International trucks. The Springfield location includes an Idealease franchise. The transaction was valued at approximately $9.5 million. The purchase price for the assets of the business was financed under the Company’s lease and rental truck financing arrangement with the remainder paid in cash.</w:t>
      </w:r>
    </w:p>
    <w:p>
      <w:pPr>
        <w:spacing w:after="0" w:line="147" w:lineRule="exact"/>
        <w:rPr>
          <w:sz w:val="20"/>
          <w:szCs w:val="20"/>
          <w:color w:val="auto"/>
        </w:rPr>
      </w:pPr>
    </w:p>
    <w:p>
      <w:pPr>
        <w:jc w:val="both"/>
        <w:ind w:right="20" w:firstLine="525"/>
        <w:spacing w:after="0" w:line="247" w:lineRule="auto"/>
        <w:rPr>
          <w:sz w:val="20"/>
          <w:szCs w:val="20"/>
          <w:color w:val="auto"/>
        </w:rPr>
      </w:pPr>
      <w:r>
        <w:rPr>
          <w:rFonts w:ascii="Arial" w:cs="Arial" w:eastAsia="Arial" w:hAnsi="Arial"/>
          <w:sz w:val="15"/>
          <w:szCs w:val="15"/>
          <w:color w:val="auto"/>
        </w:rPr>
        <w:t>On September 30, 2013, the Company acquired certain assets of Transauthority, Inc., Transauthority Idealease, LLC and Transauthority Idealease-Tidewater, LLC, which operated commercial vehicle dealerships and commercial vehicle leasing operations in Richmond, Suffolk, Fredericksburg and Chester, Virginia. These locations are operating as Rush Truck Centers and offer commercial vehicle sales, parts and service for International trucks. The Richmond and Norfolk locations include Idealease franchises. The transaction was valued at approximately $41.7 million, including real estate of $11.1 million. The purchase price for the assets of the business was financed under the Company’s floor plan and lease and rental truck financing arrangements with the remainder paid in cash.</w:t>
      </w:r>
    </w:p>
    <w:p>
      <w:pPr>
        <w:spacing w:after="0" w:line="162"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On July 29, 2013, the Company acquired certain assets of Midwest Truck Sales, which operated commercial vehicle dealerships in St. Peters and St. Louis, Missouri and Olathe, Kansas. The Missouri locations are operating as Rush Truck Centers and offer commercial vehicle sales, parts and service for International trucks. The Kansas location is operating as a Rush Truck Center and offers commercial vehicle sales, parts and service capabilities for Hino and Isuzu vehicles and parts and service support for Mitsubishi Fuso trucks. The St. Peters, Missouri location includes an Idealease franchise. The transaction was valued at approximately $16.8 million, including real estate of $2.3 million, with the purchase price paid in cash.</w:t>
      </w:r>
    </w:p>
    <w:p>
      <w:pPr>
        <w:spacing w:after="0" w:line="115"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On July 1, 2013, the Company acquired certain assets of The Larson Group, Inc., which included Ford and Mitsubishi Fuso truck franchises in Cincinnati, Ohio. The transaction was valued at approximately $1.2 million, with the purchase price paid in cash.</w:t>
      </w:r>
    </w:p>
    <w:p>
      <w:pPr>
        <w:spacing w:after="0" w:line="152"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On May 6, 2013, the Company acquired certain assets of Piedmont International Trucks, LLC, which operated commercial truck dealerships in Statesville, Hickory and Asheville, North Carolina. The acquisition included International and Idealease franchises. These locations are operating as Rush Truck Centers and offer commercial vehicles manufactured by International in addition to parts, service, body shop, truck rental and leasing, financing and insurance capabilities. The transaction was valued at approximately $3.5 million, with the purchase price paid in cash.</w:t>
      </w:r>
    </w:p>
    <w:p>
      <w:pPr>
        <w:spacing w:after="0" w:line="161" w:lineRule="exact"/>
        <w:rPr>
          <w:sz w:val="20"/>
          <w:szCs w:val="20"/>
          <w:color w:val="auto"/>
        </w:rPr>
      </w:pPr>
    </w:p>
    <w:p>
      <w:pPr>
        <w:jc w:val="both"/>
        <w:ind w:right="20" w:firstLine="525"/>
        <w:spacing w:after="0" w:line="324" w:lineRule="auto"/>
        <w:rPr>
          <w:sz w:val="20"/>
          <w:szCs w:val="20"/>
          <w:color w:val="auto"/>
        </w:rPr>
      </w:pPr>
      <w:r>
        <w:rPr>
          <w:rFonts w:ascii="Arial" w:cs="Arial" w:eastAsia="Arial" w:hAnsi="Arial"/>
          <w:sz w:val="12"/>
          <w:szCs w:val="12"/>
          <w:color w:val="auto"/>
        </w:rPr>
        <w:t>On December 31, 2012, the Company acquired certain assets of MVI Group, which operated commercial truck and bus dealerships in Ohio under the names of Miami Valley International, Center City International, CCI North Coast and Buckeye Truck Centers. The acquisition included International, IC Bus, and Isuzu franchise locations in Akron, Cincinnati, Cleveland, Columbus, Dayton, Findlay and Lima, Ohio. These dealerships now operate as Rush Truck Centers. Rush Truck Leasing now operates Idealease truck rental and leasing franchises in Cincinnati, Cleveland, Columbus, Dayton and Lima, Ohio. The transaction, including real estate of $2.5 million, was valued at approximately $104.5 million. The purchase price for the assets of the business was financed under the Company’s floor plan and lease and rental truck financing arrangements, with the remainder paid in cash.</w:t>
      </w:r>
    </w:p>
    <w:p>
      <w:pPr>
        <w:spacing w:after="0" w:line="118" w:lineRule="exact"/>
        <w:rPr>
          <w:sz w:val="20"/>
          <w:szCs w:val="20"/>
          <w:color w:val="auto"/>
        </w:rPr>
      </w:pPr>
    </w:p>
    <w:p>
      <w:pPr>
        <w:jc w:val="both"/>
        <w:ind w:right="20" w:firstLine="525"/>
        <w:spacing w:after="0" w:line="330" w:lineRule="auto"/>
        <w:rPr>
          <w:sz w:val="20"/>
          <w:szCs w:val="20"/>
          <w:color w:val="auto"/>
        </w:rPr>
      </w:pPr>
      <w:r>
        <w:rPr>
          <w:rFonts w:ascii="Arial" w:cs="Arial" w:eastAsia="Arial" w:hAnsi="Arial"/>
          <w:sz w:val="12"/>
          <w:szCs w:val="12"/>
          <w:color w:val="auto"/>
        </w:rPr>
        <w:t>On December 5, 2011, the Company acquired certain assets of West Texas Peterbilt, which operated commercial vehicle dealerships in Amarillo, Lubbock and Odessa, Texas that offered Peterbilt trucks, parts and service, a parts and service facility in Dalhart, Texas and a parts facility in Hereford, Texas. These dealerships now operate as Rush Truck Centers. Rush Truck Leasing operates a PacLease truck rental and leasing franchise in Lubbock, Texas. The transaction, including real estate of $4.5 million, was valued at approximately $24.6 million. The purchase price for the assets of the business was paid in cash and the purchase price for the real estate was partially paid in cash with the remainder financed with long-term debt.</w:t>
      </w:r>
    </w:p>
    <w:p>
      <w:pPr>
        <w:spacing w:after="0" w:line="312"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496" w:right="499" w:bottom="1440" w:gutter="0" w:footer="0" w:header="0"/>
        </w:sectPr>
      </w:pPr>
    </w:p>
    <w:bookmarkStart w:id="14" w:name="page15"/>
    <w:bookmarkEnd w:id="14"/>
    <w:p>
      <w:pPr>
        <w:jc w:val="both"/>
        <w:ind w:firstLine="525"/>
        <w:spacing w:after="0" w:line="248" w:lineRule="auto"/>
        <w:rPr>
          <w:sz w:val="20"/>
          <w:szCs w:val="20"/>
          <w:color w:val="auto"/>
        </w:rPr>
      </w:pPr>
      <w:r>
        <w:rPr>
          <w:rFonts w:ascii="Arial" w:cs="Arial" w:eastAsia="Arial" w:hAnsi="Arial"/>
          <w:sz w:val="15"/>
          <w:szCs w:val="15"/>
          <w:color w:val="auto"/>
        </w:rPr>
        <w:t>On November 5, 2011, the Company acquired certain assets of Peck Road Ford, which operated a Ford and Isuzu commercial vehicle dealership in Whittier, California. The Company is operating the facility as a full-service Rush Truck Center offering Ford and Isuzu trucks, parts, service, financing and insurance. This location also offers Peterbilt parts and service. The transaction, including real estate of $6.6 million, was valued at approximately $10.0 million. The purchase price for the assets of the business was paid in cash and the purchase price for the real estate was partially paid in cash with the remainder financed with long-term debt.</w:t>
      </w:r>
    </w:p>
    <w:p>
      <w:pPr>
        <w:spacing w:after="0" w:line="161" w:lineRule="exact"/>
        <w:rPr>
          <w:sz w:val="20"/>
          <w:szCs w:val="20"/>
          <w:color w:val="auto"/>
        </w:rPr>
      </w:pPr>
    </w:p>
    <w:p>
      <w:pPr>
        <w:jc w:val="both"/>
        <w:ind w:right="20" w:firstLine="525"/>
        <w:spacing w:after="0" w:line="247" w:lineRule="auto"/>
        <w:rPr>
          <w:sz w:val="20"/>
          <w:szCs w:val="20"/>
          <w:color w:val="auto"/>
        </w:rPr>
      </w:pPr>
      <w:r>
        <w:rPr>
          <w:rFonts w:ascii="Arial" w:cs="Arial" w:eastAsia="Arial" w:hAnsi="Arial"/>
          <w:sz w:val="15"/>
          <w:szCs w:val="15"/>
          <w:color w:val="auto"/>
        </w:rPr>
        <w:t>On March 14, 2011, the Company acquired certain assets of Asbury Automotive Atlanta L.L.C., a subsidiary of Asbury Automotive Group, Inc., which operated commercial truck and bus dealerships in the metro Atlanta area under the "Nalley Motor Trucks" name. The acquisition included the International, Hino, Isuzu, UD, IC Bus and Workhorse franchises in metro Atlanta, dealership locations in Atlanta and Doraville and a collision center in Atlanta. These locations now operate as Rush Truck Centers. The transaction, including real estate of $8.1 million, was valued at approximately $55.3 million. The purchase price for the assets of the business was paid in cash and the purchase price for the real estate was partially paid in cash, with the remainder financed with long-term debt.</w:t>
      </w:r>
    </w:p>
    <w:p>
      <w:pPr>
        <w:spacing w:after="0" w:line="162"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On February 21, 2011, the Company acquired certain assets of Heintzelman’s Truck Center, which consisted of a Ford commercial vehicle dealership in Orlando, Florida. The Company is operating the facility as a full-service Rush Truck Center offering Ford trucks, parts, service, leasing, financing and insurance. The transaction was valued at approximately $4.7 million, with the purchase price paid in cash.</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See Note 15 of the Notes to Consolidated Financial Statements for a detailed discussion of the allocation of the purchase price of these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81"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52" w:lineRule="exact"/>
        <w:rPr>
          <w:sz w:val="20"/>
          <w:szCs w:val="20"/>
          <w:color w:val="auto"/>
        </w:rPr>
      </w:pPr>
    </w:p>
    <w:p>
      <w:pPr>
        <w:ind w:left="920" w:hanging="38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accessibility of dealership locations;</w:t>
      </w:r>
    </w:p>
    <w:p>
      <w:pPr>
        <w:spacing w:after="0" w:line="177" w:lineRule="exact"/>
        <w:rPr>
          <w:rFonts w:ascii="Arial" w:cs="Arial" w:eastAsia="Arial" w:hAnsi="Arial"/>
          <w:sz w:val="15"/>
          <w:szCs w:val="15"/>
          <w:color w:val="auto"/>
        </w:rPr>
      </w:pPr>
    </w:p>
    <w:p>
      <w:pPr>
        <w:ind w:left="920" w:hanging="38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number of dealership locations representing the manufacturers that we represent and other manufacturers;</w:t>
      </w:r>
    </w:p>
    <w:p>
      <w:pPr>
        <w:spacing w:after="0" w:line="220" w:lineRule="exact"/>
        <w:rPr>
          <w:rFonts w:ascii="Arial" w:cs="Arial" w:eastAsia="Arial" w:hAnsi="Arial"/>
          <w:sz w:val="15"/>
          <w:szCs w:val="15"/>
          <w:color w:val="auto"/>
        </w:rPr>
      </w:pPr>
    </w:p>
    <w:p>
      <w:pPr>
        <w:ind w:left="920" w:hanging="38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consolidation of dealership networks by manufacturers to provide more consistent, higher quality service across their dealer networks;</w:t>
      </w:r>
    </w:p>
    <w:p>
      <w:pPr>
        <w:spacing w:after="0" w:line="177" w:lineRule="exact"/>
        <w:rPr>
          <w:rFonts w:ascii="Arial" w:cs="Arial" w:eastAsia="Arial" w:hAnsi="Arial"/>
          <w:sz w:val="15"/>
          <w:szCs w:val="15"/>
          <w:color w:val="auto"/>
        </w:rPr>
      </w:pPr>
    </w:p>
    <w:p>
      <w:pPr>
        <w:ind w:left="920" w:hanging="38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price, value, quality and design of the products sold; and</w:t>
      </w:r>
    </w:p>
    <w:p>
      <w:pPr>
        <w:spacing w:after="0" w:line="177" w:lineRule="exact"/>
        <w:rPr>
          <w:rFonts w:ascii="Arial" w:cs="Arial" w:eastAsia="Arial" w:hAnsi="Arial"/>
          <w:sz w:val="15"/>
          <w:szCs w:val="15"/>
          <w:color w:val="auto"/>
        </w:rPr>
      </w:pPr>
    </w:p>
    <w:p>
      <w:pPr>
        <w:ind w:left="920" w:hanging="38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attention to customer service (including technical service).</w:t>
      </w:r>
    </w:p>
    <w:p>
      <w:pPr>
        <w:spacing w:after="0" w:line="177" w:lineRule="exact"/>
        <w:rPr>
          <w:sz w:val="20"/>
          <w:szCs w:val="20"/>
          <w:color w:val="auto"/>
        </w:rPr>
      </w:pPr>
    </w:p>
    <w:p>
      <w:pPr>
        <w:jc w:val="both"/>
        <w:ind w:right="20" w:firstLine="525"/>
        <w:spacing w:after="0" w:line="269" w:lineRule="auto"/>
        <w:rPr>
          <w:sz w:val="20"/>
          <w:szCs w:val="20"/>
          <w:color w:val="auto"/>
        </w:rPr>
      </w:pPr>
      <w:r>
        <w:rPr>
          <w:rFonts w:ascii="Arial" w:cs="Arial" w:eastAsia="Arial" w:hAnsi="Arial"/>
          <w:sz w:val="14"/>
          <w:szCs w:val="14"/>
          <w:color w:val="auto"/>
        </w:rPr>
        <w:t>Our dealerships compete with dealerships representing other manufacturers including commercial vehicles manufactured by Mack, Freightliner, Kenworth, Volvo, and Western Star. We believe that our dealerships are able to compete with manufacturer-owned dealers, independent dealers,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products offered in our dealership network; and our ability to provide comprehensive parts and service support, as well as financing, insurance and other customer services.</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Dealership Agreements</w:t>
      </w:r>
    </w:p>
    <w:p>
      <w:pPr>
        <w:spacing w:after="0" w:line="225" w:lineRule="exact"/>
        <w:rPr>
          <w:sz w:val="20"/>
          <w:szCs w:val="20"/>
          <w:color w:val="auto"/>
        </w:rPr>
      </w:pPr>
    </w:p>
    <w:p>
      <w:pPr>
        <w:jc w:val="both"/>
        <w:ind w:right="20" w:firstLine="525"/>
        <w:spacing w:after="0" w:line="324" w:lineRule="auto"/>
        <w:rPr>
          <w:sz w:val="20"/>
          <w:szCs w:val="20"/>
          <w:color w:val="auto"/>
        </w:rPr>
      </w:pPr>
      <w:r>
        <w:rPr>
          <w:rFonts w:ascii="Arial" w:cs="Arial" w:eastAsia="Arial" w:hAnsi="Arial"/>
          <w:sz w:val="12"/>
          <w:szCs w:val="12"/>
          <w:i w:val="1"/>
          <w:iCs w:val="1"/>
          <w:color w:val="auto"/>
        </w:rPr>
        <w:t xml:space="preserve">Peterbilt. </w:t>
      </w:r>
      <w:r>
        <w:rPr>
          <w:rFonts w:ascii="Arial" w:cs="Arial" w:eastAsia="Arial" w:hAnsi="Arial"/>
          <w:sz w:val="12"/>
          <w:szCs w:val="12"/>
          <w:color w:val="auto"/>
        </w:rPr>
        <w:t>We have entered into nonexclusive dealership agreements with Peterbilt which authorize us to act as a dealer of Peterbilt heavy- and medium-duty trucks. Our Peterbilt</w:t>
      </w:r>
      <w:r>
        <w:rPr>
          <w:rFonts w:ascii="Arial" w:cs="Arial" w:eastAsia="Arial" w:hAnsi="Arial"/>
          <w:sz w:val="12"/>
          <w:szCs w:val="12"/>
          <w:i w:val="1"/>
          <w:iCs w:val="1"/>
          <w:color w:val="auto"/>
        </w:rPr>
        <w:t xml:space="preserve"> </w:t>
      </w:r>
      <w:r>
        <w:rPr>
          <w:rFonts w:ascii="Arial" w:cs="Arial" w:eastAsia="Arial" w:hAnsi="Arial"/>
          <w:sz w:val="12"/>
          <w:szCs w:val="12"/>
          <w:color w:val="auto"/>
        </w:rPr>
        <w:t>areas of responsibility currently encompass areas in the states of Alabama, Arizona, California, Colorado, Florida, New Mexico, North Carolina, Oklahoma, Tennessee and Texas. These dealership agreements currently have terms expiring between May 2014 and March 2016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22%. Sales of new Peterbilt commercial vehicles accounted for approximately 38.5% of our total revenues for 2013.</w:t>
      </w:r>
    </w:p>
    <w:p>
      <w:pPr>
        <w:spacing w:after="0" w:line="161" w:lineRule="exact"/>
        <w:rPr>
          <w:sz w:val="20"/>
          <w:szCs w:val="20"/>
          <w:color w:val="auto"/>
        </w:rPr>
      </w:pPr>
    </w:p>
    <w:p>
      <w:pPr>
        <w:jc w:val="both"/>
        <w:ind w:right="20" w:firstLine="525"/>
        <w:spacing w:after="0" w:line="271" w:lineRule="auto"/>
        <w:rPr>
          <w:sz w:val="20"/>
          <w:szCs w:val="20"/>
          <w:color w:val="auto"/>
        </w:rPr>
      </w:pPr>
      <w:r>
        <w:rPr>
          <w:rFonts w:ascii="Arial" w:cs="Arial" w:eastAsia="Arial" w:hAnsi="Arial"/>
          <w:sz w:val="14"/>
          <w:szCs w:val="14"/>
          <w:i w:val="1"/>
          <w:iCs w:val="1"/>
          <w:color w:val="auto"/>
        </w:rPr>
        <w:t xml:space="preserve">Other Commercial Vehicle Suppliers. </w:t>
      </w:r>
      <w:r>
        <w:rPr>
          <w:rFonts w:ascii="Arial" w:cs="Arial" w:eastAsia="Arial" w:hAnsi="Arial"/>
          <w:sz w:val="14"/>
          <w:szCs w:val="14"/>
          <w:color w:val="auto"/>
        </w:rPr>
        <w:t>In addition to our dealership agreements with Peterbilt, various Rush Truck Centers have entered into dealership agreements with other</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vehicle manufacturers including Autocar, Blue Bird, Ford, Hino, IC, International, Isuzu, Micro Bird and Mitsubishi, which currently have terms expiring between August 2014 and October 2018. These dealership agreements impose operating requirements upon us and require consent from the affected supplier for sale or transfer of such dealership agreement. Sales of non-Peterbilt commercial vehicles accounted for approximately 19.8% of our total revenues for 2013.</w:t>
      </w:r>
    </w:p>
    <w:p>
      <w:pPr>
        <w:spacing w:after="0" w:line="147"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Any termination or non-renewal of our dealership agreements must follow certain guidelines established by both state and federal legislation designed to protect motor vehicle dealers from arbitrary termination or non-renewal of franchise agreements. The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Floor Plan Financing</w:t>
      </w:r>
    </w:p>
    <w:p>
      <w:pPr>
        <w:spacing w:after="0" w:line="225" w:lineRule="exact"/>
        <w:rPr>
          <w:sz w:val="20"/>
          <w:szCs w:val="20"/>
          <w:color w:val="auto"/>
        </w:rPr>
      </w:pPr>
    </w:p>
    <w:p>
      <w:pPr>
        <w:jc w:val="both"/>
        <w:ind w:firstLine="525"/>
        <w:spacing w:after="0" w:line="315" w:lineRule="auto"/>
        <w:rPr>
          <w:sz w:val="20"/>
          <w:szCs w:val="20"/>
          <w:color w:val="auto"/>
        </w:rPr>
      </w:pPr>
      <w:r>
        <w:rPr>
          <w:rFonts w:ascii="Arial" w:cs="Arial" w:eastAsia="Arial" w:hAnsi="Arial"/>
          <w:sz w:val="12"/>
          <w:szCs w:val="12"/>
          <w:i w:val="1"/>
          <w:iCs w:val="1"/>
          <w:color w:val="auto"/>
        </w:rPr>
        <w:t xml:space="preserve">Commercial Vehicles. </w:t>
      </w:r>
      <w:r>
        <w:rPr>
          <w:rFonts w:ascii="Arial" w:cs="Arial" w:eastAsia="Arial" w:hAnsi="Arial"/>
          <w:sz w:val="12"/>
          <w:szCs w:val="12"/>
          <w:color w:val="auto"/>
        </w:rPr>
        <w:t>During 2013, we financed the majority of all new commercial vehicle inventory and the loan value of our used commercial vehicle inventory under a credit</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with General Electric Capital Commercial, Inc. (“GE Capital”). On July 11, 2013, we entered into the third amendment to our $600.0 million amended and restated credit agreement with GE Capital. The amendment increased the aggregate loan commitment to $750.0 million. Borrowings under the amended credit agreement will now bear interest per annum, payable monthly, at the three month LIBOR rate, determined on the last day of the prior month, plus 2.03%. In addition, we are required to pay the lenders a monthly working capital fee equal to 0.35% per annum multiplied by the amount of voluntary prepayments of new and used inventory loans. Loans under the credit agreement for the purchase of used inventory are limited to $150.0 million. Pursuant to the third amendment, the credit agreement expires July 11, 2016, although GE Capital has the right to terminate the credit agreement at any time upon 120 days’ written notice. We may terminate the credit agreement at any time, although, if we do so, we must pay the lenders a prepayment processing fee of (i) $15,000,000 if it terminates on or prior to January 11, 2015, (ii) $7,500,000 if it terminates after January 11, 2015 but on or prior to July 11, 2015 and (iii) $300,000 if it terminates thereafter, subject in each case to specified limited exceptions. As of December 31, 2013, we had approximately $546.1 million outstanding under the credit agreement.</w:t>
      </w:r>
    </w:p>
    <w:p>
      <w:pPr>
        <w:spacing w:after="0" w:line="300"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In June 2012, we entered into a wholesale financing agreement with Ford Motor Credit Company that provides for the financing of, and is collateralized by, our new Ford vehicle inventory. This wholesale financing agreement bears interest at a rate of Prime plus 150 basis points minus certain incentives and rebates. The prime rate is defined to be a minimum of 3.75%. As of December 31, 2013, the interest rate on the wholesale financing agreement was 5.25% before considering the applicable incentives. As of December 31, 2013, we had an outstanding balance of $47.5 million under the Ford Motor Credit Company wholesale financing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Warranties</w:t>
      </w:r>
    </w:p>
    <w:p>
      <w:pPr>
        <w:spacing w:after="0" w:line="181" w:lineRule="exact"/>
        <w:rPr>
          <w:sz w:val="20"/>
          <w:szCs w:val="20"/>
          <w:color w:val="auto"/>
        </w:rPr>
      </w:pPr>
    </w:p>
    <w:p>
      <w:pPr>
        <w:jc w:val="both"/>
        <w:ind w:right="20" w:firstLine="525"/>
        <w:spacing w:after="0" w:line="277" w:lineRule="auto"/>
        <w:rPr>
          <w:sz w:val="20"/>
          <w:szCs w:val="20"/>
          <w:color w:val="auto"/>
        </w:rPr>
      </w:pPr>
      <w:r>
        <w:rPr>
          <w:rFonts w:ascii="Arial" w:cs="Arial" w:eastAsia="Arial" w:hAnsi="Arial"/>
          <w:sz w:val="14"/>
          <w:szCs w:val="14"/>
          <w:color w:val="auto"/>
        </w:rPr>
        <w:t>The manufacturers we represent provide retail purchasers of their products with a limited warranty against defects in materials and workmanship, excluding certain specified components that are separately warranted by the suppliers of such components. The Company provides a warranty on the Company’s branded parts and related service. The Company also provides an extended warranty beyond the manufacturer’s warranty on new school buses sold in the State of Texas, as required by state law.</w:t>
      </w:r>
    </w:p>
    <w:p>
      <w:pPr>
        <w:spacing w:after="0" w:line="142"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We generally sell used commercial vehicles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496" w:right="49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Trademarks</w:t>
      </w:r>
    </w:p>
    <w:p>
      <w:pPr>
        <w:spacing w:after="0" w:line="181"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names “Rush Enterprises,” “Rush Truck Center,” “Associated Truck Insurance Services,” “Chrome Country” and “Rig Tough.”</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December 31, 2013, the Company had 5,295 employees.</w:t>
      </w:r>
    </w:p>
    <w:p>
      <w:pPr>
        <w:spacing w:after="0" w:line="177" w:lineRule="exact"/>
        <w:rPr>
          <w:sz w:val="20"/>
          <w:szCs w:val="20"/>
          <w:color w:val="auto"/>
        </w:rPr>
      </w:pPr>
    </w:p>
    <w:p>
      <w:pPr>
        <w:jc w:val="both"/>
        <w:ind w:right="20" w:firstLine="525"/>
        <w:spacing w:after="0" w:line="277" w:lineRule="auto"/>
        <w:rPr>
          <w:sz w:val="20"/>
          <w:szCs w:val="20"/>
          <w:color w:val="auto"/>
        </w:rPr>
      </w:pPr>
      <w:r>
        <w:rPr>
          <w:rFonts w:ascii="Arial" w:cs="Arial" w:eastAsia="Arial" w:hAnsi="Arial"/>
          <w:sz w:val="14"/>
          <w:szCs w:val="14"/>
          <w:color w:val="auto"/>
        </w:rPr>
        <w:t>In connection with the acquisition of certain assets of two dealerships in Columbus, Ohio on December 31, 2102, we negotiated with the International Association of Machinists and Aerospace Workers (“IAM”) throughout 2013 on the terms of a collective bargaining agreement covering approximately 45 service technicians. A final agreement on the terms of the collective bargaining agreement for the Columbus, Ohio dealerships has not been reached, but contract negotiations continue.</w:t>
      </w:r>
    </w:p>
    <w:p>
      <w:pPr>
        <w:spacing w:after="0" w:line="142" w:lineRule="exact"/>
        <w:rPr>
          <w:sz w:val="20"/>
          <w:szCs w:val="20"/>
          <w:color w:val="auto"/>
        </w:rPr>
      </w:pPr>
    </w:p>
    <w:p>
      <w:pPr>
        <w:jc w:val="both"/>
        <w:ind w:right="20" w:firstLine="525"/>
        <w:spacing w:after="0" w:line="330" w:lineRule="auto"/>
        <w:rPr>
          <w:sz w:val="20"/>
          <w:szCs w:val="20"/>
          <w:color w:val="auto"/>
        </w:rPr>
      </w:pPr>
      <w:r>
        <w:rPr>
          <w:rFonts w:ascii="Arial" w:cs="Arial" w:eastAsia="Arial" w:hAnsi="Arial"/>
          <w:sz w:val="12"/>
          <w:szCs w:val="12"/>
          <w:color w:val="auto"/>
        </w:rPr>
        <w:t>In connection with the acquisition of certain assets of a dealership in Chicago, Illinois and a dealership in Joliet, Illinois, on January 13, 2014, we negotiated terms of collective bargaining agreements covering approximately 56 parts and service employees in Chicago and 11 service technicians in Joliet with the International Association of Machinists and Aerospace Workers. On February 7, 2014, the IAM membership in Chicago and Joliet voted to accept collective bargaining agreements proposed by the Company. As a result, we have entered into collective bargaining agreements covering the employees in Chicago, which will expire on May 6, 2017, and Joliet, which will expire on May 5, 2018.</w:t>
      </w:r>
    </w:p>
    <w:p>
      <w:pPr>
        <w:spacing w:after="0" w:line="115"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There have been no strikes, work stoppages or slowdowns during any of the foregoing negotiations or at any time in the Company’s history, although no assurances can be given that such actions will not occur.</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181" w:lineRule="exact"/>
        <w:rPr>
          <w:sz w:val="20"/>
          <w:szCs w:val="20"/>
          <w:color w:val="auto"/>
        </w:rPr>
      </w:pPr>
    </w:p>
    <w:p>
      <w:pPr>
        <w:jc w:val="both"/>
        <w:ind w:right="20" w:firstLine="525"/>
        <w:spacing w:after="0" w:line="343" w:lineRule="auto"/>
        <w:rPr>
          <w:sz w:val="20"/>
          <w:szCs w:val="20"/>
          <w:color w:val="auto"/>
        </w:rPr>
      </w:pPr>
      <w:r>
        <w:rPr>
          <w:rFonts w:ascii="Arial" w:cs="Arial" w:eastAsia="Arial" w:hAnsi="Arial"/>
          <w:sz w:val="12"/>
          <w:szCs w:val="12"/>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Backlog</w:t>
      </w:r>
    </w:p>
    <w:p>
      <w:pPr>
        <w:spacing w:after="0" w:line="181" w:lineRule="exact"/>
        <w:rPr>
          <w:sz w:val="20"/>
          <w:szCs w:val="20"/>
          <w:color w:val="auto"/>
        </w:rPr>
      </w:pPr>
    </w:p>
    <w:p>
      <w:pPr>
        <w:jc w:val="both"/>
        <w:ind w:right="40" w:firstLine="525"/>
        <w:spacing w:after="0" w:line="269" w:lineRule="auto"/>
        <w:rPr>
          <w:sz w:val="20"/>
          <w:szCs w:val="20"/>
          <w:color w:val="auto"/>
        </w:rPr>
      </w:pPr>
      <w:r>
        <w:rPr>
          <w:rFonts w:ascii="Arial" w:cs="Arial" w:eastAsia="Arial" w:hAnsi="Arial"/>
          <w:sz w:val="14"/>
          <w:szCs w:val="14"/>
          <w:color w:val="auto"/>
        </w:rPr>
        <w:t>On December 31, 2013, the Company’s backlog of commercial vehicle orders was approximately $810.2 million as compared to a backlog of commercial vehicle orders of approximately $719.2 million on December 31, 2012. The Company includes only confirmed orders in its backlog. The delivery time for a custom-ordered commercial vehicle varies depending on the truck specifications and demand for the particular model ordered, however, the Company expects to fill the majority of its backlog orders during 2014. The Company sells the majority of its new heavy-duty commercial vehicles by customer special order. The Company sells the majority of its medium- and light-duty commercial vehicles out of inventory. Orders from a number of the Company’s major fleet customers are included in the Company’s backlog as of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Standards and Other Governmental Regulations</w:t>
      </w:r>
    </w:p>
    <w:p>
      <w:pPr>
        <w:spacing w:after="0" w:line="181" w:lineRule="exact"/>
        <w:rPr>
          <w:sz w:val="20"/>
          <w:szCs w:val="20"/>
          <w:color w:val="auto"/>
        </w:rPr>
      </w:pPr>
    </w:p>
    <w:p>
      <w:pPr>
        <w:jc w:val="both"/>
        <w:ind w:right="20" w:firstLine="525"/>
        <w:spacing w:after="0" w:line="269" w:lineRule="auto"/>
        <w:rPr>
          <w:sz w:val="20"/>
          <w:szCs w:val="20"/>
          <w:color w:val="auto"/>
        </w:rPr>
      </w:pPr>
      <w:r>
        <w:rPr>
          <w:rFonts w:ascii="Arial" w:cs="Arial" w:eastAsia="Arial" w:hAnsi="Arial"/>
          <w:sz w:val="14"/>
          <w:szCs w:val="14"/>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496" w:right="499" w:bottom="1440" w:gutter="0" w:footer="0" w:header="0"/>
        </w:sectPr>
      </w:pPr>
    </w:p>
    <w:bookmarkStart w:id="17" w:name="page18"/>
    <w:bookmarkEnd w:id="17"/>
    <w:p>
      <w:pPr>
        <w:jc w:val="both"/>
        <w:ind w:right="20" w:firstLine="525"/>
        <w:spacing w:after="0" w:line="269" w:lineRule="auto"/>
        <w:rPr>
          <w:sz w:val="20"/>
          <w:szCs w:val="20"/>
          <w:color w:val="auto"/>
        </w:rPr>
      </w:pPr>
      <w:r>
        <w:rPr>
          <w:rFonts w:ascii="Arial" w:cs="Arial" w:eastAsia="Arial" w:hAnsi="Arial"/>
          <w:sz w:val="14"/>
          <w:szCs w:val="14"/>
          <w:color w:val="auto"/>
        </w:rPr>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47" w:lineRule="exact"/>
        <w:rPr>
          <w:sz w:val="20"/>
          <w:szCs w:val="20"/>
          <w:color w:val="auto"/>
        </w:rPr>
      </w:pPr>
    </w:p>
    <w:p>
      <w:pPr>
        <w:jc w:val="both"/>
        <w:ind w:right="20" w:firstLine="525"/>
        <w:spacing w:after="0" w:line="267" w:lineRule="auto"/>
        <w:rPr>
          <w:sz w:val="20"/>
          <w:szCs w:val="20"/>
          <w:color w:val="auto"/>
        </w:rPr>
      </w:pPr>
      <w:r>
        <w:rPr>
          <w:rFonts w:ascii="Arial" w:cs="Arial" w:eastAsia="Arial" w:hAnsi="Arial"/>
          <w:sz w:val="14"/>
          <w:szCs w:val="14"/>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49"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62" w:lineRule="exact"/>
        <w:rPr>
          <w:sz w:val="20"/>
          <w:szCs w:val="20"/>
          <w:color w:val="auto"/>
        </w:rPr>
      </w:pPr>
    </w:p>
    <w:p>
      <w:pPr>
        <w:jc w:val="both"/>
        <w:ind w:right="20" w:firstLine="525"/>
        <w:spacing w:after="0" w:line="320" w:lineRule="auto"/>
        <w:rPr>
          <w:sz w:val="20"/>
          <w:szCs w:val="20"/>
          <w:color w:val="auto"/>
        </w:rPr>
      </w:pPr>
      <w:r>
        <w:rPr>
          <w:rFonts w:ascii="Arial" w:cs="Arial" w:eastAsia="Arial" w:hAnsi="Arial"/>
          <w:sz w:val="12"/>
          <w:szCs w:val="12"/>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20"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 We do not believe that the foregoing standards will negatively impact our business, however, future legislation or other new regulations that may be adopted to address greenhouse gas emissions may negatively impact our business.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81"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Risks Related to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are dependent upon PACCAR for the supply of Peterbilt trucks and parts, the sale of which generates the majority of our revenues.</w:t>
      </w:r>
    </w:p>
    <w:p>
      <w:pPr>
        <w:spacing w:after="0" w:line="177"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At certain Rush Truck Centers, we operate as a dealer of Peterbilt trucks and parts pursuant to dealership agreements with Peterbilt, a division of PACCAR. We have no control over the management or operation of Peterbilt or PACCAR. During 2013,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42" w:lineRule="exact"/>
        <w:rPr>
          <w:sz w:val="20"/>
          <w:szCs w:val="20"/>
          <w:color w:val="auto"/>
        </w:rPr>
      </w:pPr>
    </w:p>
    <w:p>
      <w:pPr>
        <w:ind w:left="460" w:hanging="2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maintain our dealership agreements with Peterbilt;</w:t>
      </w:r>
    </w:p>
    <w:p>
      <w:pPr>
        <w:spacing w:after="0" w:line="177" w:lineRule="exact"/>
        <w:rPr>
          <w:rFonts w:ascii="Arial" w:cs="Arial" w:eastAsia="Arial" w:hAnsi="Arial"/>
          <w:sz w:val="15"/>
          <w:szCs w:val="15"/>
          <w:color w:val="auto"/>
        </w:rPr>
      </w:pPr>
    </w:p>
    <w:p>
      <w:pPr>
        <w:ind w:left="460" w:hanging="2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manufacture and delivery of competitively-priced, high quality Peterbilt trucks by Peterbilt in quantities sufficient to meet our requirements;</w:t>
      </w:r>
    </w:p>
    <w:p>
      <w:pPr>
        <w:spacing w:after="0" w:line="177" w:lineRule="exact"/>
        <w:rPr>
          <w:rFonts w:ascii="Arial" w:cs="Arial" w:eastAsia="Arial" w:hAnsi="Arial"/>
          <w:sz w:val="15"/>
          <w:szCs w:val="15"/>
          <w:color w:val="auto"/>
        </w:rPr>
      </w:pPr>
    </w:p>
    <w:p>
      <w:pPr>
        <w:ind w:left="460" w:hanging="2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overall success of PACCAR and Peterbilt;</w:t>
      </w:r>
    </w:p>
    <w:p>
      <w:pPr>
        <w:spacing w:after="0" w:line="177" w:lineRule="exact"/>
        <w:rPr>
          <w:rFonts w:ascii="Arial" w:cs="Arial" w:eastAsia="Arial" w:hAnsi="Arial"/>
          <w:sz w:val="15"/>
          <w:szCs w:val="15"/>
          <w:color w:val="auto"/>
        </w:rPr>
      </w:pPr>
    </w:p>
    <w:p>
      <w:pPr>
        <w:ind w:left="460" w:hanging="2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PACCAR’s continuation of its Peterbilt division; and</w:t>
      </w:r>
    </w:p>
    <w:p>
      <w:pPr>
        <w:spacing w:after="0" w:line="177" w:lineRule="exact"/>
        <w:rPr>
          <w:rFonts w:ascii="Arial" w:cs="Arial" w:eastAsia="Arial" w:hAnsi="Arial"/>
          <w:sz w:val="15"/>
          <w:szCs w:val="15"/>
          <w:color w:val="auto"/>
        </w:rPr>
      </w:pPr>
    </w:p>
    <w:p>
      <w:pPr>
        <w:ind w:left="460" w:hanging="245"/>
        <w:spacing w:after="0" w:line="259"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maintenance of goodwill associated with the Peterbilt brand, which can be adversely affected by decisions made by PACCAR, Peterbilt and the owners of other Peterbilt dealerships.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negative change in any of the preceding could have a material adverse effect on our operations, revenues and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are dependent upon Navistar for the supply of International trucks and IC busses, the sale of which generate a significant portion of our revenues.</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At certain Rush Truck Centers, we operate as a dealer of International trucks and parts and IC busses and parts pursuant to dealership agreements with International and IC Bus, each of which are divisions of Navistar. We have no control over the management or operation of International, IC Bus or Navistar. During 2013, a significant portion of our revenues resulted from sales of trucks purchased from International, busses purchased from IC Bus and parts purchased from Navistar. Due to our dependence on Navistar, International and IC Bus, we believe that our long-term success depends, in large part, on the following:</w:t>
      </w:r>
    </w:p>
    <w:p>
      <w:pPr>
        <w:spacing w:after="0" w:line="161" w:lineRule="exact"/>
        <w:rPr>
          <w:sz w:val="20"/>
          <w:szCs w:val="20"/>
          <w:color w:val="auto"/>
        </w:rPr>
      </w:pPr>
    </w:p>
    <w:p>
      <w:pPr>
        <w:ind w:left="460" w:hanging="245"/>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maintain our dealership agreements with International and IC Bus;</w:t>
      </w:r>
    </w:p>
    <w:p>
      <w:pPr>
        <w:spacing w:after="0" w:line="177" w:lineRule="exact"/>
        <w:rPr>
          <w:rFonts w:ascii="Arial" w:cs="Arial" w:eastAsia="Arial" w:hAnsi="Arial"/>
          <w:sz w:val="15"/>
          <w:szCs w:val="15"/>
          <w:color w:val="auto"/>
        </w:rPr>
      </w:pPr>
    </w:p>
    <w:p>
      <w:pPr>
        <w:ind w:left="460" w:hanging="245"/>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manufacture and delivery of competitively-priced, high quality International trucks and IC busses in quantities sufficient to meet our requirements;</w:t>
      </w:r>
    </w:p>
    <w:p>
      <w:pPr>
        <w:spacing w:after="0" w:line="177" w:lineRule="exact"/>
        <w:rPr>
          <w:rFonts w:ascii="Arial" w:cs="Arial" w:eastAsia="Arial" w:hAnsi="Arial"/>
          <w:sz w:val="15"/>
          <w:szCs w:val="15"/>
          <w:color w:val="auto"/>
        </w:rPr>
      </w:pPr>
    </w:p>
    <w:p>
      <w:pPr>
        <w:ind w:left="460" w:hanging="245"/>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overall success of Navistar; and</w:t>
      </w:r>
    </w:p>
    <w:p>
      <w:pPr>
        <w:spacing w:after="0" w:line="177" w:lineRule="exact"/>
        <w:rPr>
          <w:rFonts w:ascii="Arial" w:cs="Arial" w:eastAsia="Arial" w:hAnsi="Arial"/>
          <w:sz w:val="15"/>
          <w:szCs w:val="15"/>
          <w:color w:val="auto"/>
        </w:rPr>
      </w:pPr>
    </w:p>
    <w:p>
      <w:pPr>
        <w:ind w:left="460" w:hanging="245"/>
        <w:spacing w:after="0" w:line="259"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maintenance of goodwill associated with the International and IC Bus brands, which can be adversely affected by decisions made by Navistar and the owners of other International and IC Bus dealerships.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negative change in any of the preceding could have a material adverse effect on our operations, revenues and profitability.</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5"/>
          <w:szCs w:val="15"/>
          <w:i w:val="1"/>
          <w:iCs w:val="1"/>
          <w:color w:val="auto"/>
        </w:rPr>
        <w:t>Our dealership agreements may be terminable upon a change of control and we cannot control whether our controlling shareholder and management maintain their current ownership positions.</w:t>
      </w:r>
    </w:p>
    <w:p>
      <w:pPr>
        <w:spacing w:after="0" w:line="349"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19" w:name="page20"/>
    <w:bookmarkEnd w:id="19"/>
    <w:p>
      <w:pPr>
        <w:jc w:val="both"/>
        <w:ind w:right="20" w:firstLine="525"/>
        <w:spacing w:after="0" w:line="311" w:lineRule="auto"/>
        <w:rPr>
          <w:sz w:val="20"/>
          <w:szCs w:val="20"/>
          <w:color w:val="auto"/>
        </w:rPr>
      </w:pPr>
      <w:r>
        <w:rPr>
          <w:rFonts w:ascii="Arial" w:cs="Arial" w:eastAsia="Arial" w:hAnsi="Arial"/>
          <w:sz w:val="12"/>
          <w:szCs w:val="12"/>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Barbara Rush, Robin M. Rush, David C. Orf, James Thor, Martin A. Naegelin, Scott Anderson, Derrek Weaver, Steven Keller, Corey Lowe and Rich Ryan (collectively, the “Dealer Principals”) decreases below 22% (such persons controlled 29.0% of the aggregate voting power with respect to the election of directors as of December 31, 2013);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or W.M. “Rusty” Rush were to sell their Class B Common Stock or bequest their Class B Common Stock to a person or entity other than the Dealer Principles or if their estates are required to liquidate their Class B Common Stock to pay estate taxes or otherwise, the change of control provisions of the Peterbilt dealership agreements may be triggered and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If state dealer laws are repealed or weakened, our dealerships will be more susceptible to termination, nonrenewal or renegotiation of their dealership agreements.</w:t>
      </w:r>
    </w:p>
    <w:p>
      <w:pPr>
        <w:spacing w:after="0" w:line="177" w:lineRule="exact"/>
        <w:rPr>
          <w:sz w:val="20"/>
          <w:szCs w:val="20"/>
          <w:color w:val="auto"/>
        </w:rPr>
      </w:pPr>
    </w:p>
    <w:p>
      <w:pPr>
        <w:jc w:val="both"/>
        <w:ind w:right="20" w:firstLine="525"/>
        <w:spacing w:after="0" w:line="267" w:lineRule="auto"/>
        <w:rPr>
          <w:sz w:val="20"/>
          <w:szCs w:val="20"/>
          <w:color w:val="auto"/>
        </w:rPr>
      </w:pPr>
      <w:r>
        <w:rPr>
          <w:rFonts w:ascii="Arial" w:cs="Arial" w:eastAsia="Arial" w:hAnsi="Arial"/>
          <w:sz w:val="14"/>
          <w:szCs w:val="14"/>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could have a material adverse effect on our operations, revenues and profitability.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may be required to obtain additional financing to maintain adequate inventory levels.</w:t>
      </w:r>
    </w:p>
    <w:p>
      <w:pPr>
        <w:spacing w:after="0" w:line="177"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Our business requires inventories held for sale to be maintained at dealer locations in order to facilitate immediate sales to customers on demand. We generally purchase inventories with the assistance of floor plan financing agreements. Our primary floor plan financing agreement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Impairment in the carrying value of goodwill and other indefinite-lived intangible assets could negatively affect our operating results.</w:t>
      </w:r>
    </w:p>
    <w:p>
      <w:pPr>
        <w:spacing w:after="0" w:line="177" w:lineRule="exact"/>
        <w:rPr>
          <w:sz w:val="20"/>
          <w:szCs w:val="20"/>
          <w:color w:val="auto"/>
        </w:rPr>
      </w:pPr>
    </w:p>
    <w:p>
      <w:pPr>
        <w:jc w:val="both"/>
        <w:ind w:right="20" w:firstLine="525"/>
        <w:spacing w:after="0" w:line="313" w:lineRule="auto"/>
        <w:rPr>
          <w:sz w:val="20"/>
          <w:szCs w:val="20"/>
          <w:color w:val="auto"/>
        </w:rPr>
      </w:pPr>
      <w:r>
        <w:rPr>
          <w:rFonts w:ascii="Arial" w:cs="Arial" w:eastAsia="Arial" w:hAnsi="Arial"/>
          <w:sz w:val="12"/>
          <w:szCs w:val="12"/>
          <w:color w:val="auto"/>
        </w:rPr>
        <w:t>We have a substantial amount of goodwill on our balance sheet as a result of acquisitions we have completed. Approximately 98%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trucks to us,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Management’s assumptions are subject to change as more information becomes available. Changes in these assumptions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20" w:name="page21"/>
    <w:bookmarkEnd w:id="20"/>
    <w:p>
      <w:pPr>
        <w:spacing w:after="0"/>
        <w:rPr>
          <w:sz w:val="20"/>
          <w:szCs w:val="20"/>
          <w:color w:val="auto"/>
        </w:rPr>
      </w:pPr>
      <w:r>
        <w:rPr>
          <w:rFonts w:ascii="Arial" w:cs="Arial" w:eastAsia="Arial" w:hAnsi="Arial"/>
          <w:sz w:val="15"/>
          <w:szCs w:val="15"/>
          <w:i w:val="1"/>
          <w:iCs w:val="1"/>
          <w:color w:val="auto"/>
        </w:rPr>
        <w:t>Changes in interest rates could have a material adverse effect on our profitability.</w:t>
      </w:r>
    </w:p>
    <w:p>
      <w:pPr>
        <w:spacing w:after="0" w:line="177"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Our primary floor plan financing agreement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these large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Our business is subject to a number of economic risks.</w:t>
      </w:r>
    </w:p>
    <w:p>
      <w:pPr>
        <w:spacing w:after="0" w:line="177" w:lineRule="exact"/>
        <w:rPr>
          <w:sz w:val="20"/>
          <w:szCs w:val="20"/>
          <w:color w:val="auto"/>
        </w:rPr>
      </w:pPr>
    </w:p>
    <w:p>
      <w:pPr>
        <w:jc w:val="both"/>
        <w:ind w:right="260" w:firstLine="525"/>
        <w:spacing w:after="0" w:line="251" w:lineRule="auto"/>
        <w:rPr>
          <w:sz w:val="20"/>
          <w:szCs w:val="20"/>
          <w:color w:val="auto"/>
        </w:rPr>
      </w:pPr>
      <w:r>
        <w:rPr>
          <w:rFonts w:ascii="Arial" w:cs="Arial" w:eastAsia="Arial" w:hAnsi="Arial"/>
          <w:sz w:val="15"/>
          <w:szCs w:val="15"/>
          <w:color w:val="auto"/>
        </w:rPr>
        <w:t>New and used commercial vehicle retail sales tend to experience periods of decline characterized by oversupply and weak demand. The commercial vehicle retail industries may experience sustained periods of decline in commercial vehicle sales in the future. Any decline or change of this type could materially affect our business, financial condition and results of operations.</w:t>
      </w:r>
    </w:p>
    <w:p>
      <w:pPr>
        <w:spacing w:after="0" w:line="158" w:lineRule="exact"/>
        <w:rPr>
          <w:sz w:val="20"/>
          <w:szCs w:val="20"/>
          <w:color w:val="auto"/>
        </w:rPr>
      </w:pPr>
    </w:p>
    <w:p>
      <w:pPr>
        <w:jc w:val="both"/>
        <w:ind w:right="260" w:firstLine="525"/>
        <w:spacing w:after="0" w:line="259" w:lineRule="auto"/>
        <w:rPr>
          <w:sz w:val="20"/>
          <w:szCs w:val="20"/>
          <w:color w:val="auto"/>
        </w:rPr>
      </w:pPr>
      <w:r>
        <w:rPr>
          <w:rFonts w:ascii="Arial" w:cs="Arial" w:eastAsia="Arial" w:hAnsi="Arial"/>
          <w:sz w:val="15"/>
          <w:szCs w:val="15"/>
          <w:color w:val="auto"/>
        </w:rPr>
        <w:t>Adverse regional economic and competitive conditions in the geographic markets in which we operate could materially adversely affect our business, financial condition and results of operations. Our new commercial vehicle sales volume therefore may differ from industry sales fluctuations.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Economic conditions and the other factors described above also may materially adversely impact our sales of finance and insurance products, and parts and repair services.</w:t>
      </w:r>
    </w:p>
    <w:p>
      <w:pPr>
        <w:spacing w:after="0" w:line="189" w:lineRule="exact"/>
        <w:rPr>
          <w:sz w:val="20"/>
          <w:szCs w:val="20"/>
          <w:color w:val="auto"/>
        </w:rPr>
      </w:pPr>
    </w:p>
    <w:p>
      <w:pPr>
        <w:jc w:val="both"/>
        <w:ind w:right="260"/>
        <w:spacing w:after="0" w:line="259" w:lineRule="auto"/>
        <w:rPr>
          <w:sz w:val="20"/>
          <w:szCs w:val="20"/>
          <w:color w:val="auto"/>
        </w:rPr>
      </w:pPr>
      <w:r>
        <w:rPr>
          <w:rFonts w:ascii="Arial" w:cs="Arial" w:eastAsia="Arial" w:hAnsi="Arial"/>
          <w:sz w:val="15"/>
          <w:szCs w:val="15"/>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52" w:lineRule="exact"/>
        <w:rPr>
          <w:sz w:val="20"/>
          <w:szCs w:val="20"/>
          <w:color w:val="auto"/>
        </w:rPr>
      </w:pPr>
    </w:p>
    <w:p>
      <w:pPr>
        <w:jc w:val="both"/>
        <w:ind w:right="260" w:firstLine="525"/>
        <w:spacing w:after="0" w:line="269" w:lineRule="auto"/>
        <w:rPr>
          <w:sz w:val="20"/>
          <w:szCs w:val="20"/>
          <w:color w:val="auto"/>
        </w:rPr>
      </w:pPr>
      <w:r>
        <w:rPr>
          <w:rFonts w:ascii="Arial" w:cs="Arial" w:eastAsia="Arial" w:hAnsi="Arial"/>
          <w:sz w:val="14"/>
          <w:szCs w:val="14"/>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depend on relationships with suppliers for sales incentives, discounts and similar programs which are material to our operations.</w:t>
      </w:r>
    </w:p>
    <w:p>
      <w:pPr>
        <w:spacing w:after="0" w:line="177" w:lineRule="exact"/>
        <w:rPr>
          <w:sz w:val="20"/>
          <w:szCs w:val="20"/>
          <w:color w:val="auto"/>
        </w:rPr>
      </w:pPr>
    </w:p>
    <w:p>
      <w:pPr>
        <w:jc w:val="both"/>
        <w:ind w:right="240" w:firstLine="525"/>
        <w:spacing w:after="0" w:line="251" w:lineRule="auto"/>
        <w:rPr>
          <w:sz w:val="20"/>
          <w:szCs w:val="20"/>
          <w:color w:val="auto"/>
        </w:rPr>
      </w:pPr>
      <w:r>
        <w:rPr>
          <w:rFonts w:ascii="Arial" w:cs="Arial" w:eastAsia="Arial" w:hAnsi="Arial"/>
          <w:sz w:val="15"/>
          <w:szCs w:val="15"/>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have a material adverse effect on our profitability.</w:t>
      </w:r>
    </w:p>
    <w:p>
      <w:pPr>
        <w:spacing w:after="0" w:line="158" w:lineRule="exact"/>
        <w:rPr>
          <w:sz w:val="20"/>
          <w:szCs w:val="20"/>
          <w:color w:val="auto"/>
        </w:rPr>
      </w:pPr>
    </w:p>
    <w:p>
      <w:pPr>
        <w:jc w:val="both"/>
        <w:ind w:right="260"/>
        <w:spacing w:after="0" w:line="259" w:lineRule="auto"/>
        <w:rPr>
          <w:sz w:val="20"/>
          <w:szCs w:val="20"/>
          <w:color w:val="auto"/>
        </w:rPr>
      </w:pPr>
      <w:r>
        <w:rPr>
          <w:rFonts w:ascii="Arial" w:cs="Arial" w:eastAsia="Arial" w:hAnsi="Arial"/>
          <w:sz w:val="15"/>
          <w:szCs w:val="15"/>
          <w:i w:val="1"/>
          <w:iCs w:val="1"/>
          <w:color w:val="auto"/>
        </w:rPr>
        <w:t>We are dependent on the ongoing success of the manufacturers we represent and adverse conditions affecting the manufacturers we represent may negatively impact our revenues and profitability.</w:t>
      </w:r>
    </w:p>
    <w:p>
      <w:pPr>
        <w:spacing w:after="0" w:line="152" w:lineRule="exact"/>
        <w:rPr>
          <w:sz w:val="20"/>
          <w:szCs w:val="20"/>
          <w:color w:val="auto"/>
        </w:rPr>
      </w:pPr>
    </w:p>
    <w:p>
      <w:pPr>
        <w:jc w:val="both"/>
        <w:ind w:right="240" w:firstLine="525"/>
        <w:spacing w:after="0" w:line="246" w:lineRule="auto"/>
        <w:rPr>
          <w:sz w:val="20"/>
          <w:szCs w:val="20"/>
          <w:color w:val="auto"/>
        </w:rPr>
      </w:pPr>
      <w:r>
        <w:rPr>
          <w:rFonts w:ascii="Arial" w:cs="Arial" w:eastAsia="Arial" w:hAnsi="Arial"/>
          <w:sz w:val="15"/>
          <w:szCs w:val="15"/>
          <w:color w:val="auto"/>
        </w:rPr>
        <w:t>The success of each of our dealerships is dependent on the manufacturers represented at each dealership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manufacturers for warranty and service work performed for our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0" w:right="259" w:bottom="1440" w:gutter="0" w:footer="0" w:header="0"/>
        </w:sectPr>
      </w:pPr>
    </w:p>
    <w:bookmarkStart w:id="21" w:name="page22"/>
    <w:bookmarkEnd w:id="21"/>
    <w:p>
      <w:pPr>
        <w:jc w:val="both"/>
        <w:ind w:firstLine="525"/>
        <w:spacing w:after="0" w:line="330" w:lineRule="auto"/>
        <w:rPr>
          <w:sz w:val="20"/>
          <w:szCs w:val="20"/>
          <w:color w:val="auto"/>
        </w:rPr>
      </w:pPr>
      <w:r>
        <w:rPr>
          <w:rFonts w:ascii="Arial" w:cs="Arial" w:eastAsia="Arial" w:hAnsi="Arial"/>
          <w:sz w:val="12"/>
          <w:szCs w:val="12"/>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15"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the Company’s medium-duty GMC truck franchises, which forced the Company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Our dealership agreements are non-exclusive and have relatively short terms which could result in non-renewal or imposition of less favorable terms upon renewal.</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Our dealership agreements generally do not provide us with exclusive dealerships in any territory. The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w:t>
      </w:r>
    </w:p>
    <w:p>
      <w:pPr>
        <w:spacing w:after="0" w:line="161"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Our dealership agreements with the manufacturers we represent have current terms expiring between May 2014 and October 2018. Upon expiration of each agreement, we must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 significant percentage of our revenues come from customers in the oil and gas exploration and production industry, a historically cyclical industry.</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Several of our large customers provide oil and gas production services. The oil and gas exploration and production industry is a historically cyclical industry characterized by significant changes in the levels of exploration and development activities. Oil and gas prices, and market expectations of potential changes in those prices, significantly affect the levels of those activities. Any reduction in the overall level of exploration and development activities, whether resulting from changes in oil and gas prices or otherwise, could materially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dollar amount of our backlog, as stated at any given time, is not necessarily indicative of our future earnings.</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As of December 31, 2013, our backlog of new commercial vehicle orders was approximately $810.2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500" w:right="519" w:bottom="1440" w:gutter="0" w:footer="0" w:header="0"/>
        </w:sectPr>
      </w:pPr>
    </w:p>
    <w:bookmarkStart w:id="22" w:name="page23"/>
    <w:bookmarkEnd w:id="22"/>
    <w:p>
      <w:pPr>
        <w:jc w:val="both"/>
        <w:ind w:right="20" w:firstLine="525"/>
        <w:spacing w:after="0" w:line="294" w:lineRule="auto"/>
        <w:rPr>
          <w:sz w:val="20"/>
          <w:szCs w:val="20"/>
          <w:color w:val="auto"/>
        </w:rPr>
      </w:pPr>
      <w:r>
        <w:rPr>
          <w:rFonts w:ascii="Arial" w:cs="Arial" w:eastAsia="Arial" w:hAnsi="Arial"/>
          <w:sz w:val="14"/>
          <w:szCs w:val="14"/>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Our dealerships are subject to federal, state and local environmental regulations that may result in claims and liabilities, which could be material.</w:t>
      </w:r>
    </w:p>
    <w:p>
      <w:pPr>
        <w:spacing w:after="0" w:line="177"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47"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62"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Natural disasters and adverse weather events can disrupt our business.</w:t>
      </w:r>
    </w:p>
    <w:p>
      <w:pPr>
        <w:spacing w:after="0" w:line="177" w:lineRule="exact"/>
        <w:rPr>
          <w:sz w:val="20"/>
          <w:szCs w:val="20"/>
          <w:color w:val="auto"/>
        </w:rPr>
      </w:pPr>
    </w:p>
    <w:p>
      <w:pPr>
        <w:jc w:val="both"/>
        <w:ind w:right="20" w:firstLine="549"/>
        <w:spacing w:after="0" w:line="271" w:lineRule="auto"/>
        <w:rPr>
          <w:sz w:val="20"/>
          <w:szCs w:val="20"/>
          <w:color w:val="auto"/>
        </w:rPr>
      </w:pPr>
      <w:r>
        <w:rPr>
          <w:rFonts w:ascii="Arial" w:cs="Arial" w:eastAsia="Arial" w:hAnsi="Arial"/>
          <w:sz w:val="14"/>
          <w:szCs w:val="14"/>
          <w:color w:val="auto"/>
        </w:rPr>
        <w:t>Some of our dealerships are located in regions of the United States where natural disasters and severe weather events (such as hurricanes, earthquakes, fires, floods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Our investments in auction rate securities may be further impaired.</w:t>
      </w:r>
    </w:p>
    <w:p>
      <w:pPr>
        <w:spacing w:after="0" w:line="177" w:lineRule="exact"/>
        <w:rPr>
          <w:sz w:val="20"/>
          <w:szCs w:val="20"/>
          <w:color w:val="auto"/>
        </w:rPr>
      </w:pPr>
    </w:p>
    <w:p>
      <w:pPr>
        <w:jc w:val="both"/>
        <w:ind w:right="20" w:firstLine="525"/>
        <w:spacing w:after="0" w:line="324" w:lineRule="auto"/>
        <w:rPr>
          <w:sz w:val="20"/>
          <w:szCs w:val="20"/>
          <w:color w:val="auto"/>
        </w:rPr>
      </w:pPr>
      <w:r>
        <w:rPr>
          <w:rFonts w:ascii="Arial" w:cs="Arial" w:eastAsia="Arial" w:hAnsi="Arial"/>
          <w:sz w:val="12"/>
          <w:szCs w:val="12"/>
          <w:color w:val="auto"/>
        </w:rPr>
        <w:t>Auction rate securities (“ARS”) are long-term debt instruments with interest rates that reset through periodic short-term auctions. Holders of ARS can either sell into the auction, or bid, based on a desired interest rate, or hold and accept the reset rate. If there are insufficient buyers, then the auction fails and holders are unable to liquidate their investment through the auction. A failed auction is not a default of the debt instrument, but does set a new interest rate in accordance with the original terms of the debt instrument. The result of a failed auction is that the ARS continues to pay interest in accordance with its terms; however, liquidity for holders is limited until there is a successful auction or until such time as another market for ARS develops. ARS are generally callable at any time by the issuer. Auctions continue to be held as scheduled until the ARS matures or until it is called.</w:t>
      </w:r>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23" w:name="page24"/>
    <w:bookmarkEnd w:id="23"/>
    <w:p>
      <w:pPr>
        <w:jc w:val="both"/>
        <w:ind w:firstLine="525"/>
        <w:spacing w:after="0" w:line="313" w:lineRule="auto"/>
        <w:rPr>
          <w:sz w:val="20"/>
          <w:szCs w:val="20"/>
          <w:color w:val="auto"/>
        </w:rPr>
      </w:pPr>
      <w:r>
        <w:rPr>
          <w:rFonts w:ascii="Arial" w:cs="Arial" w:eastAsia="Arial" w:hAnsi="Arial"/>
          <w:sz w:val="12"/>
          <w:szCs w:val="12"/>
          <w:color w:val="auto"/>
        </w:rPr>
        <w:t>As a result of the conditions in the global credit markets, we have been unable to liquidate our holdings of certain ARS because the auctions for the ARS we hold have failed. As of December 31, 2013, the Company held ARS with underlying tax-exempt municipal bonds that mature in 2030 that have a fair value of $6.6 million and a cost basis of $7.6 million. This decrease in fair value is considered temporary and the impairment charge is recorded as other comprehensive income, a component of shareholder equity. We continue to earn interest on these investments at the contractual rate. In the event we need to access these funds, we will not be able to do so until a future auction is successful, the issuer redeems the securities, a buyer is found outside of the auction process or the securities mature. If these ARS are unable to successfully clear at future auctions or issuers do not redeem the securities, we may be required to further adjust the carrying value of the securities and record additional impairment charges. If we determine that the fair value of these ARS is further impaired, we will record a temporary impairment within other comprehensive income, a component of stockholders’ equity. If it is determined that the fair value of these securities is other than temporarily impaired, we would recognize the credit loss portion of the other than temporary impairment in earnings, which could adversely impact our results of operations and financial condition. Any noncredit loss would be recognized in other comprehensive income. For further discussion of the risks related to our auction rate securities, see Note 9 – Financial Instruments and Fair Value of the Notes to Consolidated Financial Statements and Item 7A – Quantitative and Qualitative Disclosures about Market Risk.</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are controlled by two shareholders and their affiliates.</w:t>
      </w:r>
    </w:p>
    <w:p>
      <w:pPr>
        <w:spacing w:after="0" w:line="177" w:lineRule="exact"/>
        <w:rPr>
          <w:sz w:val="20"/>
          <w:szCs w:val="20"/>
          <w:color w:val="auto"/>
        </w:rPr>
      </w:pPr>
    </w:p>
    <w:p>
      <w:pPr>
        <w:jc w:val="both"/>
        <w:ind w:right="20" w:firstLine="525"/>
        <w:spacing w:after="0" w:line="269" w:lineRule="auto"/>
        <w:rPr>
          <w:sz w:val="20"/>
          <w:szCs w:val="20"/>
          <w:color w:val="auto"/>
        </w:rPr>
      </w:pPr>
      <w:r>
        <w:rPr>
          <w:rFonts w:ascii="Arial" w:cs="Arial" w:eastAsia="Arial" w:hAnsi="Arial"/>
          <w:sz w:val="14"/>
          <w:szCs w:val="14"/>
          <w:color w:val="auto"/>
        </w:rPr>
        <w:t>Collectively, W. Marvin Rush and W. M. “Rusty” Rush and their affiliates own approximately 0.21% of our issued and outstanding shares of Class A Common Stock and 33.0% of our issued and outstanding Class B Common Stock. W. Marvin Rush and W.M. “Rusty” Rush collectively control approximately 29.0% of the aggregate voting power of our outstanding shares and voting power which is superior to that of any other person or group. The interests of W. Marvin Rush and W.M. “Rusty” Rush may not be consistent with the interests of all shareholders. As a result of such ownership, W. Marvin Rush and W.M. “Rusty” Rush have the power to effectively control the Company, including the election of directors, the determination of matters requiring shareholder approval and other matters pertaining to corporate governance.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Our dealership agreements could discourage another company from acquiring us.</w:t>
      </w:r>
    </w:p>
    <w:p>
      <w:pPr>
        <w:spacing w:after="0" w:line="177"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Our dealership agreements with Peterbilt impose ownership requirements on officers of the Company. All of our dealer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58" w:lineRule="exact"/>
        <w:rPr>
          <w:sz w:val="20"/>
          <w:szCs w:val="20"/>
          <w:color w:val="auto"/>
        </w:rPr>
      </w:pPr>
    </w:p>
    <w:p>
      <w:pPr>
        <w:jc w:val="both"/>
        <w:ind w:right="20" w:firstLine="525"/>
        <w:spacing w:after="0" w:line="266" w:lineRule="auto"/>
        <w:rPr>
          <w:sz w:val="20"/>
          <w:szCs w:val="20"/>
          <w:color w:val="auto"/>
        </w:rPr>
      </w:pPr>
      <w:r>
        <w:rPr>
          <w:rFonts w:ascii="Arial" w:cs="Arial" w:eastAsia="Arial" w:hAnsi="Arial"/>
          <w:sz w:val="14"/>
          <w:szCs w:val="14"/>
          <w:color w:val="auto"/>
        </w:rPr>
        <w:t>Additionally, W. Marvin Rush and W.M. “Rusty” Rush have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W. Marvin Rush, certain shares of his Class B Common Stock of the Company are exempt from his rights of first refusal agreement. These rights of first refusal, the number of shares owned by W. Marvin Rush and W.M. “Rusty” Rush and their affiliates, the requirement in our dealership agreements that the Dealer Principals retain a controlling interest in us,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50"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Class A Common Stock has limited voting power.</w:t>
      </w:r>
    </w:p>
    <w:p>
      <w:pPr>
        <w:spacing w:after="0" w:line="177"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24" w:name="page25"/>
    <w:bookmarkEnd w:id="24"/>
    <w:p>
      <w:pPr>
        <w:jc w:val="both"/>
        <w:ind w:right="20"/>
        <w:spacing w:after="0" w:line="294" w:lineRule="auto"/>
        <w:rPr>
          <w:sz w:val="20"/>
          <w:szCs w:val="20"/>
          <w:color w:val="auto"/>
        </w:rPr>
      </w:pPr>
      <w:r>
        <w:rPr>
          <w:rFonts w:ascii="Arial" w:cs="Arial" w:eastAsia="Arial" w:hAnsi="Arial"/>
          <w:sz w:val="14"/>
          <w:szCs w:val="14"/>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30" w:lineRule="exact"/>
        <w:rPr>
          <w:sz w:val="20"/>
          <w:szCs w:val="20"/>
          <w:color w:val="auto"/>
        </w:rPr>
      </w:pPr>
    </w:p>
    <w:p>
      <w:pPr>
        <w:jc w:val="both"/>
        <w:ind w:right="20" w:firstLine="525"/>
        <w:spacing w:after="0" w:line="269" w:lineRule="auto"/>
        <w:rPr>
          <w:sz w:val="20"/>
          <w:szCs w:val="20"/>
          <w:color w:val="auto"/>
        </w:rPr>
      </w:pPr>
      <w:r>
        <w:rPr>
          <w:rFonts w:ascii="Arial" w:cs="Arial" w:eastAsia="Arial" w:hAnsi="Arial"/>
          <w:sz w:val="14"/>
          <w:szCs w:val="14"/>
          <w:color w:val="auto"/>
        </w:rPr>
        <w:t>The market price of our Class B Common Stock has historically been lower than the market price of our Class A Common Stock. The volume of trading in our Class B Common Stock varies greatly and may often be light. As of December 31, 2013, the three-month average daily trading volume of our Class B Common Stock was approximately 12,000 shares, with several days having a trading volume below 1,000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81"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The Company’s corporate headquarters are located in New Braunfels, Texas. As of December 2013, the Company also owns or leases numerous facilities used in our operations in the following states: Alabama, Arizona, California, Colorado, Florida, Georgia, Idaho, Illinois, Kansas, Missouri, New Mexico, North Carolina, Ohio, Oklahoma, Oregon, Tennessee, Texas, Utah and Virginia. A Rush Truck Center may be comprised of one or more locations, generally in close proximity, in the same metropolitan area. These facilities consist primarily of office space, display lots, service facilities and parking lots.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Company’s truck leasing operations lease additional space in Alabama, Arizona, California, Florida, New Mexico, Ohio and Virginia.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Company’s insurance agency leases space in California, Florida, Oklahoma and Texas.</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Company leases a hangar in New Braunfels, Texas for the corporate aircraft. The Company also owns and operates a guest ranch of approximately 9,500 acres near Cotulla, Texas. The Company uses the ranch for client development purposes and also sells hunting trips on the ranch.</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81" w:lineRule="exact"/>
        <w:rPr>
          <w:sz w:val="20"/>
          <w:szCs w:val="20"/>
          <w:color w:val="auto"/>
        </w:rPr>
      </w:pPr>
    </w:p>
    <w:p>
      <w:pPr>
        <w:jc w:val="both"/>
        <w:ind w:right="40" w:firstLine="525"/>
        <w:spacing w:after="0" w:line="267" w:lineRule="auto"/>
        <w:rPr>
          <w:sz w:val="20"/>
          <w:szCs w:val="20"/>
          <w:color w:val="auto"/>
        </w:rPr>
      </w:pPr>
      <w:r>
        <w:rPr>
          <w:rFonts w:ascii="Arial" w:cs="Arial" w:eastAsia="Arial" w:hAnsi="Arial"/>
          <w:sz w:val="14"/>
          <w:szCs w:val="14"/>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45" w:lineRule="exact"/>
        <w:rPr>
          <w:sz w:val="20"/>
          <w:szCs w:val="20"/>
          <w:color w:val="auto"/>
        </w:rPr>
      </w:pPr>
    </w:p>
    <w:p>
      <w:pPr>
        <w:jc w:val="center"/>
        <w:ind w:right="9220"/>
        <w:spacing w:after="0"/>
        <w:rPr>
          <w:sz w:val="20"/>
          <w:szCs w:val="20"/>
          <w:color w:val="auto"/>
        </w:rPr>
      </w:pPr>
      <w:r>
        <w:rPr>
          <w:rFonts w:ascii="Arial" w:cs="Arial" w:eastAsia="Arial" w:hAnsi="Arial"/>
          <w:sz w:val="12"/>
          <w:szCs w:val="12"/>
          <w:b w:val="1"/>
          <w:bCs w:val="1"/>
          <w:color w:val="auto"/>
        </w:rPr>
        <w:t>Item 4. Mine Safety Disclosures</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25" w:name="page26"/>
    <w:bookmarkEnd w:id="25"/>
    <w:p>
      <w:pPr>
        <w:jc w:val="center"/>
        <w:ind w:right="-299"/>
        <w:spacing w:after="0"/>
        <w:rPr>
          <w:sz w:val="20"/>
          <w:szCs w:val="20"/>
          <w:color w:val="auto"/>
        </w:rPr>
      </w:pPr>
      <w:r>
        <w:rPr>
          <w:rFonts w:ascii="Arial" w:cs="Arial" w:eastAsia="Arial" w:hAnsi="Arial"/>
          <w:sz w:val="15"/>
          <w:szCs w:val="15"/>
          <w:b w:val="1"/>
          <w:bCs w:val="1"/>
          <w:color w:val="auto"/>
        </w:rPr>
        <w:t>PART II</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Shareholder Matters, and Issuer Purchases of Equity Securities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common stock trades on The NASDAQ Global Select Market</w:t>
      </w:r>
      <w:r>
        <w:rPr>
          <w:rFonts w:ascii="Arial" w:cs="Arial" w:eastAsia="Arial" w:hAnsi="Arial"/>
          <w:sz w:val="24"/>
          <w:szCs w:val="24"/>
          <w:color w:val="auto"/>
          <w:vertAlign w:val="superscript"/>
        </w:rPr>
        <w:t>SM</w:t>
      </w:r>
      <w:r>
        <w:rPr>
          <w:rFonts w:ascii="Arial" w:cs="Arial" w:eastAsia="Arial" w:hAnsi="Arial"/>
          <w:sz w:val="15"/>
          <w:szCs w:val="15"/>
          <w:color w:val="auto"/>
        </w:rPr>
        <w:t xml:space="preserve"> under the symbols RUSHA and RUSHB.</w:t>
      </w:r>
    </w:p>
    <w:p>
      <w:pPr>
        <w:spacing w:after="0" w:line="9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24"/>
          <w:szCs w:val="24"/>
          <w:color w:val="auto"/>
          <w:vertAlign w:val="superscript"/>
        </w:rPr>
        <w:t>SM</w:t>
      </w:r>
      <w:r>
        <w:rPr>
          <w:rFonts w:ascii="Arial" w:cs="Arial" w:eastAsia="Arial" w:hAnsi="Arial"/>
          <w:sz w:val="15"/>
          <w:szCs w:val="15"/>
          <w:color w:val="auto"/>
        </w:rPr>
        <w:t>.</w:t>
      </w:r>
    </w:p>
    <w:p>
      <w:pPr>
        <w:spacing w:after="0" w:line="80"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5"/>
                <w:szCs w:val="15"/>
                <w:b w:val="1"/>
                <w:bCs w:val="1"/>
                <w:color w:val="auto"/>
              </w:rPr>
              <w:t>2013</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2012</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7"/>
              <w:spacing w:after="0" w:line="167" w:lineRule="exact"/>
              <w:rPr>
                <w:sz w:val="20"/>
                <w:szCs w:val="20"/>
                <w:color w:val="auto"/>
              </w:rPr>
            </w:pPr>
            <w:r>
              <w:rPr>
                <w:rFonts w:ascii="Arial" w:cs="Arial" w:eastAsia="Arial" w:hAnsi="Arial"/>
                <w:sz w:val="15"/>
                <w:szCs w:val="15"/>
                <w:b w:val="1"/>
                <w:bCs w:val="1"/>
                <w:color w:val="auto"/>
              </w:rPr>
              <w:t>High</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7"/>
              <w:spacing w:after="0" w:line="167" w:lineRule="exact"/>
              <w:rPr>
                <w:sz w:val="20"/>
                <w:szCs w:val="20"/>
                <w:color w:val="auto"/>
              </w:rPr>
            </w:pPr>
            <w:r>
              <w:rPr>
                <w:rFonts w:ascii="Arial" w:cs="Arial" w:eastAsia="Arial" w:hAnsi="Arial"/>
                <w:sz w:val="15"/>
                <w:szCs w:val="15"/>
                <w:b w:val="1"/>
                <w:bCs w:val="1"/>
                <w:color w:val="auto"/>
              </w:rPr>
              <w:t>Low</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7"/>
              <w:spacing w:after="0" w:line="167" w:lineRule="exact"/>
              <w:rPr>
                <w:sz w:val="20"/>
                <w:szCs w:val="20"/>
                <w:color w:val="auto"/>
              </w:rPr>
            </w:pPr>
            <w:r>
              <w:rPr>
                <w:rFonts w:ascii="Arial" w:cs="Arial" w:eastAsia="Arial" w:hAnsi="Arial"/>
                <w:sz w:val="15"/>
                <w:szCs w:val="15"/>
                <w:b w:val="1"/>
                <w:bCs w:val="1"/>
                <w:color w:val="auto"/>
              </w:rPr>
              <w:t>High</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7"/>
              <w:spacing w:after="0" w:line="167" w:lineRule="exact"/>
              <w:rPr>
                <w:sz w:val="20"/>
                <w:szCs w:val="20"/>
                <w:color w:val="auto"/>
              </w:rPr>
            </w:pPr>
            <w:r>
              <w:rPr>
                <w:rFonts w:ascii="Arial" w:cs="Arial" w:eastAsia="Arial" w:hAnsi="Arial"/>
                <w:sz w:val="15"/>
                <w:szCs w:val="15"/>
                <w:b w:val="1"/>
                <w:bCs w:val="1"/>
                <w:color w:val="auto"/>
              </w:rPr>
              <w:t>Low</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8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5"/>
                <w:szCs w:val="15"/>
                <w:b w:val="1"/>
                <w:bCs w:val="1"/>
                <w:i w:val="1"/>
                <w:iCs w:val="1"/>
                <w:color w:val="auto"/>
              </w:rPr>
              <w:t>Class A Common Stock</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28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Second Quarter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28.15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21.82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21.70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27.86</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22.37</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19.58</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Fourth Quarter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30.38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25.48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20.75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vMerge w:val="continue"/>
          </w:tcPr>
          <w:p>
            <w:pPr>
              <w:spacing w:after="0"/>
              <w:rPr>
                <w:sz w:val="15"/>
                <w:szCs w:val="15"/>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Class B Common Stock</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First Quarter</w:t>
            </w: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22.08</w:t>
            </w:r>
          </w:p>
        </w:tc>
        <w:tc>
          <w:tcPr>
            <w:tcW w:w="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17.00</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21.01</w:t>
            </w: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16.48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Second Quarter</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18.51</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Third Quarter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24.00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19.58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17.00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Fourth Quarter</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21.59</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17.61</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As of February 20, 2014, there were approximately 39 record holders of the Class A Common Stock and approximately 47 record holders of the Class B Common Stock.</w:t>
      </w:r>
    </w:p>
    <w:p>
      <w:pPr>
        <w:spacing w:after="0" w:line="189"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The Company did not pay dividends during the fiscal year ended December 31, 2013, or the fiscal year ended December 31, 2012. The Board of Directors intends to retain any earnings of the Company to support operations and to finance expansion.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of December 31, 2013, the Company has not sold any securities in the last three years that were not registered under the Securities Act.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summary of the repurchase activity for the Company’s fourth quarter of 2013 is as follows:</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27"/>
              <w:spacing w:after="0"/>
              <w:rPr>
                <w:sz w:val="20"/>
                <w:szCs w:val="20"/>
                <w:color w:val="auto"/>
              </w:rPr>
            </w:pPr>
            <w:r>
              <w:rPr>
                <w:rFonts w:ascii="Arial" w:cs="Arial" w:eastAsia="Arial" w:hAnsi="Arial"/>
                <w:sz w:val="15"/>
                <w:szCs w:val="15"/>
                <w:b w:val="1"/>
                <w:bCs w:val="1"/>
                <w:color w:val="auto"/>
                <w:w w:val="89"/>
              </w:rPr>
              <w:t>Approximate</w:t>
            </w:r>
          </w:p>
        </w:tc>
        <w:tc>
          <w:tcPr>
            <w:tcW w:w="8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0"/>
              </w:rPr>
              <w:t>Total Number of</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27"/>
              <w:spacing w:after="0"/>
              <w:rPr>
                <w:sz w:val="20"/>
                <w:szCs w:val="20"/>
                <w:color w:val="auto"/>
              </w:rPr>
            </w:pPr>
            <w:r>
              <w:rPr>
                <w:rFonts w:ascii="Arial" w:cs="Arial" w:eastAsia="Arial" w:hAnsi="Arial"/>
                <w:sz w:val="15"/>
                <w:szCs w:val="15"/>
                <w:b w:val="1"/>
                <w:bCs w:val="1"/>
                <w:color w:val="auto"/>
                <w:w w:val="89"/>
              </w:rPr>
              <w:t>Dollar Value of</w:t>
            </w:r>
          </w:p>
        </w:tc>
        <w:tc>
          <w:tcPr>
            <w:tcW w:w="8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84"/>
              </w:rPr>
              <w:t>Shares Purchased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27"/>
              <w:spacing w:after="0"/>
              <w:rPr>
                <w:sz w:val="20"/>
                <w:szCs w:val="20"/>
                <w:color w:val="auto"/>
              </w:rPr>
            </w:pPr>
            <w:r>
              <w:rPr>
                <w:rFonts w:ascii="Arial" w:cs="Arial" w:eastAsia="Arial" w:hAnsi="Arial"/>
                <w:sz w:val="15"/>
                <w:szCs w:val="15"/>
                <w:b w:val="1"/>
                <w:bCs w:val="1"/>
                <w:color w:val="auto"/>
                <w:w w:val="88"/>
              </w:rPr>
              <w:t>Shares that May</w:t>
            </w:r>
          </w:p>
        </w:tc>
        <w:tc>
          <w:tcPr>
            <w:tcW w:w="8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88"/>
              </w:rPr>
              <w:t>Total Number of</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87"/>
              </w:rPr>
              <w:t>as Part of Publicly</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7"/>
              <w:spacing w:after="0"/>
              <w:rPr>
                <w:sz w:val="20"/>
                <w:szCs w:val="20"/>
                <w:color w:val="auto"/>
              </w:rPr>
            </w:pPr>
            <w:r>
              <w:rPr>
                <w:rFonts w:ascii="Arial" w:cs="Arial" w:eastAsia="Arial" w:hAnsi="Arial"/>
                <w:sz w:val="15"/>
                <w:szCs w:val="15"/>
                <w:b w:val="1"/>
                <w:bCs w:val="1"/>
                <w:color w:val="auto"/>
                <w:w w:val="85"/>
              </w:rPr>
              <w:t>Yet be Purchased</w:t>
            </w:r>
          </w:p>
        </w:tc>
        <w:tc>
          <w:tcPr>
            <w:tcW w:w="8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84"/>
              </w:rPr>
              <w:t>Shares Purchased</w:t>
            </w:r>
          </w:p>
        </w:tc>
        <w:tc>
          <w:tcPr>
            <w:tcW w:w="2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w w:val="88"/>
              </w:rPr>
              <w:t>Average Price Paid</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85"/>
              </w:rPr>
              <w:t>Announced Plans</w:t>
            </w:r>
          </w:p>
        </w:tc>
        <w:tc>
          <w:tcPr>
            <w:tcW w:w="18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Under the Plans or</w:t>
            </w:r>
          </w:p>
        </w:tc>
        <w:tc>
          <w:tcPr>
            <w:tcW w:w="80" w:type="dxa"/>
            <w:vAlign w:val="bottom"/>
          </w:tcPr>
          <w:p>
            <w:pPr>
              <w:spacing w:after="0"/>
              <w:rPr>
                <w:sz w:val="15"/>
                <w:szCs w:val="15"/>
                <w:color w:val="auto"/>
              </w:rPr>
            </w:pPr>
          </w:p>
        </w:tc>
      </w:tr>
      <w:tr>
        <w:trPr>
          <w:trHeight w:val="189"/>
        </w:trPr>
        <w:tc>
          <w:tcPr>
            <w:tcW w:w="454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1360" w:type="dxa"/>
            <w:vAlign w:val="bottom"/>
            <w:gridSpan w:val="2"/>
          </w:tcPr>
          <w:p>
            <w:pPr>
              <w:jc w:val="center"/>
              <w:ind w:left="27"/>
              <w:spacing w:after="0"/>
              <w:rPr>
                <w:sz w:val="20"/>
                <w:szCs w:val="20"/>
                <w:color w:val="auto"/>
              </w:rPr>
            </w:pPr>
            <w:r>
              <w:rPr>
                <w:rFonts w:ascii="Arial" w:cs="Arial" w:eastAsia="Arial" w:hAnsi="Arial"/>
                <w:sz w:val="15"/>
                <w:szCs w:val="15"/>
                <w:b w:val="1"/>
                <w:bCs w:val="1"/>
                <w:color w:val="auto"/>
                <w:w w:val="97"/>
              </w:rPr>
              <w:t>(1)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47"/>
              <w:spacing w:after="0"/>
              <w:rPr>
                <w:sz w:val="20"/>
                <w:szCs w:val="20"/>
                <w:color w:val="auto"/>
              </w:rPr>
            </w:pPr>
            <w:r>
              <w:rPr>
                <w:rFonts w:ascii="Arial" w:cs="Arial" w:eastAsia="Arial" w:hAnsi="Arial"/>
                <w:sz w:val="15"/>
                <w:szCs w:val="15"/>
                <w:b w:val="1"/>
                <w:bCs w:val="1"/>
                <w:color w:val="auto"/>
                <w:w w:val="92"/>
              </w:rPr>
              <w:t>Per Share (2)</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89"/>
              </w:rPr>
              <w:t>or Programs (1)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27"/>
              <w:spacing w:after="0"/>
              <w:rPr>
                <w:sz w:val="20"/>
                <w:szCs w:val="20"/>
                <w:color w:val="auto"/>
              </w:rPr>
            </w:pPr>
            <w:r>
              <w:rPr>
                <w:rFonts w:ascii="Arial" w:cs="Arial" w:eastAsia="Arial" w:hAnsi="Arial"/>
                <w:sz w:val="15"/>
                <w:szCs w:val="15"/>
                <w:b w:val="1"/>
                <w:bCs w:val="1"/>
                <w:color w:val="auto"/>
                <w:w w:val="88"/>
              </w:rPr>
              <w:t>Programs (3)</w:t>
            </w:r>
          </w:p>
        </w:tc>
        <w:tc>
          <w:tcPr>
            <w:tcW w:w="80" w:type="dxa"/>
            <w:vAlign w:val="bottom"/>
          </w:tcPr>
          <w:p>
            <w:pPr>
              <w:spacing w:after="0"/>
              <w:rPr>
                <w:sz w:val="16"/>
                <w:szCs w:val="16"/>
                <w:color w:val="auto"/>
              </w:rPr>
            </w:pPr>
          </w:p>
        </w:tc>
      </w:tr>
      <w:tr>
        <w:trPr>
          <w:trHeight w:val="167"/>
        </w:trPr>
        <w:tc>
          <w:tcPr>
            <w:tcW w:w="454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October 1 – October 31, 2013</w:t>
            </w:r>
          </w:p>
        </w:tc>
        <w:tc>
          <w:tcPr>
            <w:tcW w:w="100" w:type="dxa"/>
            <w:vAlign w:val="bottom"/>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115,498</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23.28</w:t>
            </w:r>
          </w:p>
        </w:tc>
        <w:tc>
          <w:tcPr>
            <w:tcW w:w="20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314,890</w:t>
            </w: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32,934,891</w:t>
            </w:r>
          </w:p>
        </w:tc>
        <w:tc>
          <w:tcPr>
            <w:tcW w:w="80" w:type="dxa"/>
            <w:vAlign w:val="bottom"/>
            <w:shd w:val="clear" w:color="auto" w:fill="CCEEFF"/>
          </w:tcPr>
          <w:p>
            <w:pPr>
              <w:spacing w:after="0"/>
              <w:rPr>
                <w:sz w:val="14"/>
                <w:szCs w:val="14"/>
                <w:color w:val="auto"/>
              </w:rPr>
            </w:pPr>
          </w:p>
        </w:tc>
      </w:tr>
      <w:tr>
        <w:trPr>
          <w:trHeight w:val="175"/>
        </w:trPr>
        <w:tc>
          <w:tcPr>
            <w:tcW w:w="4540" w:type="dxa"/>
            <w:vAlign w:val="bottom"/>
          </w:tcPr>
          <w:p>
            <w:pPr>
              <w:spacing w:after="0"/>
              <w:rPr>
                <w:sz w:val="20"/>
                <w:szCs w:val="20"/>
                <w:color w:val="auto"/>
              </w:rPr>
            </w:pPr>
            <w:r>
              <w:rPr>
                <w:rFonts w:ascii="Arial" w:cs="Arial" w:eastAsia="Arial" w:hAnsi="Arial"/>
                <w:sz w:val="15"/>
                <w:szCs w:val="15"/>
                <w:color w:val="auto"/>
              </w:rPr>
              <w:t>November 1 – November 30, 2013</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129,284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24.23</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444,174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29,802,738</w:t>
            </w:r>
          </w:p>
        </w:tc>
        <w:tc>
          <w:tcPr>
            <w:tcW w:w="80" w:type="dxa"/>
            <w:vAlign w:val="bottom"/>
          </w:tcPr>
          <w:p>
            <w:pPr>
              <w:spacing w:after="0"/>
              <w:rPr>
                <w:sz w:val="15"/>
                <w:szCs w:val="15"/>
                <w:color w:val="auto"/>
              </w:rPr>
            </w:pPr>
          </w:p>
        </w:tc>
      </w:tr>
      <w:tr>
        <w:trPr>
          <w:trHeight w:val="175"/>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1 – December 31, 2013</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110,502</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24.06</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554,676</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27,143,609</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66"/>
        </w:trPr>
        <w:tc>
          <w:tcPr>
            <w:tcW w:w="4540" w:type="dxa"/>
            <w:vAlign w:val="bottom"/>
          </w:tcPr>
          <w:p>
            <w:pPr>
              <w:spacing w:after="0" w:line="166" w:lineRule="exact"/>
              <w:rPr>
                <w:sz w:val="20"/>
                <w:szCs w:val="20"/>
                <w:color w:val="auto"/>
              </w:rPr>
            </w:pPr>
            <w:r>
              <w:rPr>
                <w:rFonts w:ascii="Arial" w:cs="Arial" w:eastAsia="Arial" w:hAnsi="Arial"/>
                <w:sz w:val="15"/>
                <w:szCs w:val="15"/>
                <w:color w:val="auto"/>
              </w:rPr>
              <w:t>Total</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355,284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554,676</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27,143,609</w:t>
            </w:r>
          </w:p>
        </w:tc>
        <w:tc>
          <w:tcPr>
            <w:tcW w:w="80" w:type="dxa"/>
            <w:vAlign w:val="bottom"/>
          </w:tcPr>
          <w:p>
            <w:pPr>
              <w:spacing w:after="0"/>
              <w:rPr>
                <w:sz w:val="14"/>
                <w:szCs w:val="14"/>
                <w:color w:val="auto"/>
              </w:rPr>
            </w:pPr>
          </w:p>
        </w:tc>
      </w:tr>
    </w:tbl>
    <w:p>
      <w:pPr>
        <w:spacing w:after="0" w:line="208" w:lineRule="exact"/>
        <w:rPr>
          <w:sz w:val="20"/>
          <w:szCs w:val="20"/>
          <w:color w:val="auto"/>
        </w:rPr>
      </w:pPr>
    </w:p>
    <w:p>
      <w:pPr>
        <w:ind w:left="540" w:hanging="53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shares represent Class B Common Stock repurchased by the Company</w:t>
      </w:r>
    </w:p>
    <w:p>
      <w:pPr>
        <w:spacing w:after="0" w:line="177" w:lineRule="exact"/>
        <w:rPr>
          <w:rFonts w:ascii="Arial" w:cs="Arial" w:eastAsia="Arial" w:hAnsi="Arial"/>
          <w:sz w:val="15"/>
          <w:szCs w:val="15"/>
          <w:color w:val="auto"/>
        </w:rPr>
      </w:pPr>
    </w:p>
    <w:p>
      <w:pPr>
        <w:ind w:left="540" w:hanging="53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calculation of the average price paid per share does not give effect to any fees, commissions or other costs associated with the repurchase of such shares.</w:t>
      </w:r>
    </w:p>
    <w:p>
      <w:pPr>
        <w:spacing w:after="0" w:line="177" w:lineRule="exact"/>
        <w:rPr>
          <w:rFonts w:ascii="Arial" w:cs="Arial" w:eastAsia="Arial" w:hAnsi="Arial"/>
          <w:sz w:val="15"/>
          <w:szCs w:val="15"/>
          <w:color w:val="auto"/>
        </w:rPr>
      </w:pPr>
    </w:p>
    <w:p>
      <w:pPr>
        <w:jc w:val="both"/>
        <w:ind w:left="540" w:right="20" w:hanging="533"/>
        <w:spacing w:after="0" w:line="251" w:lineRule="auto"/>
        <w:tabs>
          <w:tab w:leader="none" w:pos="555"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 repurchased shares under a program announced on February 12, 2013, which authorized the repurchase of up to $40.0 million of its shares of Class A Common Stock, $.01 par value per share, and/or Class B Common Stock, $.01 par value per share. The stock repurchase program was terminated on February 3, 2014 and the Company announced a new program on February 4, 2014.</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26" w:name="page27"/>
    <w:bookmarkEnd w:id="26"/>
    <w:p>
      <w:pPr>
        <w:spacing w:after="0"/>
        <w:rPr>
          <w:sz w:val="20"/>
          <w:szCs w:val="20"/>
          <w:color w:val="auto"/>
        </w:rPr>
      </w:pPr>
      <w:r>
        <w:rPr>
          <w:rFonts w:ascii="Arial" w:cs="Arial" w:eastAsia="Arial" w:hAnsi="Arial"/>
          <w:sz w:val="15"/>
          <w:szCs w:val="15"/>
          <w:i w:val="1"/>
          <w:iCs w:val="1"/>
          <w:color w:val="auto"/>
        </w:rPr>
        <w:t>Performance Graph</w:t>
      </w:r>
    </w:p>
    <w:p>
      <w:pPr>
        <w:spacing w:after="0" w:line="177"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The following graph furnished by the Company shows the value as of December 31, 2013, of a $100 investment in the Company’s common stock made on December 31, 2008 (with dividends reinvested), as compared with similar investments based on (i) the value of the S&amp;P 500 Index (with dividends reinvested) and (ii) the value of a market-weighted Peer Group Index composed of the common stock of Paccar, Inc., Werner Enterprises, Inc., Penske Automotive Group, Inc. and Lithia Motors, Inc., in each case on a “total return” basis assuming reinvestment of dividends. The market-weighted Peer Group Index values were calculated from the beginning of the performance period. The historical stock performance shown below is not necessarily indicative of future expected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109220</wp:posOffset>
            </wp:positionV>
            <wp:extent cx="4101465" cy="2484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01465" cy="248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foregoing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the Company under the Securities Act of 1933, as amended, or the Exchange Act.</w:t>
      </w:r>
    </w:p>
    <w:p>
      <w:pPr>
        <w:spacing w:after="0" w:line="200" w:lineRule="exact"/>
        <w:rPr>
          <w:sz w:val="20"/>
          <w:szCs w:val="20"/>
          <w:color w:val="auto"/>
        </w:rPr>
      </w:pPr>
    </w:p>
    <w:p>
      <w:pPr>
        <w:spacing w:after="0" w:line="330"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500" w:right="519" w:bottom="1440" w:gutter="0" w:footer="0" w:header="0"/>
        </w:sectPr>
      </w:pPr>
    </w:p>
    <w:bookmarkStart w:id="27" w:name="page28"/>
    <w:bookmarkEnd w:id="27"/>
    <w:p>
      <w:pPr>
        <w:spacing w:after="0"/>
        <w:tabs>
          <w:tab w:leader="none" w:pos="5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81" w:lineRule="exact"/>
        <w:rPr>
          <w:sz w:val="20"/>
          <w:szCs w:val="20"/>
          <w:color w:val="auto"/>
        </w:rPr>
      </w:pPr>
    </w:p>
    <w:p>
      <w:pPr>
        <w:jc w:val="both"/>
        <w:ind w:right="300" w:firstLine="525"/>
        <w:spacing w:after="0" w:line="246" w:lineRule="auto"/>
        <w:rPr>
          <w:sz w:val="20"/>
          <w:szCs w:val="20"/>
          <w:color w:val="auto"/>
        </w:rPr>
      </w:pPr>
      <w:r>
        <w:rPr>
          <w:rFonts w:ascii="Arial" w:cs="Arial" w:eastAsia="Arial" w:hAnsi="Arial"/>
          <w:sz w:val="15"/>
          <w:szCs w:val="15"/>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the Company’s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the Company’s other financial information included elsewhere herein.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5"/>
                <w:szCs w:val="15"/>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SUMMARY OF INCOME STATEMENT DATA</w:t>
            </w: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7"/>
              <w:spacing w:after="0" w:line="167" w:lineRule="exact"/>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7"/>
              <w:spacing w:after="0" w:line="167" w:lineRule="exact"/>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60" w:type="dxa"/>
            <w:vAlign w:val="bottom"/>
            <w:gridSpan w:val="9"/>
          </w:tcPr>
          <w:p>
            <w:pPr>
              <w:jc w:val="right"/>
              <w:ind w:right="920"/>
              <w:spacing w:after="0" w:line="166" w:lineRule="exact"/>
              <w:rPr>
                <w:sz w:val="20"/>
                <w:szCs w:val="20"/>
                <w:color w:val="auto"/>
              </w:rPr>
            </w:pPr>
            <w:r>
              <w:rPr>
                <w:rFonts w:ascii="Arial" w:cs="Arial" w:eastAsia="Arial" w:hAnsi="Arial"/>
                <w:sz w:val="15"/>
                <w:szCs w:val="15"/>
                <w:b w:val="1"/>
                <w:bCs w:val="1"/>
                <w:color w:val="auto"/>
                <w:w w:val="98"/>
              </w:rPr>
              <w:t>(in thousands, except per share amounts)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ind w:left="120"/>
              <w:spacing w:after="0"/>
              <w:rPr>
                <w:sz w:val="20"/>
                <w:szCs w:val="20"/>
                <w:color w:val="auto"/>
              </w:rPr>
            </w:pPr>
            <w:r>
              <w:rPr>
                <w:rFonts w:ascii="Arial" w:cs="Arial" w:eastAsia="Arial" w:hAnsi="Arial"/>
                <w:sz w:val="15"/>
                <w:szCs w:val="15"/>
                <w:color w:val="auto"/>
              </w:rPr>
              <w:t>New and used commercial vehicle sales</w:t>
            </w:r>
          </w:p>
        </w:tc>
        <w:tc>
          <w:tcPr>
            <w:tcW w:w="880" w:type="dxa"/>
            <w:vAlign w:val="bottom"/>
            <w:gridSpan w:val="2"/>
          </w:tcPr>
          <w:p>
            <w:pPr>
              <w:jc w:val="right"/>
              <w:ind w:right="10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2,239,847</w:t>
            </w:r>
          </w:p>
        </w:tc>
        <w:tc>
          <w:tcPr>
            <w:tcW w:w="48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2,149,335</w:t>
            </w:r>
          </w:p>
        </w:tc>
        <w:tc>
          <w:tcPr>
            <w:tcW w:w="380" w:type="dxa"/>
            <w:vAlign w:val="bottom"/>
            <w:gridSpan w:val="2"/>
          </w:tcPr>
          <w:p>
            <w:pPr>
              <w:jc w:val="right"/>
              <w:ind w:right="107"/>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1,801,964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926,584</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738,705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Parts and service sales</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988,317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817,280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675,277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489,259</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395,133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ind w:left="120"/>
              <w:spacing w:after="0"/>
              <w:rPr>
                <w:sz w:val="20"/>
                <w:szCs w:val="20"/>
                <w:color w:val="auto"/>
              </w:rPr>
            </w:pPr>
            <w:r>
              <w:rPr>
                <w:rFonts w:ascii="Arial" w:cs="Arial" w:eastAsia="Arial" w:hAnsi="Arial"/>
                <w:sz w:val="15"/>
                <w:szCs w:val="15"/>
                <w:color w:val="auto"/>
              </w:rPr>
              <w:t>Lease and rental</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129,638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100,247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83,426</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67,423</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53,710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Finance and insurance</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15,320</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13,638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10,867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7,922</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ind w:left="120"/>
              <w:spacing w:after="0"/>
              <w:rPr>
                <w:sz w:val="20"/>
                <w:szCs w:val="20"/>
                <w:color w:val="auto"/>
              </w:rPr>
            </w:pPr>
            <w:r>
              <w:rPr>
                <w:rFonts w:ascii="Arial" w:cs="Arial" w:eastAsia="Arial" w:hAnsi="Arial"/>
                <w:sz w:val="15"/>
                <w:szCs w:val="15"/>
                <w:color w:val="auto"/>
              </w:rPr>
              <w:t>Other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11,583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10,067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9,077</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6,739</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ind w:left="240"/>
              <w:spacing w:after="0" w:line="166" w:lineRule="exact"/>
              <w:rPr>
                <w:sz w:val="20"/>
                <w:szCs w:val="20"/>
                <w:color w:val="auto"/>
              </w:rPr>
            </w:pPr>
            <w:r>
              <w:rPr>
                <w:rFonts w:ascii="Arial" w:cs="Arial" w:eastAsia="Arial" w:hAnsi="Arial"/>
                <w:sz w:val="15"/>
                <w:szCs w:val="15"/>
                <w:color w:val="auto"/>
              </w:rPr>
              <w:t>Total revenues</w:t>
            </w:r>
          </w:p>
        </w:tc>
        <w:tc>
          <w:tcPr>
            <w:tcW w:w="6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3,384,705</w:t>
            </w: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3,090,567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2,580,611</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1,497,927</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1,200,453</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b w:val="1"/>
                <w:bCs w:val="1"/>
                <w:color w:val="auto"/>
              </w:rPr>
              <w:t>Cost of products sold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2,812,691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2,589,800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2,157,334</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1,213,037</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984,812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Gross profit</w:t>
            </w:r>
          </w:p>
        </w:tc>
        <w:tc>
          <w:tcPr>
            <w:tcW w:w="6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572,014</w:t>
            </w: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500,767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423,277</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284,890</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215,641</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450,340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361,727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306,273</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227,467</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192,296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29,925</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25,016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20,084</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15,720</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15,890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gridSpan w:val="2"/>
          </w:tcPr>
          <w:p>
            <w:pPr>
              <w:spacing w:after="0"/>
              <w:rPr>
                <w:sz w:val="20"/>
                <w:szCs w:val="20"/>
                <w:color w:val="auto"/>
              </w:rPr>
            </w:pPr>
            <w:r>
              <w:rPr>
                <w:rFonts w:ascii="Arial" w:cs="Arial" w:eastAsia="Arial" w:hAnsi="Arial"/>
                <w:sz w:val="15"/>
                <w:szCs w:val="15"/>
                <w:color w:val="auto"/>
              </w:rPr>
              <w:t>Gain (loss) on sale of assets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418</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(36)</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Operating income</w:t>
            </w:r>
          </w:p>
        </w:tc>
        <w:tc>
          <w:tcPr>
            <w:tcW w:w="6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91,754</w:t>
            </w: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114,200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97,338</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41,667</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7,617</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gridSpan w:val="2"/>
          </w:tcPr>
          <w:p>
            <w:pPr>
              <w:spacing w:after="0"/>
              <w:rPr>
                <w:sz w:val="20"/>
                <w:szCs w:val="20"/>
                <w:color w:val="auto"/>
              </w:rPr>
            </w:pPr>
            <w:r>
              <w:rPr>
                <w:rFonts w:ascii="Arial" w:cs="Arial" w:eastAsia="Arial" w:hAnsi="Arial"/>
                <w:sz w:val="15"/>
                <w:szCs w:val="15"/>
                <w:color w:val="auto"/>
              </w:rPr>
              <w:t>Interest expense, net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10,693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13,017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7,161</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5,363</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5,695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6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81,061</w:t>
            </w: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101,183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90,177</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36,304</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1,922</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gridSpan w:val="2"/>
          </w:tcPr>
          <w:p>
            <w:pPr>
              <w:spacing w:after="0"/>
              <w:rPr>
                <w:sz w:val="20"/>
                <w:szCs w:val="20"/>
                <w:color w:val="auto"/>
              </w:rPr>
            </w:pPr>
            <w:r>
              <w:rPr>
                <w:rFonts w:ascii="Arial" w:cs="Arial" w:eastAsia="Arial" w:hAnsi="Arial"/>
                <w:sz w:val="15"/>
                <w:szCs w:val="15"/>
                <w:color w:val="auto"/>
              </w:rPr>
              <w:t>Provision (benefit) for income taxes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31,844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38,728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34,964</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11,737</w:t>
            </w: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(3,173)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Income from continuing operations</w:t>
            </w:r>
          </w:p>
        </w:tc>
        <w:tc>
          <w:tcPr>
            <w:tcW w:w="6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49,217</w:t>
            </w: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62,455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55,213</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24,567</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5,095</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gridSpan w:val="2"/>
          </w:tcPr>
          <w:p>
            <w:pPr>
              <w:spacing w:after="0"/>
              <w:rPr>
                <w:sz w:val="20"/>
                <w:szCs w:val="20"/>
                <w:color w:val="auto"/>
              </w:rPr>
            </w:pPr>
            <w:r>
              <w:rPr>
                <w:rFonts w:ascii="Arial" w:cs="Arial" w:eastAsia="Arial" w:hAnsi="Arial"/>
                <w:sz w:val="15"/>
                <w:szCs w:val="15"/>
                <w:color w:val="auto"/>
              </w:rPr>
              <w:t>Income from discontinued operations, net of taxes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6,715</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Net income</w:t>
            </w: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line="166"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49,217</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62,455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line="16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55,213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31,282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5,884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Earnings per common share - Basic:</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tcPr>
          <w:p>
            <w:pPr>
              <w:jc w:val="right"/>
              <w:ind w:right="10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1.25</w:t>
            </w:r>
          </w:p>
        </w:tc>
        <w:tc>
          <w:tcPr>
            <w:tcW w:w="48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1.62</w:t>
            </w:r>
          </w:p>
        </w:tc>
        <w:tc>
          <w:tcPr>
            <w:tcW w:w="380" w:type="dxa"/>
            <w:vAlign w:val="bottom"/>
            <w:gridSpan w:val="2"/>
          </w:tcPr>
          <w:p>
            <w:pPr>
              <w:jc w:val="right"/>
              <w:ind w:right="107"/>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1.46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0.66</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88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1.25</w:t>
            </w: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1.62</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0.84</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Earnings per common share - Diluted:</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tcPr>
          <w:p>
            <w:pPr>
              <w:jc w:val="right"/>
              <w:ind w:right="10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1.22</w:t>
            </w:r>
          </w:p>
        </w:tc>
        <w:tc>
          <w:tcPr>
            <w:tcW w:w="48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1.57</w:t>
            </w:r>
          </w:p>
        </w:tc>
        <w:tc>
          <w:tcPr>
            <w:tcW w:w="380" w:type="dxa"/>
            <w:vAlign w:val="bottom"/>
            <w:gridSpan w:val="2"/>
          </w:tcPr>
          <w:p>
            <w:pPr>
              <w:jc w:val="right"/>
              <w:ind w:right="107"/>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1.42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0.64</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88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1.22</w:t>
            </w: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1.57</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0.82</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 average shares outstanding:</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ind w:left="120"/>
              <w:spacing w:after="0"/>
              <w:rPr>
                <w:sz w:val="20"/>
                <w:szCs w:val="20"/>
                <w:color w:val="auto"/>
              </w:rPr>
            </w:pPr>
            <w:r>
              <w:rPr>
                <w:rFonts w:ascii="Arial" w:cs="Arial" w:eastAsia="Arial" w:hAnsi="Arial"/>
                <w:sz w:val="15"/>
                <w:szCs w:val="15"/>
                <w:color w:val="auto"/>
              </w:rPr>
              <w:t>Basic</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39,405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38,643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37,861</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37,307</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37,066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Diluted</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40,506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39,688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39,014</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38,218</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37,597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28" w:name="page29"/>
    <w:bookmarkEnd w:id="28"/>
    <w:tbl>
      <w:tblPr>
        <w:tblLayout w:type="fixed"/>
        <w:tblInd w:w="58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left="847"/>
              <w:spacing w:after="0"/>
              <w:rPr>
                <w:sz w:val="20"/>
                <w:szCs w:val="20"/>
                <w:color w:val="auto"/>
              </w:rPr>
            </w:pPr>
            <w:r>
              <w:rPr>
                <w:rFonts w:ascii="Arial" w:cs="Arial" w:eastAsia="Arial" w:hAnsi="Arial"/>
                <w:sz w:val="15"/>
                <w:szCs w:val="15"/>
                <w:b w:val="1"/>
                <w:bCs w:val="1"/>
                <w:color w:val="auto"/>
                <w:w w:val="87"/>
              </w:rPr>
              <w:t>Year Ended December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7"/>
              <w:spacing w:after="0" w:line="167" w:lineRule="exact"/>
              <w:rPr>
                <w:sz w:val="20"/>
                <w:szCs w:val="20"/>
                <w:color w:val="auto"/>
              </w:rPr>
            </w:pPr>
            <w:r>
              <w:rPr>
                <w:rFonts w:ascii="Arial" w:cs="Arial" w:eastAsia="Arial" w:hAnsi="Arial"/>
                <w:sz w:val="15"/>
                <w:szCs w:val="15"/>
                <w:b w:val="1"/>
                <w:bCs w:val="1"/>
                <w:color w:val="auto"/>
                <w:w w:val="83"/>
              </w:rPr>
              <w:t>2011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OPERATING DATA</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5"/>
                <w:szCs w:val="15"/>
                <w:color w:val="auto"/>
              </w:rPr>
              <w:t>Unit vehicle sales −</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New vehicles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19,931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18,427</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15,540</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7,680</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6,615</w:t>
            </w:r>
          </w:p>
        </w:tc>
        <w:tc>
          <w:tcPr>
            <w:tcW w:w="0" w:type="dxa"/>
            <w:vAlign w:val="bottom"/>
          </w:tcPr>
          <w:p>
            <w:pPr>
              <w:spacing w:after="0"/>
              <w:rPr>
                <w:sz w:val="1"/>
                <w:szCs w:val="1"/>
                <w:color w:val="auto"/>
              </w:rPr>
            </w:pPr>
          </w:p>
        </w:tc>
      </w:tr>
      <w:tr>
        <w:trPr>
          <w:trHeight w:val="175"/>
        </w:trPr>
        <w:tc>
          <w:tcPr>
            <w:tcW w:w="3920" w:type="dxa"/>
            <w:vAlign w:val="bottom"/>
          </w:tcPr>
          <w:p>
            <w:pPr>
              <w:ind w:left="140"/>
              <w:spacing w:after="0"/>
              <w:rPr>
                <w:sz w:val="20"/>
                <w:szCs w:val="20"/>
                <w:color w:val="auto"/>
              </w:rPr>
            </w:pPr>
            <w:r>
              <w:rPr>
                <w:rFonts w:ascii="Arial" w:cs="Arial" w:eastAsia="Arial" w:hAnsi="Arial"/>
                <w:sz w:val="15"/>
                <w:szCs w:val="15"/>
                <w:color w:val="auto"/>
              </w:rPr>
              <w:t>Used vehicles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6,405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4,744</w:t>
            </w:r>
          </w:p>
        </w:tc>
        <w:tc>
          <w:tcPr>
            <w:tcW w:w="12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4,649</w:t>
            </w: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3,461</w:t>
            </w: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2,875</w:t>
            </w: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ind w:left="260"/>
              <w:spacing w:after="0" w:line="166" w:lineRule="exact"/>
              <w:rPr>
                <w:sz w:val="20"/>
                <w:szCs w:val="20"/>
                <w:color w:val="auto"/>
              </w:rPr>
            </w:pPr>
            <w:r>
              <w:rPr>
                <w:rFonts w:ascii="Arial" w:cs="Arial" w:eastAsia="Arial" w:hAnsi="Arial"/>
                <w:sz w:val="15"/>
                <w:szCs w:val="15"/>
                <w:color w:val="auto"/>
              </w:rPr>
              <w:t>Total unit vehicles sales</w:t>
            </w: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26,336</w:t>
            </w: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23,171</w:t>
            </w: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20,189</w:t>
            </w: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11,141</w:t>
            </w: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9,490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line="164" w:lineRule="exact"/>
              <w:rPr>
                <w:sz w:val="20"/>
                <w:szCs w:val="20"/>
                <w:color w:val="auto"/>
              </w:rPr>
            </w:pPr>
            <w:r>
              <w:rPr>
                <w:rFonts w:ascii="Arial" w:cs="Arial" w:eastAsia="Arial" w:hAnsi="Arial"/>
                <w:sz w:val="15"/>
                <w:szCs w:val="15"/>
                <w:color w:val="auto"/>
              </w:rPr>
              <w:t>Truck lease and rental units (including units under contract</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6,315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20" w:type="dxa"/>
            <w:vAlign w:val="bottom"/>
          </w:tcPr>
          <w:p>
            <w:pPr>
              <w:ind w:left="140"/>
              <w:spacing w:after="0"/>
              <w:rPr>
                <w:sz w:val="20"/>
                <w:szCs w:val="20"/>
                <w:color w:val="auto"/>
              </w:rPr>
            </w:pPr>
            <w:r>
              <w:rPr>
                <w:rFonts w:ascii="Arial" w:cs="Arial" w:eastAsia="Arial" w:hAnsi="Arial"/>
                <w:sz w:val="15"/>
                <w:szCs w:val="15"/>
                <w:color w:val="auto"/>
              </w:rPr>
              <w:t>maintenance and crane units)</w:t>
            </w: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5,359</w:t>
            </w:r>
          </w:p>
        </w:tc>
        <w:tc>
          <w:tcPr>
            <w:tcW w:w="12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4,000</w:t>
            </w: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3,809</w:t>
            </w: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b w:val="1"/>
                <w:bCs w:val="1"/>
                <w:color w:val="auto"/>
                <w:w w:val="88"/>
              </w:rPr>
              <w:t>December 31,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7"/>
              <w:spacing w:after="0" w:line="167" w:lineRule="exact"/>
              <w:rPr>
                <w:sz w:val="20"/>
                <w:szCs w:val="20"/>
                <w:color w:val="auto"/>
              </w:rPr>
            </w:pPr>
            <w:r>
              <w:rPr>
                <w:rFonts w:ascii="Arial" w:cs="Arial" w:eastAsia="Arial" w:hAnsi="Arial"/>
                <w:sz w:val="15"/>
                <w:szCs w:val="15"/>
                <w:b w:val="1"/>
                <w:bCs w:val="1"/>
                <w:color w:val="auto"/>
                <w:w w:val="83"/>
              </w:rPr>
              <w:t>2011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67"/>
              <w:spacing w:after="0" w:line="166" w:lineRule="exact"/>
              <w:rPr>
                <w:sz w:val="20"/>
                <w:szCs w:val="20"/>
                <w:color w:val="auto"/>
              </w:rPr>
            </w:pPr>
            <w:r>
              <w:rPr>
                <w:rFonts w:ascii="Arial" w:cs="Arial" w:eastAsia="Arial" w:hAnsi="Arial"/>
                <w:sz w:val="15"/>
                <w:szCs w:val="15"/>
                <w:b w:val="1"/>
                <w:bCs w:val="1"/>
                <w:color w:val="auto"/>
                <w:w w:val="87"/>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5"/>
                <w:szCs w:val="15"/>
                <w:color w:val="auto"/>
              </w:rPr>
              <w:t>Working capital</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224,261</w:t>
            </w:r>
          </w:p>
        </w:tc>
        <w:tc>
          <w:tcPr>
            <w:tcW w:w="22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217,613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189,214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143,778</w:t>
            </w: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164,165</w:t>
            </w: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Inventories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802,220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690,953</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649,626</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321,933</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252,219</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5"/>
                <w:szCs w:val="15"/>
                <w:color w:val="auto"/>
              </w:rPr>
              <w:t>Assets held for sale</w:t>
            </w: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22,719</w:t>
            </w: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2,167,798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1,881,566</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1,717,701</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1,167,933</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977,297</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Floor plan notes payable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593,649</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534,520</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520,693</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237,810</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189,256</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5"/>
                <w:szCs w:val="15"/>
                <w:color w:val="auto"/>
              </w:rPr>
              <w:t>Long-term debt, including current portion</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482,781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399,664</w:t>
            </w:r>
          </w:p>
        </w:tc>
        <w:tc>
          <w:tcPr>
            <w:tcW w:w="12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328,287</w:t>
            </w: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252,129</w:t>
            </w: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209,502</w:t>
            </w: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including current portion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45,467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49,973</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45,554</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42,202</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34,444</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665,381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607,946</w:t>
            </w:r>
          </w:p>
        </w:tc>
        <w:tc>
          <w:tcPr>
            <w:tcW w:w="12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531,234</w:t>
            </w:r>
          </w:p>
        </w:tc>
        <w:tc>
          <w:tcPr>
            <w:tcW w:w="2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464,919</w:t>
            </w:r>
          </w:p>
        </w:tc>
        <w:tc>
          <w:tcPr>
            <w:tcW w:w="2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426,225</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81" w:lineRule="exact"/>
        <w:rPr>
          <w:sz w:val="20"/>
          <w:szCs w:val="20"/>
          <w:color w:val="auto"/>
        </w:rPr>
      </w:pPr>
    </w:p>
    <w:p>
      <w:pPr>
        <w:jc w:val="both"/>
        <w:ind w:right="280" w:firstLine="525"/>
        <w:spacing w:after="0" w:line="247" w:lineRule="auto"/>
        <w:rPr>
          <w:sz w:val="20"/>
          <w:szCs w:val="20"/>
          <w:color w:val="auto"/>
        </w:rPr>
      </w:pPr>
      <w:r>
        <w:rPr>
          <w:rFonts w:ascii="Arial" w:cs="Arial" w:eastAsia="Arial" w:hAnsi="Arial"/>
          <w:sz w:val="15"/>
          <w:szCs w:val="15"/>
          <w:color w:val="auto"/>
        </w:rPr>
        <w:t>The Company is a full-service, integrated retailer of commercial vehicles and related services. The Company operates one segment: the Truck Segment.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62" w:lineRule="exact"/>
        <w:rPr>
          <w:sz w:val="20"/>
          <w:szCs w:val="20"/>
          <w:color w:val="auto"/>
        </w:rPr>
      </w:pPr>
    </w:p>
    <w:p>
      <w:pPr>
        <w:jc w:val="both"/>
        <w:ind w:right="280" w:firstLine="525"/>
        <w:spacing w:after="0" w:line="277" w:lineRule="auto"/>
        <w:rPr>
          <w:sz w:val="20"/>
          <w:szCs w:val="20"/>
          <w:color w:val="auto"/>
        </w:rPr>
      </w:pPr>
      <w:r>
        <w:rPr>
          <w:rFonts w:ascii="Arial" w:cs="Arial" w:eastAsia="Arial" w:hAnsi="Arial"/>
          <w:sz w:val="14"/>
          <w:szCs w:val="14"/>
          <w:color w:val="auto"/>
        </w:rPr>
        <w:t>The Company continues to work to position itself as a service solutions provider to the commercial vehicle industry by implementing our growth strategy to expand its portfolio of aftermarket services, broadening the diversity of our commercial vehicle product offerings and extending our network of service points across the United States. The Company’s commitment to provide innovative solutions to service its customers’ business needs continues to drive its strong parts, service and body shop revenues.</w:t>
      </w:r>
    </w:p>
    <w:p>
      <w:pPr>
        <w:spacing w:after="0" w:line="142" w:lineRule="exact"/>
        <w:rPr>
          <w:sz w:val="20"/>
          <w:szCs w:val="20"/>
          <w:color w:val="auto"/>
        </w:rPr>
      </w:pPr>
    </w:p>
    <w:p>
      <w:pPr>
        <w:jc w:val="both"/>
        <w:ind w:right="280" w:firstLine="525"/>
        <w:spacing w:after="0" w:line="343" w:lineRule="auto"/>
        <w:rPr>
          <w:sz w:val="20"/>
          <w:szCs w:val="20"/>
          <w:color w:val="auto"/>
        </w:rPr>
      </w:pPr>
      <w:r>
        <w:rPr>
          <w:rFonts w:ascii="Arial" w:cs="Arial" w:eastAsia="Arial" w:hAnsi="Arial"/>
          <w:sz w:val="12"/>
          <w:szCs w:val="12"/>
          <w:color w:val="auto"/>
        </w:rPr>
        <w:t>The Company’s aftermarket capabilities include a wide range of services and products such as a fleet of mobile service units, mobile technicians who staff customers’ facilities, a proprietary line of commercial vehicle parts and accessories, new diagnostic and analysis capabilities, factory certified service for alternative fuel vehicles and assembly service for specialized bodies and equipment. As a result of the Company’s efforts to expand aftermarket capabilities, aftermarket operations now account for more than 64.4% of the Company’s total gross profits.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715"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2013 Highlights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are the more significant developments in the Company’s business during the year ended December 31, 2013:</w:t>
      </w:r>
    </w:p>
    <w:p>
      <w:pPr>
        <w:spacing w:after="0" w:line="221" w:lineRule="exact"/>
        <w:rPr>
          <w:sz w:val="20"/>
          <w:szCs w:val="20"/>
          <w:color w:val="auto"/>
        </w:rPr>
      </w:pPr>
    </w:p>
    <w:p>
      <w:pPr>
        <w:ind w:left="540" w:hanging="401"/>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Company’s gross revenues totaled $3,384.7 million in 2013, a 9.5% increase from gross revenues of $3,090.6 million in 2012.</w:t>
      </w:r>
    </w:p>
    <w:p>
      <w:pPr>
        <w:spacing w:after="0" w:line="177" w:lineRule="exact"/>
        <w:rPr>
          <w:rFonts w:ascii="Arial" w:cs="Arial" w:eastAsia="Arial" w:hAnsi="Arial"/>
          <w:sz w:val="15"/>
          <w:szCs w:val="15"/>
          <w:color w:val="auto"/>
        </w:rPr>
      </w:pPr>
    </w:p>
    <w:p>
      <w:pPr>
        <w:ind w:left="540" w:hanging="401"/>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Gross profit increased $71.2 million, or 14.2%, in 2013, compared to 2012. Gross profit as a percentage of sales increased to 16.9% in 2013 from 16.2% in 2012.</w:t>
      </w:r>
    </w:p>
    <w:p>
      <w:pPr>
        <w:spacing w:after="0" w:line="188" w:lineRule="exact"/>
        <w:rPr>
          <w:rFonts w:ascii="Arial" w:cs="Arial" w:eastAsia="Arial" w:hAnsi="Arial"/>
          <w:sz w:val="14"/>
          <w:szCs w:val="14"/>
          <w:color w:val="auto"/>
        </w:rPr>
      </w:pPr>
    </w:p>
    <w:p>
      <w:pPr>
        <w:ind w:left="540" w:hanging="401"/>
        <w:spacing w:after="0" w:line="25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Company’s Class 4-7 medium-duty sales, which accounted for 4.7% of the total U.S. market, increased 18% over 2012. Light-duty truck sales increased 43%, up 594 units over 2012.</w:t>
      </w:r>
    </w:p>
    <w:p>
      <w:pPr>
        <w:spacing w:after="0" w:line="152" w:lineRule="exact"/>
        <w:rPr>
          <w:rFonts w:ascii="Arial" w:cs="Arial" w:eastAsia="Arial" w:hAnsi="Arial"/>
          <w:sz w:val="15"/>
          <w:szCs w:val="15"/>
          <w:color w:val="auto"/>
        </w:rPr>
      </w:pPr>
    </w:p>
    <w:p>
      <w:pPr>
        <w:ind w:left="540" w:hanging="401"/>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Parts, service and body shop sales revenue was $988.3 million in 2013, compared to $817.3 million in 2012.</w:t>
      </w:r>
    </w:p>
    <w:p>
      <w:pPr>
        <w:spacing w:after="0" w:line="177" w:lineRule="exact"/>
        <w:rPr>
          <w:rFonts w:ascii="Arial" w:cs="Arial" w:eastAsia="Arial" w:hAnsi="Arial"/>
          <w:sz w:val="15"/>
          <w:szCs w:val="15"/>
          <w:color w:val="auto"/>
        </w:rPr>
      </w:pPr>
    </w:p>
    <w:p>
      <w:pPr>
        <w:ind w:left="540" w:hanging="401"/>
        <w:spacing w:after="0" w:line="277"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Selling, General and Administrative expenses increased $88.6 million, or 24.5%, in 2013, compared to 2012. The increase is due primarily to the full year effect of the Ohio acquisition that occurred in December 2012, the four significant acquisitions that occurred in the second and third quarters of 2013, the Retirement and Transition Agreement with the Company’s former Chairman, W. Marvin Rush, and the addition of resources and technology to support the Company’s growth.</w:t>
      </w:r>
    </w:p>
    <w:p>
      <w:pPr>
        <w:spacing w:after="0" w:line="141" w:lineRule="exact"/>
        <w:rPr>
          <w:rFonts w:ascii="Arial" w:cs="Arial" w:eastAsia="Arial" w:hAnsi="Arial"/>
          <w:sz w:val="14"/>
          <w:szCs w:val="14"/>
          <w:color w:val="auto"/>
        </w:rPr>
      </w:pPr>
    </w:p>
    <w:p>
      <w:pPr>
        <w:ind w:left="540" w:hanging="401"/>
        <w:spacing w:after="0" w:line="25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accelerated the implementation of its new business system to complete the implementation during the first quarter of 2015, nearly 18 months ahead of its previously estimated completion date.</w:t>
      </w:r>
    </w:p>
    <w:p>
      <w:pPr>
        <w:spacing w:after="0" w:line="152"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The Company also completed the following growth initiatives:</w:t>
      </w:r>
    </w:p>
    <w:p>
      <w:pPr>
        <w:spacing w:after="0" w:line="177" w:lineRule="exact"/>
        <w:rPr>
          <w:rFonts w:ascii="Arial" w:cs="Arial" w:eastAsia="Arial" w:hAnsi="Arial"/>
          <w:sz w:val="15"/>
          <w:szCs w:val="15"/>
          <w:color w:val="auto"/>
        </w:rPr>
      </w:pPr>
    </w:p>
    <w:p>
      <w:pPr>
        <w:ind w:left="540" w:hanging="401"/>
        <w:spacing w:after="0" w:line="25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April 2013, the Company relocated its full service dealership in Ardmore, Oklahoma to a newly constructed facility. This move doubled the Company’s service capacity in this market and expanded its natural gas and mobile service capabilities.</w:t>
      </w:r>
    </w:p>
    <w:p>
      <w:pPr>
        <w:spacing w:after="0" w:line="152" w:lineRule="exact"/>
        <w:rPr>
          <w:rFonts w:ascii="Arial" w:cs="Arial" w:eastAsia="Arial" w:hAnsi="Arial"/>
          <w:sz w:val="15"/>
          <w:szCs w:val="15"/>
          <w:color w:val="auto"/>
        </w:rPr>
      </w:pPr>
    </w:p>
    <w:p>
      <w:pPr>
        <w:jc w:val="both"/>
        <w:ind w:left="540" w:hanging="401"/>
        <w:spacing w:after="0" w:line="277"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May 2013, the Company acquired certain assets of Piedmont International Trucks, LLC and now operates commercial truck dealerships in Statesville, Hickory and Asheville, North Carolina. The acquisition included International and Idealease franchises. These locations are operating as Rush Truck Centers and offer commercial vehicles manufactured by International in addition to parts, service, body shop, truck rental and leasing, financing and insurance capabilities.</w:t>
      </w:r>
    </w:p>
    <w:p>
      <w:pPr>
        <w:spacing w:after="0" w:line="141" w:lineRule="exact"/>
        <w:rPr>
          <w:rFonts w:ascii="Arial" w:cs="Arial" w:eastAsia="Arial" w:hAnsi="Arial"/>
          <w:sz w:val="14"/>
          <w:szCs w:val="14"/>
          <w:color w:val="auto"/>
        </w:rPr>
      </w:pPr>
    </w:p>
    <w:p>
      <w:pPr>
        <w:jc w:val="both"/>
        <w:ind w:left="540" w:hanging="401"/>
        <w:spacing w:after="0" w:line="248"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July 2013, the Company acquired certain assets of Midwest Truck Sales and now operates from locations in St. Louis and St. Peters, Missouri and Olathe, Kansas. The Missouri dealerships offer truck sales, parts and service for International trucks and the Kansas location provides truck sales, parts and service capabilities for Hino and Isuzu trucks and parts and service support for Mitsubishi Fuso trucks. In July 2013, the Company also acquired certain assets of The Larson Group, Inc. and now operates Ford and Mitsubishi Fuso truck franchises at the Rush Truck Center in Cincinnati, Ohio.</w:t>
      </w:r>
    </w:p>
    <w:p>
      <w:pPr>
        <w:spacing w:after="0" w:line="161" w:lineRule="exact"/>
        <w:rPr>
          <w:rFonts w:ascii="Arial" w:cs="Arial" w:eastAsia="Arial" w:hAnsi="Arial"/>
          <w:sz w:val="15"/>
          <w:szCs w:val="15"/>
          <w:color w:val="auto"/>
        </w:rPr>
      </w:pPr>
    </w:p>
    <w:p>
      <w:pPr>
        <w:ind w:left="540" w:hanging="401"/>
        <w:spacing w:after="0" w:line="25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September 2013, the Company acquired certain assets of TransAuthority and now operates full service International dealerships in Richmond and Suffolk, Virginia and parts and service locations in Fredericksburg and Chester, Virginia. The Richmond and Norfolk locations include Idealease franchises.</w:t>
      </w:r>
    </w:p>
    <w:p>
      <w:pPr>
        <w:spacing w:after="0" w:line="152" w:lineRule="exact"/>
        <w:rPr>
          <w:rFonts w:ascii="Arial" w:cs="Arial" w:eastAsia="Arial" w:hAnsi="Arial"/>
          <w:sz w:val="15"/>
          <w:szCs w:val="15"/>
          <w:color w:val="auto"/>
        </w:rPr>
      </w:pPr>
    </w:p>
    <w:p>
      <w:pPr>
        <w:jc w:val="both"/>
        <w:ind w:left="540" w:hanging="401"/>
        <w:spacing w:after="0" w:line="251"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October 2013, the Company acquired certain assets of Prairie International Trucks and now operates International commercial truck dealerships in Champaign, Decatur, Bloomington, Quincy and Springfield, Illinois; a collision center in Champaign, Illinois and Idealease commercial lease and rental operations at the dealerships in Champaign, Decatur, Quincy and Springfield, Illinois.</w:t>
      </w:r>
    </w:p>
    <w:p>
      <w:pPr>
        <w:spacing w:after="0" w:line="158" w:lineRule="exact"/>
        <w:rPr>
          <w:rFonts w:ascii="Arial" w:cs="Arial" w:eastAsia="Arial" w:hAnsi="Arial"/>
          <w:sz w:val="15"/>
          <w:szCs w:val="15"/>
          <w:color w:val="auto"/>
        </w:rPr>
      </w:pPr>
    </w:p>
    <w:p>
      <w:pPr>
        <w:ind w:left="540" w:hanging="401"/>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December 2013, the Company opened a newly constructed full service Peterbilt dealership and PacLease commercial vehicle leasing and rental operation in Corpus Christi, Texas.</w:t>
      </w:r>
    </w:p>
    <w:p>
      <w:pPr>
        <w:spacing w:after="0" w:line="211" w:lineRule="exact"/>
        <w:rPr>
          <w:rFonts w:ascii="Arial" w:cs="Arial" w:eastAsia="Arial" w:hAnsi="Arial"/>
          <w:sz w:val="12"/>
          <w:szCs w:val="12"/>
          <w:color w:val="auto"/>
        </w:rPr>
      </w:pPr>
    </w:p>
    <w:p>
      <w:pPr>
        <w:jc w:val="both"/>
        <w:ind w:left="540" w:hanging="401"/>
        <w:spacing w:after="0" w:line="343" w:lineRule="auto"/>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February 12, 2013, the Company announced that its Board of Directors approved a stock repurchase program authorizing the Company to repurchase, from time to time, up to an aggregate of $40.0 million shares of Class A Common Stock and/or Class B Common Stock. This stock repurchase program was replaced with a new program effective February 4, 2014. As of December 31, 2013, the Company has purchased approximately $12.9 million of its Class B Common Stock under this repurchase program.</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Recent Events</w:t>
      </w:r>
    </w:p>
    <w:p>
      <w:pPr>
        <w:spacing w:after="0" w:line="181" w:lineRule="exact"/>
        <w:rPr>
          <w:sz w:val="20"/>
          <w:szCs w:val="20"/>
          <w:color w:val="auto"/>
        </w:rPr>
      </w:pPr>
    </w:p>
    <w:p>
      <w:pPr>
        <w:jc w:val="both"/>
        <w:ind w:left="540" w:hanging="401"/>
        <w:spacing w:after="0" w:line="343" w:lineRule="auto"/>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January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w:t>
      </w:r>
    </w:p>
    <w:p>
      <w:pPr>
        <w:spacing w:after="0" w:line="107" w:lineRule="exact"/>
        <w:rPr>
          <w:rFonts w:ascii="Arial" w:cs="Arial" w:eastAsia="Arial" w:hAnsi="Arial"/>
          <w:sz w:val="12"/>
          <w:szCs w:val="12"/>
          <w:color w:val="auto"/>
        </w:rPr>
      </w:pPr>
    </w:p>
    <w:p>
      <w:pPr>
        <w:jc w:val="both"/>
        <w:ind w:left="540" w:hanging="401"/>
        <w:spacing w:after="0" w:line="267"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February 4, 2014, the Company announced its Board of Directors had approved a stock repurchase program authorizing the Company to repurchase, from time to time, up to an aggregate of $40.0 million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February 3, 2015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 Outlook</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In 2014, we expect another year of record performance. We expect higher revenues in all areas of our business. Our projected increase in earnings is expected to be partially offset by higher spending on growth initiatives. We expect cash flow from our Truck Segment to remain strong.</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According to A.C.T. Research Co., LLC (“A.C.T. Research”), a truck industry data and forecasting service provider, U. S. Class 8 retail sales are estimated to reach 213,500 units in 2014, a 13.8% increase over this year. U. S. Class 4-7 retail sales are estimated to reach 193,500 units, up 7.7% over 2013.</w:t>
      </w:r>
    </w:p>
    <w:p>
      <w:pPr>
        <w:spacing w:after="0" w:line="15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As we look to 2014 and beyond, we are focused on positioning our Company for growth, while continuing to deliver strong and consistent financial results. We believe that the key challenges facing our industry during 2014 will be continued economic growth in the U.S. and the possible rise of interest rates. Industry experts believe that the primary drivers of growth in the U.S. during 2014 will be consumption, housing and non-residential investment. The final months of 2013 appeared to indicate growth in the U.S. economy, which we believe will continue into 2014.</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Performance Indicator</w:t>
      </w:r>
    </w:p>
    <w:p>
      <w:pPr>
        <w:spacing w:after="0" w:line="181"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i w:val="1"/>
          <w:iCs w:val="1"/>
          <w:color w:val="auto"/>
        </w:rPr>
        <w:t xml:space="preserve">Absorption Ratio. </w:t>
      </w:r>
      <w:r>
        <w:rPr>
          <w:rFonts w:ascii="Arial" w:cs="Arial" w:eastAsia="Arial" w:hAnsi="Arial"/>
          <w:sz w:val="12"/>
          <w:szCs w:val="12"/>
          <w:color w:val="auto"/>
        </w:rPr>
        <w:t>Management uses several performance metrics to evaluate the performance of its commercial vehicle dealerships, and considers Rush Truck Centers’ “absorption</w:t>
      </w:r>
      <w:r>
        <w:rPr>
          <w:rFonts w:ascii="Arial" w:cs="Arial" w:eastAsia="Arial" w:hAnsi="Arial"/>
          <w:sz w:val="12"/>
          <w:szCs w:val="12"/>
          <w:i w:val="1"/>
          <w:iCs w:val="1"/>
          <w:color w:val="auto"/>
        </w:rPr>
        <w:t xml:space="preserve"> </w:t>
      </w:r>
      <w:r>
        <w:rPr>
          <w:rFonts w:ascii="Arial" w:cs="Arial" w:eastAsia="Arial" w:hAnsi="Arial"/>
          <w:sz w:val="12"/>
          <w:szCs w:val="12"/>
          <w:color w:val="auto"/>
        </w:rPr>
        <w:t>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the Company’s commercial vehicle dealerships’ absorption ratio was approximately 80%. The Company has made a concerted effort to increase its absorption ratio since 1999. The Company’s commercial vehicle dealerships achieved a 114.0% absorption ratio for the year in 2013 and 115.9% absorption ratio for the year in 2012.</w:t>
      </w:r>
    </w:p>
    <w:p>
      <w:pPr>
        <w:spacing w:after="0" w:line="317"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81" w:lineRule="exact"/>
        <w:rPr>
          <w:sz w:val="20"/>
          <w:szCs w:val="20"/>
          <w:color w:val="auto"/>
        </w:rPr>
      </w:pPr>
    </w:p>
    <w:p>
      <w:pPr>
        <w:jc w:val="both"/>
        <w:ind w:firstLine="525"/>
        <w:spacing w:after="0" w:line="324" w:lineRule="auto"/>
        <w:rPr>
          <w:sz w:val="20"/>
          <w:szCs w:val="20"/>
          <w:color w:val="auto"/>
        </w:rPr>
      </w:pPr>
      <w:r>
        <w:rPr>
          <w:rFonts w:ascii="Arial" w:cs="Arial" w:eastAsia="Arial" w:hAnsi="Arial"/>
          <w:sz w:val="12"/>
          <w:szCs w:val="12"/>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Inventories</w:t>
      </w:r>
    </w:p>
    <w:p>
      <w:pPr>
        <w:spacing w:after="0" w:line="177"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Goodwill</w:t>
      </w:r>
    </w:p>
    <w:p>
      <w:pPr>
        <w:spacing w:after="0" w:line="177" w:lineRule="exact"/>
        <w:rPr>
          <w:sz w:val="20"/>
          <w:szCs w:val="20"/>
          <w:color w:val="auto"/>
        </w:rPr>
      </w:pPr>
    </w:p>
    <w:p>
      <w:pPr>
        <w:jc w:val="both"/>
        <w:ind w:right="20" w:firstLine="525"/>
        <w:spacing w:after="0" w:line="267" w:lineRule="auto"/>
        <w:rPr>
          <w:sz w:val="20"/>
          <w:szCs w:val="20"/>
          <w:color w:val="auto"/>
        </w:rPr>
      </w:pPr>
      <w:r>
        <w:rPr>
          <w:rFonts w:ascii="Arial" w:cs="Arial" w:eastAsia="Arial" w:hAnsi="Arial"/>
          <w:sz w:val="14"/>
          <w:szCs w:val="14"/>
          <w:color w:val="auto"/>
        </w:rPr>
        <w:t>Goodwill is tested for impairment by reporting unit utilizing a two-step process at least annually, or more frequently when events or changes in circumstances indicate that the asset might be impaired. The first step requires the Company to compare the fair value of the reporting unit, which is the same as the segment, to the respective carrying value. The Company considers its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49"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 to materialize, the resulting decline in its estimated fair value could result in a material impairment charge to the goodwill associated with the reporting unit.</w:t>
      </w:r>
    </w:p>
    <w:p>
      <w:pPr>
        <w:spacing w:after="0" w:line="149"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161" w:lineRule="exact"/>
        <w:rPr>
          <w:sz w:val="20"/>
          <w:szCs w:val="20"/>
          <w:color w:val="auto"/>
        </w:rPr>
      </w:pPr>
    </w:p>
    <w:p>
      <w:pPr>
        <w:jc w:val="both"/>
        <w:ind w:right="20" w:firstLine="525"/>
        <w:spacing w:after="0" w:line="383" w:lineRule="auto"/>
        <w:rPr>
          <w:sz w:val="20"/>
          <w:szCs w:val="20"/>
          <w:color w:val="auto"/>
        </w:rPr>
      </w:pPr>
      <w:r>
        <w:rPr>
          <w:rFonts w:ascii="Arial" w:cs="Arial" w:eastAsia="Arial" w:hAnsi="Arial"/>
          <w:sz w:val="12"/>
          <w:szCs w:val="12"/>
          <w:color w:val="auto"/>
        </w:rPr>
        <w:t>Goodwill was tested for impairment during the fourth quarter of 2013 and no impairment was required. The fair value of our reporting unit exceeded the carrying value of its net assets. As a result, we were not required to conduct the second step of the impairment test. The Company does not believe its reporting unit is at risk of failing step one of the impairment test.</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496" w:right="499" w:bottom="1440" w:gutter="0" w:footer="0" w:header="0"/>
        </w:sectPr>
      </w:pPr>
    </w:p>
    <w:bookmarkStart w:id="32" w:name="page33"/>
    <w:bookmarkEnd w:id="32"/>
    <w:p>
      <w:pPr>
        <w:ind w:left="540"/>
        <w:spacing w:after="0"/>
        <w:rPr>
          <w:sz w:val="20"/>
          <w:szCs w:val="20"/>
          <w:color w:val="auto"/>
        </w:rPr>
      </w:pPr>
      <w:r>
        <w:rPr>
          <w:rFonts w:ascii="Arial" w:cs="Arial" w:eastAsia="Arial" w:hAnsi="Arial"/>
          <w:sz w:val="15"/>
          <w:szCs w:val="15"/>
          <w:b w:val="1"/>
          <w:bCs w:val="1"/>
          <w:i w:val="1"/>
          <w:iCs w:val="1"/>
          <w:color w:val="auto"/>
        </w:rPr>
        <w:t>Insurance Accruals</w:t>
      </w:r>
    </w:p>
    <w:p>
      <w:pPr>
        <w:spacing w:after="0" w:line="177" w:lineRule="exact"/>
        <w:rPr>
          <w:sz w:val="20"/>
          <w:szCs w:val="20"/>
          <w:color w:val="auto"/>
        </w:rPr>
      </w:pPr>
    </w:p>
    <w:p>
      <w:pPr>
        <w:jc w:val="both"/>
        <w:ind w:right="20" w:firstLine="525"/>
        <w:spacing w:after="0" w:line="271" w:lineRule="auto"/>
        <w:rPr>
          <w:sz w:val="20"/>
          <w:szCs w:val="20"/>
          <w:color w:val="auto"/>
        </w:rPr>
      </w:pPr>
      <w:r>
        <w:rPr>
          <w:rFonts w:ascii="Arial" w:cs="Arial" w:eastAsia="Arial" w:hAnsi="Arial"/>
          <w:sz w:val="14"/>
          <w:szCs w:val="14"/>
          <w:color w:val="auto"/>
        </w:rPr>
        <w:t>The Company is partially self-insured for a portion of the claims related to its property and casualty insurance programs, requiring it to make estimates regarding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4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 A 10% change in the Company’s estimate would have changed its reserve for these losses at December 31, 2013 by $1.0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Accounting for Income Taxes</w:t>
      </w:r>
    </w:p>
    <w:p>
      <w:pPr>
        <w:spacing w:after="0" w:line="177"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47"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61"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Derivative Instruments and Hedging Activities</w:t>
      </w:r>
    </w:p>
    <w:p>
      <w:pPr>
        <w:spacing w:after="0" w:line="177"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58" w:lineRule="exact"/>
        <w:rPr>
          <w:sz w:val="20"/>
          <w:szCs w:val="20"/>
          <w:color w:val="auto"/>
        </w:rPr>
      </w:pPr>
    </w:p>
    <w:p>
      <w:pPr>
        <w:jc w:val="both"/>
        <w:ind w:right="20" w:firstLine="525"/>
        <w:spacing w:after="0" w:line="329" w:lineRule="auto"/>
        <w:rPr>
          <w:sz w:val="20"/>
          <w:szCs w:val="20"/>
          <w:color w:val="auto"/>
        </w:rPr>
      </w:pPr>
      <w:r>
        <w:rPr>
          <w:rFonts w:ascii="Arial" w:cs="Arial" w:eastAsia="Arial" w:hAnsi="Arial"/>
          <w:sz w:val="12"/>
          <w:szCs w:val="12"/>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w:t>
      </w:r>
    </w:p>
    <w:p>
      <w:pPr>
        <w:jc w:val="both"/>
        <w:ind w:right="20"/>
        <w:spacing w:after="0" w:line="279" w:lineRule="auto"/>
        <w:rPr>
          <w:sz w:val="20"/>
          <w:szCs w:val="20"/>
          <w:color w:val="auto"/>
        </w:rPr>
      </w:pPr>
      <w:r>
        <w:rPr>
          <w:rFonts w:ascii="Arial" w:cs="Arial" w:eastAsia="Arial" w:hAnsi="Arial"/>
          <w:sz w:val="15"/>
          <w:szCs w:val="15"/>
          <w:color w:val="auto"/>
        </w:rPr>
        <w:t>interest rate swap that are attributable to changes in the LIBOR rate</w:t>
      </w:r>
      <w:r>
        <w:rPr>
          <w:rFonts w:ascii="Arial" w:cs="Arial" w:eastAsia="Arial" w:hAnsi="Arial"/>
          <w:sz w:val="15"/>
          <w:szCs w:val="15"/>
          <w:b w:val="1"/>
          <w:bCs w:val="1"/>
          <w:color w:val="auto"/>
        </w:rPr>
        <w:t>.</w:t>
      </w:r>
      <w:r>
        <w:rPr>
          <w:rFonts w:ascii="Arial" w:cs="Arial" w:eastAsia="Arial" w:hAnsi="Arial"/>
          <w:sz w:val="15"/>
          <w:szCs w:val="15"/>
          <w:color w:val="auto"/>
        </w:rPr>
        <w:t xml:space="preserve"> If the interest rate swaps become ineffective, portions of these interest rate swaps would be reported as a component of interest expense in the accompanying Consolidated Statements of Income.</w:t>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New Accounting Standards</w:t>
      </w:r>
    </w:p>
    <w:p>
      <w:pPr>
        <w:spacing w:after="0" w:line="181" w:lineRule="exact"/>
        <w:rPr>
          <w:sz w:val="20"/>
          <w:szCs w:val="20"/>
          <w:color w:val="auto"/>
        </w:rPr>
      </w:pPr>
    </w:p>
    <w:p>
      <w:pPr>
        <w:jc w:val="both"/>
        <w:ind w:right="300" w:firstLine="525"/>
        <w:spacing w:after="0" w:line="269" w:lineRule="auto"/>
        <w:rPr>
          <w:sz w:val="20"/>
          <w:szCs w:val="20"/>
          <w:color w:val="auto"/>
        </w:rPr>
      </w:pPr>
      <w:r>
        <w:rPr>
          <w:rFonts w:ascii="Arial" w:cs="Arial" w:eastAsia="Arial" w:hAnsi="Arial"/>
          <w:sz w:val="14"/>
          <w:szCs w:val="14"/>
          <w:color w:val="auto"/>
        </w:rPr>
        <w:t>In July 2013, the FASB issued Accounting Standards Update No. 2013-11, "Presentation of an Unrecognized Tax Benefit When a Net Operating Loss Carryforward, a Similar Tax Loss, or a Tax Credit Carryforward Exists" ("ASU No. 2013-11"). ASU No. 2013-11 requires an entity to present an unrecognized tax benefit, or a portion of an unrecognized tax benefit, in the financial statements as a reduction to a deferred tax asset for a net operating loss carryforward, a similar tax loss, or a tax credit carryforward, with limited exceptions. ASU No. 2013-11 is effective for interim and annual periods beginning after December 15, 2013, and may be applied retrospectively. The adoption of the provisions of ASU No. 2013-11 is not expected to have a material impact on the Company's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1" w:lineRule="exact"/>
        <w:rPr>
          <w:sz w:val="20"/>
          <w:szCs w:val="20"/>
          <w:color w:val="auto"/>
        </w:rPr>
      </w:pPr>
    </w:p>
    <w:p>
      <w:pPr>
        <w:jc w:val="both"/>
        <w:ind w:right="320" w:firstLine="525"/>
        <w:spacing w:after="0" w:line="259" w:lineRule="auto"/>
        <w:rPr>
          <w:sz w:val="20"/>
          <w:szCs w:val="20"/>
          <w:color w:val="auto"/>
        </w:rPr>
      </w:pPr>
      <w:r>
        <w:rPr>
          <w:rFonts w:ascii="Arial" w:cs="Arial" w:eastAsia="Arial" w:hAnsi="Arial"/>
          <w:sz w:val="15"/>
          <w:szCs w:val="15"/>
          <w:color w:val="auto"/>
        </w:rPr>
        <w:t>The following discussion and analysis includes the Company’s historical results of operations for 2013, 2012 and 2011. The following table sets forth for the years indicated certain financial data as a percentage of total revenues:</w:t>
      </w:r>
    </w:p>
    <w:p>
      <w:pPr>
        <w:spacing w:after="0" w:line="148"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gridSpan w:val="2"/>
          </w:tcPr>
          <w:p>
            <w:pPr>
              <w:spacing w:after="0"/>
              <w:rPr>
                <w:sz w:val="14"/>
                <w:szCs w:val="14"/>
                <w:color w:val="auto"/>
              </w:rPr>
            </w:pPr>
          </w:p>
        </w:tc>
        <w:tc>
          <w:tcPr>
            <w:tcW w:w="1060" w:type="dxa"/>
            <w:vAlign w:val="bottom"/>
            <w:tcBorders>
              <w:top w:val="single" w:sz="8" w:color="auto"/>
              <w:bottom w:val="single" w:sz="8" w:color="auto"/>
            </w:tcBorders>
          </w:tcPr>
          <w:p>
            <w:pPr>
              <w:jc w:val="right"/>
              <w:ind w:right="67"/>
              <w:spacing w:after="0" w:line="168" w:lineRule="exact"/>
              <w:rPr>
                <w:sz w:val="20"/>
                <w:szCs w:val="20"/>
                <w:color w:val="auto"/>
              </w:rPr>
            </w:pPr>
            <w:r>
              <w:rPr>
                <w:rFonts w:ascii="Arial" w:cs="Arial" w:eastAsia="Arial" w:hAnsi="Arial"/>
                <w:sz w:val="15"/>
                <w:szCs w:val="15"/>
                <w:b w:val="1"/>
                <w:bCs w:val="1"/>
                <w:color w:val="auto"/>
              </w:rPr>
              <w:t>2013</w:t>
            </w:r>
          </w:p>
        </w:tc>
        <w:tc>
          <w:tcPr>
            <w:tcW w:w="5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47"/>
              <w:spacing w:after="0" w:line="168" w:lineRule="exact"/>
              <w:rPr>
                <w:sz w:val="20"/>
                <w:szCs w:val="20"/>
                <w:color w:val="auto"/>
              </w:rPr>
            </w:pPr>
            <w:r>
              <w:rPr>
                <w:rFonts w:ascii="Arial" w:cs="Arial" w:eastAsia="Arial" w:hAnsi="Arial"/>
                <w:sz w:val="15"/>
                <w:szCs w:val="15"/>
                <w:b w:val="1"/>
                <w:bCs w:val="1"/>
                <w:color w:val="auto"/>
              </w:rPr>
              <w:t>2012</w:t>
            </w: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67"/>
              <w:spacing w:after="0" w:line="168" w:lineRule="exact"/>
              <w:rPr>
                <w:sz w:val="20"/>
                <w:szCs w:val="20"/>
                <w:color w:val="auto"/>
              </w:rPr>
            </w:pPr>
            <w:r>
              <w:rPr>
                <w:rFonts w:ascii="Arial" w:cs="Arial" w:eastAsia="Arial" w:hAnsi="Arial"/>
                <w:sz w:val="15"/>
                <w:szCs w:val="15"/>
                <w:b w:val="1"/>
                <w:bCs w:val="1"/>
                <w:color w:val="auto"/>
              </w:rPr>
              <w:t>2011</w:t>
            </w: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0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660" w:type="dxa"/>
            <w:vAlign w:val="bottom"/>
            <w:gridSpan w:val="2"/>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New and used commercial vehicle sales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66.2%</w:t>
            </w: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69.6%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5"/>
                <w:szCs w:val="15"/>
                <w:color w:val="auto"/>
              </w:rPr>
              <w:t>Parts and service sales</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29.2</w:t>
            </w:r>
          </w:p>
        </w:tc>
        <w:tc>
          <w:tcPr>
            <w:tcW w:w="140" w:type="dxa"/>
            <w:vAlign w:val="bottom"/>
          </w:tcPr>
          <w:p>
            <w:pPr>
              <w:spacing w:after="0"/>
              <w:rPr>
                <w:sz w:val="15"/>
                <w:szCs w:val="15"/>
                <w:color w:val="auto"/>
              </w:rPr>
            </w:pPr>
          </w:p>
        </w:tc>
        <w:tc>
          <w:tcPr>
            <w:tcW w:w="1840" w:type="dxa"/>
            <w:vAlign w:val="bottom"/>
            <w:gridSpan w:val="3"/>
          </w:tcPr>
          <w:p>
            <w:pPr>
              <w:jc w:val="right"/>
              <w:ind w:right="220"/>
              <w:spacing w:after="0"/>
              <w:rPr>
                <w:sz w:val="20"/>
                <w:szCs w:val="20"/>
                <w:color w:val="auto"/>
              </w:rPr>
            </w:pPr>
            <w:r>
              <w:rPr>
                <w:rFonts w:ascii="Arial" w:cs="Arial" w:eastAsia="Arial" w:hAnsi="Arial"/>
                <w:sz w:val="15"/>
                <w:szCs w:val="15"/>
                <w:color w:val="auto"/>
              </w:rPr>
              <w:t>26.5</w:t>
            </w:r>
          </w:p>
        </w:tc>
        <w:tc>
          <w:tcPr>
            <w:tcW w:w="1660" w:type="dxa"/>
            <w:vAlign w:val="bottom"/>
            <w:gridSpan w:val="2"/>
          </w:tcPr>
          <w:p>
            <w:pPr>
              <w:jc w:val="right"/>
              <w:ind w:right="120"/>
              <w:spacing w:after="0"/>
              <w:rPr>
                <w:sz w:val="20"/>
                <w:szCs w:val="20"/>
                <w:color w:val="auto"/>
              </w:rPr>
            </w:pPr>
            <w:r>
              <w:rPr>
                <w:rFonts w:ascii="Arial" w:cs="Arial" w:eastAsia="Arial" w:hAnsi="Arial"/>
                <w:sz w:val="15"/>
                <w:szCs w:val="15"/>
                <w:color w:val="auto"/>
              </w:rPr>
              <w:t>26.2</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 and rental</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w:t>
            </w:r>
          </w:p>
        </w:tc>
        <w:tc>
          <w:tcPr>
            <w:tcW w:w="1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3.2</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5"/>
                <w:szCs w:val="15"/>
                <w:color w:val="auto"/>
              </w:rPr>
              <w:t>Finance and insurance</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0.5</w:t>
            </w:r>
          </w:p>
        </w:tc>
        <w:tc>
          <w:tcPr>
            <w:tcW w:w="140" w:type="dxa"/>
            <w:vAlign w:val="bottom"/>
          </w:tcPr>
          <w:p>
            <w:pPr>
              <w:spacing w:after="0"/>
              <w:rPr>
                <w:sz w:val="15"/>
                <w:szCs w:val="15"/>
                <w:color w:val="auto"/>
              </w:rPr>
            </w:pPr>
          </w:p>
        </w:tc>
        <w:tc>
          <w:tcPr>
            <w:tcW w:w="1840" w:type="dxa"/>
            <w:vAlign w:val="bottom"/>
            <w:gridSpan w:val="3"/>
          </w:tcPr>
          <w:p>
            <w:pPr>
              <w:jc w:val="right"/>
              <w:ind w:right="220"/>
              <w:spacing w:after="0"/>
              <w:rPr>
                <w:sz w:val="20"/>
                <w:szCs w:val="20"/>
                <w:color w:val="auto"/>
              </w:rPr>
            </w:pPr>
            <w:r>
              <w:rPr>
                <w:rFonts w:ascii="Arial" w:cs="Arial" w:eastAsia="Arial" w:hAnsi="Arial"/>
                <w:sz w:val="15"/>
                <w:szCs w:val="15"/>
                <w:color w:val="auto"/>
              </w:rPr>
              <w:t>0.4</w:t>
            </w:r>
          </w:p>
        </w:tc>
        <w:tc>
          <w:tcPr>
            <w:tcW w:w="154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0.3</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960" w:type="dxa"/>
            <w:vAlign w:val="bottom"/>
            <w:gridSpan w:val="2"/>
          </w:tcPr>
          <w:p>
            <w:pPr>
              <w:spacing w:after="0" w:line="166" w:lineRule="exact"/>
              <w:rPr>
                <w:sz w:val="20"/>
                <w:szCs w:val="20"/>
                <w:color w:val="auto"/>
              </w:rPr>
            </w:pPr>
            <w:r>
              <w:rPr>
                <w:rFonts w:ascii="Arial" w:cs="Arial" w:eastAsia="Arial" w:hAnsi="Arial"/>
                <w:sz w:val="15"/>
                <w:szCs w:val="15"/>
                <w:color w:val="auto"/>
              </w:rPr>
              <w:t>Total revenues</w:t>
            </w: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100.0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100.0</w:t>
            </w:r>
          </w:p>
        </w:tc>
        <w:tc>
          <w:tcPr>
            <w:tcW w:w="220" w:type="dxa"/>
            <w:vAlign w:val="bottom"/>
          </w:tcPr>
          <w:p>
            <w:pPr>
              <w:spacing w:after="0"/>
              <w:rPr>
                <w:sz w:val="14"/>
                <w:szCs w:val="14"/>
                <w:color w:val="auto"/>
              </w:rPr>
            </w:pPr>
          </w:p>
        </w:tc>
        <w:tc>
          <w:tcPr>
            <w:tcW w:w="15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100.0</w:t>
            </w: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00" w:type="dxa"/>
            <w:vAlign w:val="bottom"/>
            <w:gridSpan w:val="2"/>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spacing w:after="0"/>
              <w:rPr>
                <w:sz w:val="14"/>
                <w:szCs w:val="14"/>
                <w:color w:val="auto"/>
              </w:rPr>
            </w:pPr>
          </w:p>
        </w:tc>
        <w:tc>
          <w:tcPr>
            <w:tcW w:w="1660" w:type="dxa"/>
            <w:vAlign w:val="bottom"/>
            <w:gridSpan w:val="2"/>
            <w:shd w:val="clear" w:color="auto" w:fill="CCEEFF"/>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gridSpan w:val="2"/>
          </w:tcPr>
          <w:p>
            <w:pPr>
              <w:spacing w:after="0"/>
              <w:rPr>
                <w:sz w:val="20"/>
                <w:szCs w:val="20"/>
                <w:color w:val="auto"/>
              </w:rPr>
            </w:pPr>
            <w:r>
              <w:rPr>
                <w:rFonts w:ascii="Arial" w:cs="Arial" w:eastAsia="Arial" w:hAnsi="Arial"/>
                <w:sz w:val="15"/>
                <w:szCs w:val="15"/>
                <w:color w:val="auto"/>
              </w:rPr>
              <w:t>Cost of products sold</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w:t>
            </w:r>
          </w:p>
        </w:tc>
        <w:tc>
          <w:tcPr>
            <w:tcW w:w="22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83.6</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Gross profit</w:t>
            </w:r>
          </w:p>
        </w:tc>
        <w:tc>
          <w:tcPr>
            <w:tcW w:w="10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right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16.9</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16.2</w:t>
            </w:r>
          </w:p>
        </w:tc>
        <w:tc>
          <w:tcPr>
            <w:tcW w:w="2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16.4</w:t>
            </w:r>
          </w:p>
        </w:tc>
        <w:tc>
          <w:tcPr>
            <w:tcW w:w="120" w:type="dxa"/>
            <w:vAlign w:val="bottom"/>
            <w:tcBorders>
              <w:bottom w:val="single" w:sz="8" w:color="CCEEFF"/>
            </w:tcBorders>
            <w:shd w:val="clear" w:color="auto" w:fill="CCEEFF"/>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0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13.3</w:t>
            </w:r>
          </w:p>
        </w:tc>
        <w:tc>
          <w:tcPr>
            <w:tcW w:w="14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11.7</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gridSpan w:val="3"/>
          </w:tcPr>
          <w:p>
            <w:pPr>
              <w:spacing w:after="0"/>
              <w:rPr>
                <w:sz w:val="20"/>
                <w:szCs w:val="20"/>
                <w:color w:val="auto"/>
              </w:rPr>
            </w:pPr>
            <w:r>
              <w:rPr>
                <w:rFonts w:ascii="Arial" w:cs="Arial" w:eastAsia="Arial" w:hAnsi="Arial"/>
                <w:sz w:val="15"/>
                <w:szCs w:val="15"/>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0.9</w:t>
            </w:r>
          </w:p>
        </w:tc>
        <w:tc>
          <w:tcPr>
            <w:tcW w:w="140" w:type="dxa"/>
            <w:vAlign w:val="bottom"/>
          </w:tcPr>
          <w:p>
            <w:pPr>
              <w:spacing w:after="0"/>
              <w:rPr>
                <w:sz w:val="15"/>
                <w:szCs w:val="15"/>
                <w:color w:val="auto"/>
              </w:rPr>
            </w:pPr>
          </w:p>
        </w:tc>
        <w:tc>
          <w:tcPr>
            <w:tcW w:w="1840" w:type="dxa"/>
            <w:vAlign w:val="bottom"/>
            <w:gridSpan w:val="3"/>
          </w:tcPr>
          <w:p>
            <w:pPr>
              <w:jc w:val="right"/>
              <w:ind w:right="220"/>
              <w:spacing w:after="0"/>
              <w:rPr>
                <w:sz w:val="20"/>
                <w:szCs w:val="20"/>
                <w:color w:val="auto"/>
              </w:rPr>
            </w:pPr>
            <w:r>
              <w:rPr>
                <w:rFonts w:ascii="Arial" w:cs="Arial" w:eastAsia="Arial" w:hAnsi="Arial"/>
                <w:sz w:val="15"/>
                <w:szCs w:val="15"/>
                <w:color w:val="auto"/>
              </w:rPr>
              <w:t>0.8</w:t>
            </w:r>
          </w:p>
        </w:tc>
        <w:tc>
          <w:tcPr>
            <w:tcW w:w="154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Operating income</w:t>
            </w:r>
          </w:p>
        </w:tc>
        <w:tc>
          <w:tcPr>
            <w:tcW w:w="10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right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3.7</w:t>
            </w:r>
          </w:p>
        </w:tc>
        <w:tc>
          <w:tcPr>
            <w:tcW w:w="220" w:type="dxa"/>
            <w:vAlign w:val="bottom"/>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gridSpan w:val="3"/>
          </w:tcPr>
          <w:p>
            <w:pPr>
              <w:spacing w:after="0"/>
              <w:rPr>
                <w:sz w:val="20"/>
                <w:szCs w:val="20"/>
                <w:color w:val="auto"/>
              </w:rPr>
            </w:pPr>
            <w:r>
              <w:rPr>
                <w:rFonts w:ascii="Arial" w:cs="Arial" w:eastAsia="Arial" w:hAnsi="Arial"/>
                <w:sz w:val="15"/>
                <w:szCs w:val="15"/>
                <w:color w:val="auto"/>
              </w:rPr>
              <w:t>Interest expense, net</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0.3</w:t>
            </w:r>
          </w:p>
        </w:tc>
        <w:tc>
          <w:tcPr>
            <w:tcW w:w="140" w:type="dxa"/>
            <w:vAlign w:val="bottom"/>
          </w:tcPr>
          <w:p>
            <w:pPr>
              <w:spacing w:after="0"/>
              <w:rPr>
                <w:sz w:val="15"/>
                <w:szCs w:val="15"/>
                <w:color w:val="auto"/>
              </w:rPr>
            </w:pPr>
          </w:p>
        </w:tc>
        <w:tc>
          <w:tcPr>
            <w:tcW w:w="1840" w:type="dxa"/>
            <w:vAlign w:val="bottom"/>
            <w:gridSpan w:val="3"/>
          </w:tcPr>
          <w:p>
            <w:pPr>
              <w:jc w:val="right"/>
              <w:ind w:right="220"/>
              <w:spacing w:after="0"/>
              <w:rPr>
                <w:sz w:val="20"/>
                <w:szCs w:val="20"/>
                <w:color w:val="auto"/>
              </w:rPr>
            </w:pPr>
            <w:r>
              <w:rPr>
                <w:rFonts w:ascii="Arial" w:cs="Arial" w:eastAsia="Arial" w:hAnsi="Arial"/>
                <w:sz w:val="15"/>
                <w:szCs w:val="15"/>
                <w:color w:val="auto"/>
              </w:rPr>
              <w:t>0.4</w:t>
            </w:r>
          </w:p>
        </w:tc>
        <w:tc>
          <w:tcPr>
            <w:tcW w:w="154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Income from continuing operations before income taxes</w:t>
            </w:r>
          </w:p>
        </w:tc>
        <w:tc>
          <w:tcPr>
            <w:tcW w:w="10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right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2.4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3.3</w:t>
            </w:r>
          </w:p>
        </w:tc>
        <w:tc>
          <w:tcPr>
            <w:tcW w:w="220" w:type="dxa"/>
            <w:vAlign w:val="bottom"/>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income</w:t>
            </w:r>
          </w:p>
        </w:tc>
        <w:tc>
          <w:tcPr>
            <w:tcW w:w="10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b w:val="1"/>
                <w:bCs w:val="1"/>
                <w:color w:val="auto"/>
              </w:rPr>
              <w:t>1.5%</w:t>
            </w:r>
          </w:p>
        </w:tc>
        <w:tc>
          <w:tcPr>
            <w:tcW w:w="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2.0%</w:t>
            </w:r>
          </w:p>
        </w:tc>
        <w:tc>
          <w:tcPr>
            <w:tcW w:w="16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2.1%</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1407"/>
              <w:spacing w:after="0"/>
              <w:rPr>
                <w:sz w:val="20"/>
                <w:szCs w:val="20"/>
                <w:color w:val="auto"/>
              </w:rPr>
            </w:pPr>
            <w:r>
              <w:rPr>
                <w:rFonts w:ascii="Arial" w:cs="Arial" w:eastAsia="Arial" w:hAnsi="Arial"/>
                <w:sz w:val="15"/>
                <w:szCs w:val="15"/>
                <w:color w:val="auto"/>
                <w:w w:val="71"/>
              </w:rPr>
              <w:t>31</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4" w:name="page35"/>
    <w:bookmarkEnd w:id="34"/>
    <w:p>
      <w:pPr>
        <w:jc w:val="both"/>
        <w:ind w:right="20" w:firstLine="707"/>
        <w:spacing w:after="0" w:line="259" w:lineRule="auto"/>
        <w:rPr>
          <w:sz w:val="20"/>
          <w:szCs w:val="20"/>
          <w:color w:val="auto"/>
        </w:rPr>
      </w:pPr>
      <w:r>
        <w:rPr>
          <w:rFonts w:ascii="Arial" w:cs="Arial" w:eastAsia="Arial" w:hAnsi="Arial"/>
          <w:sz w:val="15"/>
          <w:szCs w:val="15"/>
          <w:color w:val="auto"/>
        </w:rPr>
        <w:t>The following table sets forth the unit sales and revenue for new heavy-duty, new medium-duty, new light-duty and used commercial vehicles and the absorption ratio for the years indicated (revenue in millions):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rPr>
              <w:t>% Change</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2"/>
        </w:trPr>
        <w:tc>
          <w:tcPr>
            <w:tcW w:w="3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left="307"/>
              <w:spacing w:after="0" w:line="152" w:lineRule="exact"/>
              <w:rPr>
                <w:sz w:val="20"/>
                <w:szCs w:val="20"/>
                <w:color w:val="auto"/>
              </w:rPr>
            </w:pPr>
            <w:r>
              <w:rPr>
                <w:rFonts w:ascii="Arial" w:cs="Arial" w:eastAsia="Arial" w:hAnsi="Arial"/>
                <w:sz w:val="15"/>
                <w:szCs w:val="15"/>
                <w:b w:val="1"/>
                <w:bCs w:val="1"/>
                <w:color w:val="auto"/>
                <w:w w:val="89"/>
              </w:rPr>
              <w:t>2013</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center"/>
              <w:ind w:right="287"/>
              <w:spacing w:after="0" w:line="152" w:lineRule="exact"/>
              <w:rPr>
                <w:sz w:val="20"/>
                <w:szCs w:val="20"/>
                <w:color w:val="auto"/>
              </w:rPr>
            </w:pPr>
            <w:r>
              <w:rPr>
                <w:rFonts w:ascii="Arial" w:cs="Arial" w:eastAsia="Arial" w:hAnsi="Arial"/>
                <w:sz w:val="15"/>
                <w:szCs w:val="15"/>
                <w:b w:val="1"/>
                <w:bCs w:val="1"/>
                <w:color w:val="auto"/>
                <w:w w:val="83"/>
              </w:rPr>
              <w:t>2012</w:t>
            </w:r>
          </w:p>
        </w:tc>
        <w:tc>
          <w:tcPr>
            <w:tcW w:w="120" w:type="dxa"/>
            <w:vAlign w:val="bottom"/>
          </w:tcPr>
          <w:p>
            <w:pPr>
              <w:spacing w:after="0"/>
              <w:rPr>
                <w:sz w:val="13"/>
                <w:szCs w:val="13"/>
                <w:color w:val="auto"/>
              </w:rPr>
            </w:pPr>
          </w:p>
        </w:tc>
      </w:tr>
      <w:tr>
        <w:trPr>
          <w:trHeight w:val="175"/>
        </w:trPr>
        <w:tc>
          <w:tcPr>
            <w:tcW w:w="3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ind w:left="307"/>
              <w:spacing w:after="0"/>
              <w:rPr>
                <w:sz w:val="20"/>
                <w:szCs w:val="20"/>
                <w:color w:val="auto"/>
              </w:rPr>
            </w:pPr>
            <w:r>
              <w:rPr>
                <w:rFonts w:ascii="Arial" w:cs="Arial" w:eastAsia="Arial" w:hAnsi="Arial"/>
                <w:sz w:val="15"/>
                <w:szCs w:val="15"/>
                <w:b w:val="1"/>
                <w:bCs w:val="1"/>
                <w:color w:val="auto"/>
                <w:w w:val="83"/>
              </w:rPr>
              <w:t>vs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71"/>
              </w:rPr>
              <w:t>vs</w:t>
            </w:r>
          </w:p>
        </w:tc>
      </w:tr>
      <w:tr>
        <w:trPr>
          <w:trHeight w:val="188"/>
        </w:trPr>
        <w:tc>
          <w:tcPr>
            <w:tcW w:w="3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2012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2011</w:t>
            </w:r>
          </w:p>
        </w:tc>
        <w:tc>
          <w:tcPr>
            <w:tcW w:w="240" w:type="dxa"/>
            <w:vAlign w:val="bottom"/>
          </w:tcPr>
          <w:p>
            <w:pPr>
              <w:spacing w:after="0"/>
              <w:rPr>
                <w:sz w:val="16"/>
                <w:szCs w:val="16"/>
                <w:color w:val="auto"/>
              </w:rPr>
            </w:pPr>
          </w:p>
        </w:tc>
        <w:tc>
          <w:tcPr>
            <w:tcW w:w="840" w:type="dxa"/>
            <w:vAlign w:val="bottom"/>
            <w:tcBorders>
              <w:bottom w:val="single" w:sz="8" w:color="auto"/>
            </w:tcBorders>
          </w:tcPr>
          <w:p>
            <w:pPr>
              <w:jc w:val="center"/>
              <w:ind w:left="307"/>
              <w:spacing w:after="0"/>
              <w:rPr>
                <w:sz w:val="20"/>
                <w:szCs w:val="20"/>
                <w:color w:val="auto"/>
              </w:rPr>
            </w:pPr>
            <w:r>
              <w:rPr>
                <w:rFonts w:ascii="Arial" w:cs="Arial" w:eastAsia="Arial" w:hAnsi="Arial"/>
                <w:sz w:val="15"/>
                <w:szCs w:val="15"/>
                <w:b w:val="1"/>
                <w:bCs w:val="1"/>
                <w:color w:val="auto"/>
                <w:w w:val="89"/>
              </w:rPr>
              <w:t>2012</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7"/>
              <w:spacing w:after="0"/>
              <w:rPr>
                <w:sz w:val="20"/>
                <w:szCs w:val="20"/>
                <w:color w:val="auto"/>
              </w:rPr>
            </w:pPr>
            <w:r>
              <w:rPr>
                <w:rFonts w:ascii="Arial" w:cs="Arial" w:eastAsia="Arial" w:hAnsi="Arial"/>
                <w:sz w:val="15"/>
                <w:szCs w:val="15"/>
                <w:b w:val="1"/>
                <w:bCs w:val="1"/>
                <w:color w:val="auto"/>
                <w:w w:val="83"/>
              </w:rPr>
              <w:t>2011</w:t>
            </w:r>
          </w:p>
        </w:tc>
        <w:tc>
          <w:tcPr>
            <w:tcW w:w="120" w:type="dxa"/>
            <w:vAlign w:val="bottom"/>
          </w:tcPr>
          <w:p>
            <w:pPr>
              <w:spacing w:after="0"/>
              <w:rPr>
                <w:sz w:val="16"/>
                <w:szCs w:val="16"/>
                <w:color w:val="auto"/>
              </w:rPr>
            </w:pPr>
          </w:p>
        </w:tc>
      </w:tr>
      <w:tr>
        <w:trPr>
          <w:trHeight w:val="168"/>
        </w:trPr>
        <w:tc>
          <w:tcPr>
            <w:tcW w:w="314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Vehicle unit sales: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5"/>
        </w:trPr>
        <w:tc>
          <w:tcPr>
            <w:tcW w:w="3140" w:type="dxa"/>
            <w:vAlign w:val="bottom"/>
          </w:tcPr>
          <w:p>
            <w:pPr>
              <w:spacing w:after="0"/>
              <w:rPr>
                <w:sz w:val="20"/>
                <w:szCs w:val="20"/>
                <w:color w:val="auto"/>
              </w:rPr>
            </w:pPr>
            <w:r>
              <w:rPr>
                <w:rFonts w:ascii="Arial" w:cs="Arial" w:eastAsia="Arial" w:hAnsi="Arial"/>
                <w:sz w:val="15"/>
                <w:szCs w:val="15"/>
                <w:color w:val="auto"/>
              </w:rPr>
              <w:t>New heavy-duty vehicles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9,545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9,925</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9,052</w:t>
            </w:r>
          </w:p>
        </w:tc>
        <w:tc>
          <w:tcPr>
            <w:tcW w:w="8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-3.8%</w:t>
            </w:r>
          </w:p>
        </w:tc>
        <w:tc>
          <w:tcPr>
            <w:tcW w:w="3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9.6%</w:t>
            </w:r>
          </w:p>
        </w:tc>
      </w:tr>
      <w:tr>
        <w:trPr>
          <w:trHeight w:val="175"/>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New medium-duty vehicles</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8,441</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7,126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5,469</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18.5%</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30.3%</w:t>
            </w:r>
          </w:p>
        </w:tc>
      </w:tr>
      <w:tr>
        <w:trPr>
          <w:trHeight w:val="175"/>
        </w:trPr>
        <w:tc>
          <w:tcPr>
            <w:tcW w:w="3140" w:type="dxa"/>
            <w:vAlign w:val="bottom"/>
          </w:tcPr>
          <w:p>
            <w:pPr>
              <w:spacing w:after="0"/>
              <w:rPr>
                <w:sz w:val="20"/>
                <w:szCs w:val="20"/>
                <w:color w:val="auto"/>
              </w:rPr>
            </w:pPr>
            <w:r>
              <w:rPr>
                <w:rFonts w:ascii="Arial" w:cs="Arial" w:eastAsia="Arial" w:hAnsi="Arial"/>
                <w:sz w:val="15"/>
                <w:szCs w:val="15"/>
                <w:color w:val="auto"/>
              </w:rPr>
              <w:t>New light-duty vehicles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1,945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1,376</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1,019</w:t>
            </w:r>
          </w:p>
        </w:tc>
        <w:tc>
          <w:tcPr>
            <w:tcW w:w="8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41.4%</w:t>
            </w:r>
          </w:p>
        </w:tc>
        <w:tc>
          <w:tcPr>
            <w:tcW w:w="3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35.0%</w:t>
            </w:r>
          </w:p>
        </w:tc>
      </w:tr>
      <w:tr>
        <w:trPr>
          <w:trHeight w:val="20"/>
        </w:trPr>
        <w:tc>
          <w:tcPr>
            <w:tcW w:w="3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314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Total new vehicle unit sales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w w:val="91"/>
              </w:rPr>
              <w:t>19,931</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18,427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15,540</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8.2%</w:t>
            </w:r>
          </w:p>
        </w:tc>
        <w:tc>
          <w:tcPr>
            <w:tcW w:w="3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18.6%</w:t>
            </w:r>
          </w:p>
        </w:tc>
      </w:tr>
      <w:tr>
        <w:trPr>
          <w:trHeight w:val="175"/>
        </w:trPr>
        <w:tc>
          <w:tcPr>
            <w:tcW w:w="3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r>
      <w:tr>
        <w:trPr>
          <w:trHeight w:val="175"/>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Used vehicles sales</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6,405</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4,744</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4,649</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35.0%</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75"/>
        </w:trPr>
        <w:tc>
          <w:tcPr>
            <w:tcW w:w="3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Vehicle revenue:</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3140" w:type="dxa"/>
            <w:vAlign w:val="bottom"/>
          </w:tcPr>
          <w:p>
            <w:pPr>
              <w:spacing w:after="0"/>
              <w:rPr>
                <w:sz w:val="20"/>
                <w:szCs w:val="20"/>
                <w:color w:val="auto"/>
              </w:rPr>
            </w:pPr>
            <w:r>
              <w:rPr>
                <w:rFonts w:ascii="Arial" w:cs="Arial" w:eastAsia="Arial" w:hAnsi="Arial"/>
                <w:sz w:val="15"/>
                <w:szCs w:val="15"/>
                <w:color w:val="auto"/>
              </w:rPr>
              <w:t>New heavy-duty vehicles</w:t>
            </w:r>
          </w:p>
        </w:tc>
        <w:tc>
          <w:tcPr>
            <w:tcW w:w="760" w:type="dxa"/>
            <w:vAlign w:val="bottom"/>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w w:val="83"/>
              </w:rPr>
              <w:t>1,304.9</w:t>
            </w:r>
          </w:p>
        </w:tc>
        <w:tc>
          <w:tcPr>
            <w:tcW w:w="26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1,410.3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1,186.5</w:t>
            </w:r>
          </w:p>
        </w:tc>
        <w:tc>
          <w:tcPr>
            <w:tcW w:w="8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-7.5%</w:t>
            </w:r>
          </w:p>
        </w:tc>
        <w:tc>
          <w:tcPr>
            <w:tcW w:w="3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18.9%</w:t>
            </w:r>
          </w:p>
        </w:tc>
      </w:tr>
      <w:tr>
        <w:trPr>
          <w:trHeight w:val="175"/>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New medium-duty vehicles</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604.9</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479.5</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380.7</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26.2%</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26.0%</w:t>
            </w:r>
          </w:p>
        </w:tc>
      </w:tr>
      <w:tr>
        <w:trPr>
          <w:trHeight w:val="175"/>
        </w:trPr>
        <w:tc>
          <w:tcPr>
            <w:tcW w:w="3140" w:type="dxa"/>
            <w:vAlign w:val="bottom"/>
          </w:tcPr>
          <w:p>
            <w:pPr>
              <w:spacing w:after="0"/>
              <w:rPr>
                <w:sz w:val="20"/>
                <w:szCs w:val="20"/>
                <w:color w:val="auto"/>
              </w:rPr>
            </w:pPr>
            <w:r>
              <w:rPr>
                <w:rFonts w:ascii="Arial" w:cs="Arial" w:eastAsia="Arial" w:hAnsi="Arial"/>
                <w:sz w:val="15"/>
                <w:szCs w:val="15"/>
                <w:color w:val="auto"/>
              </w:rPr>
              <w:t>New light-duty vehicles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63.2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45.4</w:t>
            </w:r>
          </w:p>
        </w:tc>
        <w:tc>
          <w:tcPr>
            <w:tcW w:w="2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33.3</w:t>
            </w:r>
          </w:p>
        </w:tc>
        <w:tc>
          <w:tcPr>
            <w:tcW w:w="8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39.2%</w:t>
            </w:r>
          </w:p>
        </w:tc>
        <w:tc>
          <w:tcPr>
            <w:tcW w:w="3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36.3%</w:t>
            </w:r>
          </w:p>
        </w:tc>
      </w:tr>
      <w:tr>
        <w:trPr>
          <w:trHeight w:val="20"/>
        </w:trPr>
        <w:tc>
          <w:tcPr>
            <w:tcW w:w="3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314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Total new vehicle revenue</w:t>
            </w: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w w:val="83"/>
              </w:rPr>
              <w:t>1,973.0</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7"/>
              <w:spacing w:after="0" w:line="166"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1,935.2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7"/>
              <w:spacing w:after="0" w:line="166"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97"/>
              </w:rPr>
              <w:t>1,600.51,600.5</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2.0%</w:t>
            </w:r>
          </w:p>
        </w:tc>
        <w:tc>
          <w:tcPr>
            <w:tcW w:w="3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20.9%</w:t>
            </w:r>
          </w:p>
        </w:tc>
      </w:tr>
      <w:tr>
        <w:trPr>
          <w:trHeight w:val="175"/>
        </w:trPr>
        <w:tc>
          <w:tcPr>
            <w:tcW w:w="3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r>
      <w:tr>
        <w:trPr>
          <w:trHeight w:val="175"/>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Used vehicle revenue</w:t>
            </w: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252.4</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197.6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193.3</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27.7%</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175"/>
        </w:trPr>
        <w:tc>
          <w:tcPr>
            <w:tcW w:w="3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r>
      <w:tr>
        <w:trPr>
          <w:trHeight w:val="175"/>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vehicle revenue:(1)</w:t>
            </w: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14.4</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8.2</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-12.7%</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101.2%</w:t>
            </w:r>
          </w:p>
        </w:tc>
      </w:tr>
      <w:tr>
        <w:trPr>
          <w:trHeight w:val="175"/>
        </w:trPr>
        <w:tc>
          <w:tcPr>
            <w:tcW w:w="3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r>
      <w:tr>
        <w:trPr>
          <w:trHeight w:val="175"/>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Dealership absorption ratio:</w:t>
            </w: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114.0%</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115.9%</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113.9%</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r>
    </w:tbl>
    <w:p>
      <w:pPr>
        <w:spacing w:after="0" w:line="200" w:lineRule="exact"/>
        <w:rPr>
          <w:sz w:val="20"/>
          <w:szCs w:val="20"/>
          <w:color w:val="auto"/>
        </w:rPr>
      </w:pPr>
    </w:p>
    <w:p>
      <w:pPr>
        <w:spacing w:after="0" w:line="216"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(1)  Includes sales of truck bodies, trailers and other new equipment.</w:t>
      </w:r>
    </w:p>
    <w:p>
      <w:pPr>
        <w:spacing w:after="0" w:line="200" w:lineRule="exact"/>
        <w:rPr>
          <w:sz w:val="20"/>
          <w:szCs w:val="20"/>
          <w:color w:val="auto"/>
        </w:rPr>
      </w:pPr>
    </w:p>
    <w:p>
      <w:pPr>
        <w:spacing w:after="0" w:line="20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following table sets forth for the periods indicated the percent of gross profit by revenue source: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4800" w:type="dxa"/>
            <w:vAlign w:val="bottom"/>
            <w:gridSpan w:val="2"/>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2013</w:t>
            </w:r>
          </w:p>
        </w:tc>
        <w:tc>
          <w:tcPr>
            <w:tcW w:w="4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2012</w:t>
            </w:r>
          </w:p>
        </w:tc>
        <w:tc>
          <w:tcPr>
            <w:tcW w:w="4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b w:val="1"/>
                <w:bCs w:val="1"/>
                <w:color w:val="auto"/>
              </w:rPr>
              <w:t>2011</w:t>
            </w:r>
          </w:p>
        </w:tc>
        <w:tc>
          <w:tcPr>
            <w:tcW w:w="14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488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5"/>
                <w:szCs w:val="15"/>
                <w:color w:val="auto"/>
              </w:rPr>
              <w:t>Gross Profit:</w:t>
            </w:r>
          </w:p>
        </w:tc>
        <w:tc>
          <w:tcPr>
            <w:tcW w:w="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5760" w:type="dxa"/>
            <w:vAlign w:val="bottom"/>
            <w:gridSpan w:val="3"/>
          </w:tcPr>
          <w:p>
            <w:pPr>
              <w:spacing w:after="0"/>
              <w:rPr>
                <w:sz w:val="20"/>
                <w:szCs w:val="20"/>
                <w:color w:val="auto"/>
              </w:rPr>
            </w:pPr>
            <w:r>
              <w:rPr>
                <w:rFonts w:ascii="Arial" w:cs="Arial" w:eastAsia="Arial" w:hAnsi="Arial"/>
                <w:sz w:val="15"/>
                <w:szCs w:val="15"/>
                <w:color w:val="auto"/>
              </w:rPr>
              <w:t>New and used commercial vehicle sales</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27.3%</w:t>
            </w:r>
          </w:p>
        </w:tc>
        <w:tc>
          <w:tcPr>
            <w:tcW w:w="9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28.7%</w:t>
            </w: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29.0%</w:t>
            </w:r>
          </w:p>
        </w:tc>
      </w:tr>
      <w:tr>
        <w:trPr>
          <w:trHeight w:val="175"/>
        </w:trPr>
        <w:tc>
          <w:tcPr>
            <w:tcW w:w="20" w:type="dxa"/>
            <w:vAlign w:val="bottom"/>
          </w:tcPr>
          <w:p>
            <w:pPr>
              <w:spacing w:after="0"/>
              <w:rPr>
                <w:sz w:val="15"/>
                <w:szCs w:val="15"/>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Parts and service sales</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64.4</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4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760" w:type="dxa"/>
            <w:vAlign w:val="bottom"/>
            <w:gridSpan w:val="3"/>
          </w:tcPr>
          <w:p>
            <w:pPr>
              <w:spacing w:after="0"/>
              <w:rPr>
                <w:sz w:val="20"/>
                <w:szCs w:val="20"/>
                <w:color w:val="auto"/>
              </w:rPr>
            </w:pPr>
            <w:r>
              <w:rPr>
                <w:rFonts w:ascii="Arial" w:cs="Arial" w:eastAsia="Arial" w:hAnsi="Arial"/>
                <w:sz w:val="15"/>
                <w:szCs w:val="15"/>
                <w:color w:val="auto"/>
              </w:rPr>
              <w:t>Lease and rental</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3.6</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3.2</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Finance and insurance</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40" w:type="dxa"/>
            <w:vAlign w:val="bottom"/>
            <w:shd w:val="clear" w:color="auto" w:fill="CCEEFF"/>
          </w:tcPr>
          <w:p>
            <w:pPr>
              <w:spacing w:after="0"/>
              <w:rPr>
                <w:sz w:val="15"/>
                <w:szCs w:val="15"/>
                <w:color w:val="auto"/>
              </w:rPr>
            </w:pPr>
          </w:p>
        </w:tc>
      </w:tr>
      <w:tr>
        <w:trPr>
          <w:trHeight w:val="175"/>
        </w:trPr>
        <w:tc>
          <w:tcPr>
            <w:tcW w:w="4800" w:type="dxa"/>
            <w:vAlign w:val="bottom"/>
            <w:gridSpan w:val="2"/>
          </w:tcPr>
          <w:p>
            <w:pPr>
              <w:spacing w:after="0"/>
              <w:rPr>
                <w:sz w:val="20"/>
                <w:szCs w:val="20"/>
                <w:color w:val="auto"/>
              </w:rPr>
            </w:pPr>
            <w:r>
              <w:rPr>
                <w:rFonts w:ascii="Arial" w:cs="Arial" w:eastAsia="Arial" w:hAnsi="Arial"/>
                <w:sz w:val="15"/>
                <w:szCs w:val="15"/>
                <w:color w:val="auto"/>
              </w:rPr>
              <w:t>Other</w:t>
            </w:r>
          </w:p>
        </w:tc>
        <w:tc>
          <w:tcPr>
            <w:tcW w:w="980" w:type="dxa"/>
            <w:vAlign w:val="bottom"/>
            <w:tcBorders>
              <w:bottom w:val="single" w:sz="8" w:color="auto"/>
            </w:tcBorders>
            <w:gridSpan w:val="2"/>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w:t>
            </w:r>
          </w:p>
        </w:tc>
        <w:tc>
          <w:tcPr>
            <w:tcW w:w="2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47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Total gross profit</w:t>
            </w:r>
          </w:p>
        </w:tc>
        <w:tc>
          <w:tcPr>
            <w:tcW w:w="980" w:type="dxa"/>
            <w:vAlign w:val="bottom"/>
            <w:gridSpan w:val="2"/>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b w:val="1"/>
                <w:bCs w:val="1"/>
                <w:color w:val="auto"/>
              </w:rPr>
              <w:t>100.0%</w:t>
            </w:r>
          </w:p>
        </w:tc>
        <w:tc>
          <w:tcPr>
            <w:tcW w:w="9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100.0%</w:t>
            </w:r>
          </w:p>
        </w:tc>
        <w:tc>
          <w:tcPr>
            <w:tcW w:w="1580" w:type="dxa"/>
            <w:vAlign w:val="bottom"/>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w:t>
      </w:r>
    </w:p>
    <w:p>
      <w:pPr>
        <w:spacing w:after="0" w:line="181"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We currently operate in the commercial vehicle market. There has historically been a high correlation between new product sales in the commercial vehicle market and the rate of change in U.S. industrial production and the U.S. gross domestic product.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Heavy-Duty Truck Market</w:t>
      </w:r>
    </w:p>
    <w:p>
      <w:pPr>
        <w:spacing w:after="0" w:line="177"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The U.S. retail heavy-duty truck market is affected by a number of factors relating to general economic conditions, including fuel prices, government regulation, interest rate fluctuations, economic recessions, other methods of transportation and customer business cycles. Accordingly, unit sales of new commercial vehicles have historically been subject to substantial cyclical variation based on general economic conditions. According to data published by A.C.T. Research, in recent years total U.S. retail sales of new Class 8 trucks have ranged from a low of approximately 97,000 in 2009 to a high of approximately 291,000 in 2006. Class 8 trucks are defined by the American Automobile Association as trucks with a minimum gross vehicle weight rating above 33,000 pounds.</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35" w:name="page36"/>
    <w:bookmarkEnd w:id="35"/>
    <w:p>
      <w:pPr>
        <w:jc w:val="both"/>
        <w:ind w:firstLine="525"/>
        <w:spacing w:after="0" w:line="315" w:lineRule="auto"/>
        <w:rPr>
          <w:sz w:val="20"/>
          <w:szCs w:val="20"/>
          <w:color w:val="auto"/>
        </w:rPr>
      </w:pPr>
      <w:r>
        <w:rPr>
          <w:rFonts w:ascii="Arial" w:cs="Arial" w:eastAsia="Arial" w:hAnsi="Arial"/>
          <w:sz w:val="12"/>
          <w:szCs w:val="12"/>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state-of-the-art service for commercial vehicles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300"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A.C.T. Research currently estimates approximately 213,500 new Class 8 trucks will be sold in the United States in 2014, compared to approximately 188,000 new Class 8 trucks sold in 2013. A.C.T. Research currently forecasts sales of new Class 8 trucks in the U.S. to be approximately 220,000 in 2015.</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Medium-Duty Truck Market</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Many of our Rush Truck Centers sell medium-duty commercial vehicles manufactured by Peterbilt, International, Hino, Ford, Mitsubishi Fuso or Isuzu, and all of our Rush Truck Centers provide parts and service for medium-duty commercial vehicles. Medium-duty commercial vehicles are principally used in short-haul, local markets as delivery vehicles. Medium-duty commercial vehicles typically operate locally and generally do not leave their service areas overnight. The Company also sells light-duty vehicles (Class 3 and under) at five of its Ford dealerships.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A.C.T. Research currently forecasts sales of new Class 4 through 7 commercial vehicles in the U.S. to be approximately 193,500 in 2014, compared to 179,000 in 2013. A.C.T.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Research currently forecasts sales of new Class 4 through 7 commercial vehicles in the U.S. to be approximately 201,500 in 2015.</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2013 Compared to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Revenues increased $294.1 million, or 9.5%, in 2013, compared to 2012.</w:t>
      </w:r>
    </w:p>
    <w:p>
      <w:pPr>
        <w:spacing w:after="0" w:line="177"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Our parts, service and body shop revenues increased $171.0 million, or 20.9%, in 2013, compared to 2012. This increase was primarily the result of acquisitions that occurred since December 31, 2012. The Company expects parts, service and body shop sales to continue to remain strong through 2014 and remains focused on expanding aftermarket product and service offerings.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Revenues from sales of new and used commercial vehicles increased $90.5 million, or 4.2%, in 2013, compared to 2012.</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The Company sold 9,545 heavy-duty trucks in 2013, a 3.8% decrease compared to 9,925 heavy-duty trucks in 2012. According to A.C.T. Research, the U.S. Class 8 truck market decreased 5.6% in 2013, compared to 2012. The Company’s share of the U.S. Class 8 truck sales market increased to approximately 5.1% in 2013, from 5.0% in 2012. The Company expects its market share to range between 4.8% and 5.3% of U.S. Class 8 truck sales in 2014. This market share percentage would result in the sale of approximately 10,300 to 11,300 of Class 8 trucks in 2014 based on A.C.T. Research’s U.S. retail sales estimate of 213,500 units.</w:t>
      </w:r>
    </w:p>
    <w:p>
      <w:pPr>
        <w:spacing w:after="0" w:line="161" w:lineRule="exact"/>
        <w:rPr>
          <w:sz w:val="20"/>
          <w:szCs w:val="20"/>
          <w:color w:val="auto"/>
        </w:rPr>
      </w:pPr>
    </w:p>
    <w:p>
      <w:pPr>
        <w:jc w:val="both"/>
        <w:ind w:right="20" w:firstLine="525"/>
        <w:spacing w:after="0" w:line="247" w:lineRule="auto"/>
        <w:rPr>
          <w:sz w:val="20"/>
          <w:szCs w:val="20"/>
          <w:color w:val="auto"/>
        </w:rPr>
      </w:pPr>
      <w:r>
        <w:rPr>
          <w:rFonts w:ascii="Arial" w:cs="Arial" w:eastAsia="Arial" w:hAnsi="Arial"/>
          <w:sz w:val="15"/>
          <w:szCs w:val="15"/>
          <w:color w:val="auto"/>
        </w:rPr>
        <w:t>The Company sold 8,441 medium-duty commercial vehicles, including 1,413 buses, in 2013, an 18.5% increase compared to 7,126 medium-duty commercial vehicles, including 597 buses, in 2012. A.C.T. Research estimates that unit sales of Class 4 through 7 commercial vehicles in the U.S. increased approximately 9.0% in 2013, compared to 2012. In 2013, the Company achieved a 4.7% share of the Class 4 through 7 commercial vehicle sales market in the U.S. The Company expects its market share to range between 4.5% and 5.0% of U.S. Class 4 through 7 commercial vehicle sales in 2014. This market share percentage would result in the sale of approximately 8,700 to 9,700 of Class 4 through 7 commercial vehicles in 2014 based on A.C.T. Research’s current U.S. retail sales estimates of 193,500 units.</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36" w:name="page37"/>
    <w:bookmarkEnd w:id="36"/>
    <w:p>
      <w:pPr>
        <w:jc w:val="both"/>
        <w:ind w:right="20" w:firstLine="525"/>
        <w:spacing w:after="0" w:line="259" w:lineRule="auto"/>
        <w:rPr>
          <w:sz w:val="20"/>
          <w:szCs w:val="20"/>
          <w:color w:val="auto"/>
        </w:rPr>
      </w:pPr>
      <w:r>
        <w:rPr>
          <w:rFonts w:ascii="Arial" w:cs="Arial" w:eastAsia="Arial" w:hAnsi="Arial"/>
          <w:sz w:val="15"/>
          <w:szCs w:val="15"/>
          <w:color w:val="auto"/>
        </w:rPr>
        <w:t>The Company sold 1,945 light-duty vehicles in 2013, a 41.4% increase compared to 1,376 light-duty vehicles in 2012. The Company expects to sell approximately 2,000 light-duty vehicles in 2014.</w:t>
      </w:r>
    </w:p>
    <w:p>
      <w:pPr>
        <w:spacing w:after="0" w:line="152"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The Company sold 6,405 used commercial vehicles in 2013, a 35.0% increase compared to 4,744 used commercial vehicles in 2012. The increase in used commercial vehicle revenue is primarily due to acquisitions since December 31, 2012, and strong demand for used trucks. The Company expects to sell approximately 7,500 to 8,500 used commercial vehicles in 2014. The volume of used commercial vehicle sales will be largely dependent upon our ability to acquire quality used commercial vehicles and maintain an adequate used commercial vehicle inventory throughout 2014.</w:t>
      </w:r>
    </w:p>
    <w:p>
      <w:pPr>
        <w:spacing w:after="0" w:line="205"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Truck lease and rental revenues increased $29.4 million, or 29.3%, in 2013, compared to 2012. The increase in lease and rental revenue is primarily due to acquisitions since December 31, 2012. The Company expects lease and rental revenue to increase 20% to 30% during 2014, compared to 2013.</w:t>
      </w:r>
    </w:p>
    <w:p>
      <w:pPr>
        <w:spacing w:after="0" w:line="15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Finance and insurance revenues increased $1.7 million, or 12.3%, in 2013, compared to 2012. The increase in finance and insurance revenue is primarily a result of the increase in finance penetration rates and increased activity in the Company’s insurance business. The Company expects finance and insurance revenue to fluctuate proportionately with the Company’s new and used commercial vehicle sales in 2014. Finance and insurance revenues have limited direct costs and, therefore, contribute a disproportionate share of the Company’s operating profits.</w:t>
      </w:r>
    </w:p>
    <w:p>
      <w:pPr>
        <w:spacing w:after="0" w:line="205"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Other income increased $1.5 million, or 15.1% in 2013, compared to 2012. Other income consists primarily of the gain on sale realized on trucks from the lease and rental fleet, document fees related to commercial vehicle sales and mineral royalties.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Gross Profit</w:t>
      </w:r>
    </w:p>
    <w:p>
      <w:pPr>
        <w:spacing w:after="0" w:line="177" w:lineRule="exact"/>
        <w:rPr>
          <w:sz w:val="20"/>
          <w:szCs w:val="20"/>
          <w:color w:val="auto"/>
        </w:rPr>
      </w:pPr>
    </w:p>
    <w:p>
      <w:pPr>
        <w:jc w:val="both"/>
        <w:ind w:right="40" w:firstLine="525"/>
        <w:spacing w:after="0" w:line="343" w:lineRule="auto"/>
        <w:rPr>
          <w:sz w:val="20"/>
          <w:szCs w:val="20"/>
          <w:color w:val="auto"/>
        </w:rPr>
      </w:pPr>
      <w:r>
        <w:rPr>
          <w:rFonts w:ascii="Arial" w:cs="Arial" w:eastAsia="Arial" w:hAnsi="Arial"/>
          <w:sz w:val="12"/>
          <w:szCs w:val="12"/>
          <w:color w:val="auto"/>
        </w:rPr>
        <w:t>Gross profit increased $71.2 million, or 14.2%, in 2013, compared to 2012. Gross profit as a percentage of sales increased to 16.9% in 2013, from 16.2% in 2012. This increase in gross profit as a percentage of sales is a result of a change in our product sales mix. Commercial vehicle sales, a lower margin revenue item, decreased as a percentage of total revenue to 66.2% in 2013, from 69.5% in 2012. Parts and service revenue, a higher margin revenue item, increased as a percentage of total revenue to 29.2% in 2013, from 26.4% in 2012.</w:t>
      </w:r>
    </w:p>
    <w:p>
      <w:pPr>
        <w:spacing w:after="0" w:line="108" w:lineRule="exact"/>
        <w:rPr>
          <w:sz w:val="20"/>
          <w:szCs w:val="20"/>
          <w:color w:val="auto"/>
        </w:rPr>
      </w:pPr>
    </w:p>
    <w:p>
      <w:pPr>
        <w:jc w:val="both"/>
        <w:ind w:right="40" w:firstLine="525"/>
        <w:spacing w:after="0" w:line="247" w:lineRule="auto"/>
        <w:rPr>
          <w:sz w:val="20"/>
          <w:szCs w:val="20"/>
          <w:color w:val="auto"/>
        </w:rPr>
      </w:pPr>
      <w:r>
        <w:rPr>
          <w:rFonts w:ascii="Arial" w:cs="Arial" w:eastAsia="Arial" w:hAnsi="Arial"/>
          <w:sz w:val="15"/>
          <w:szCs w:val="15"/>
          <w:color w:val="auto"/>
        </w:rPr>
        <w:t>Gross margins from the Company’s parts, service and body shop operations decreased to 37.3% in 2013, from 38.8% in 2012. Gross profit for the parts, service and body shop departments increased to $368.3 million in 2013, from $317.4 million in 2012. Historically, parts operations gross margins range from 27% to 28% and service and body shop operations range from 67% to 68%. Gross profits from parts sales represented 55% of total gross profit for parts, service and body shop operations in 2013, compared to 53% in 2012. Service and body shop operations represented 45% of total gross profit for parts, service and body shop operations in 2013, compared to 47% in 2012. The Company expects blended gross margins on parts, service and body shop operations to range 35.0% to 37.0% in 2014.</w:t>
      </w:r>
    </w:p>
    <w:p>
      <w:pPr>
        <w:spacing w:after="0" w:line="162" w:lineRule="exact"/>
        <w:rPr>
          <w:sz w:val="20"/>
          <w:szCs w:val="20"/>
          <w:color w:val="auto"/>
        </w:rPr>
      </w:pPr>
    </w:p>
    <w:p>
      <w:pPr>
        <w:jc w:val="both"/>
        <w:ind w:right="20" w:firstLine="525"/>
        <w:spacing w:after="0" w:line="294" w:lineRule="auto"/>
        <w:rPr>
          <w:sz w:val="20"/>
          <w:szCs w:val="20"/>
          <w:color w:val="auto"/>
        </w:rPr>
      </w:pPr>
      <w:r>
        <w:rPr>
          <w:rFonts w:ascii="Arial" w:cs="Arial" w:eastAsia="Arial" w:hAnsi="Arial"/>
          <w:sz w:val="14"/>
          <w:szCs w:val="14"/>
          <w:color w:val="auto"/>
        </w:rPr>
        <w:t>Gross margins on Class 8 truck sales decreased to 6.8% in 2013, from 6.9% in 2012. In 2014, the Company expects overall gross margins from Class 8 truck sales of approximately 6.5% to 7.0%. The Company recorded expense of $3.9 million to increase its new heavy-duty truck valuation allowance in 2013, compared to $3.3 million in 2012.</w:t>
      </w:r>
    </w:p>
    <w:p>
      <w:pPr>
        <w:spacing w:after="0" w:line="130"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Gross margins on medium-duty commercial vehicle sales increased to 5.2% in 2013, from 4.6% in 2012. It is difficult to accurately forecast gross margins on medium-duty commercial vehicles because gross margins vary significantly depending upon the mix of fleet and non-fleet purchasers and types of medium-duty commercial vehicles sold. For 2014, the Company expects overall gross margins from medium-duty commercial vehicle sales of approximately 5.0% to 5.5%, but this will largely depend upon the mix of purchasers and types of vehicles sold. The Company recorded expense of $3.7 million to increase its new medium-duty commercial vehicle valuation allowance in 2013, compared to $3.9 million in 2012.</w:t>
      </w:r>
    </w:p>
    <w:p>
      <w:pPr>
        <w:spacing w:after="0" w:line="312"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37" w:name="page38"/>
    <w:bookmarkEnd w:id="37"/>
    <w:p>
      <w:pPr>
        <w:jc w:val="both"/>
        <w:ind w:right="40" w:firstLine="525"/>
        <w:spacing w:after="0" w:line="251" w:lineRule="auto"/>
        <w:rPr>
          <w:sz w:val="20"/>
          <w:szCs w:val="20"/>
          <w:color w:val="auto"/>
        </w:rPr>
      </w:pPr>
      <w:r>
        <w:rPr>
          <w:rFonts w:ascii="Arial" w:cs="Arial" w:eastAsia="Arial" w:hAnsi="Arial"/>
          <w:sz w:val="15"/>
          <w:szCs w:val="15"/>
          <w:color w:val="auto"/>
        </w:rPr>
        <w:t>Gross margins on used commercial vehicle sales increased to 9.2% in 2013, from 8.3% in 2012. The Company expects margins on used commercial vehicles to range between 8.0% and 10.0% during 2014 depending upon general economic conditions and the availability of quality used vehicles. The Company recorded expense of $5.3 million to increase its used commercial vehicle valuation allowance in 2013, compared to $5.7 million in 2012.</w:t>
      </w:r>
    </w:p>
    <w:p>
      <w:pPr>
        <w:spacing w:after="0" w:line="158" w:lineRule="exact"/>
        <w:rPr>
          <w:sz w:val="20"/>
          <w:szCs w:val="20"/>
          <w:color w:val="auto"/>
        </w:rPr>
      </w:pPr>
    </w:p>
    <w:p>
      <w:pPr>
        <w:jc w:val="both"/>
        <w:ind w:right="20" w:firstLine="525"/>
        <w:spacing w:after="0" w:line="330" w:lineRule="auto"/>
        <w:rPr>
          <w:sz w:val="20"/>
          <w:szCs w:val="20"/>
          <w:color w:val="auto"/>
        </w:rPr>
      </w:pPr>
      <w:r>
        <w:rPr>
          <w:rFonts w:ascii="Arial" w:cs="Arial" w:eastAsia="Arial" w:hAnsi="Arial"/>
          <w:sz w:val="12"/>
          <w:szCs w:val="12"/>
          <w:color w:val="auto"/>
        </w:rPr>
        <w:t>Gross margins from truck lease and rental sales decreased to 15.7% in 2013, from approximately 16.0% in 2012. The Company expects gross margins from lease and rental sales of approximately 15.5% to 16.5% during 2014,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Finance and insurance revenues and other income, as described above, have limited direct costs and, therefore, contribute a disproportionate share of gross profit.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177" w:lineRule="exact"/>
        <w:rPr>
          <w:sz w:val="20"/>
          <w:szCs w:val="20"/>
          <w:color w:val="auto"/>
        </w:rPr>
      </w:pPr>
    </w:p>
    <w:p>
      <w:pPr>
        <w:jc w:val="both"/>
        <w:ind w:firstLine="525"/>
        <w:spacing w:after="0" w:line="245" w:lineRule="auto"/>
        <w:rPr>
          <w:sz w:val="20"/>
          <w:szCs w:val="20"/>
          <w:color w:val="auto"/>
        </w:rPr>
      </w:pPr>
      <w:r>
        <w:rPr>
          <w:rFonts w:ascii="Arial" w:cs="Arial" w:eastAsia="Arial" w:hAnsi="Arial"/>
          <w:sz w:val="15"/>
          <w:szCs w:val="15"/>
          <w:color w:val="auto"/>
        </w:rPr>
        <w:t>Selling, General and Administrative (“SG&amp;A”) expenses increased $88.6 million, or 24.5%, in 2013, compared to 2012. SG&amp;A expenses as a percentage of total revenue increased to 13.3% in 2013, from 11.7% in 2012. This increase is partially due to the execution of the Retirement and Transition Agreement with the Company’s former Chairman, W. Marvin Rush, which resulted in the recognition of $10.8 million in retirement pay and benefits during the second quarter of 2013.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2014, the Company expects SG&amp;A expenses as a percentage of total revenue to range from 13.0% to 14.0% and the selling portion of SG&amp;A expenses to be approximately 25% to 30% of new and used commercial vehicle gross profit. In 2014, the Company expects the general and administrative portion of SG&amp;A expenses to increase by approximately 10.0% to 15.0% compared to 2013 due primarily to the full year effect of the acquisitions that occurred in 2013 and the addition of resources and technology to support the Company’s growth.</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 Expense</w:t>
      </w:r>
    </w:p>
    <w:p>
      <w:pPr>
        <w:spacing w:after="0" w:line="177"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Depreciation and amortization expense increased $4.9 million, or 19.6%, in 2013 compared to 2012. This increase is primarily due to acquisitions that occurred in 2012 and 2013, the construction of new dealerships and dealership expansions.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 Net</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Net interest expense decreased $2.3 million, or 17.9%, in 2013, compared to 2012. The decrease in net interest expense compared to 2012 is primarily due to the decrease of the interest rate in the Company’s floor plan agreement with GE Capital. Net interest expense in 2014 will depend on inventory levels and the amount of cash available to make prepayments on the Company’s floor plan agreement with GE Capital.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before Income Taxes</w:t>
      </w:r>
    </w:p>
    <w:p>
      <w:pPr>
        <w:spacing w:after="0" w:line="177"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Income before income taxes decreased $20.1 million in 2013, compared to 2012, as a result of the factors described above. This decrease is partially due to the execution of the Retirement and Transition Agreement with the Company’s former Chairman, W. Marvin Rush, which resulted in the recognition of $10.8 million in retirement pay and benefits during the second quarter of 2013.</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Income taxes decreased $6.9 million in 2013, compared to 2012. The Company provided for taxes at a 39.3% effective rate in 2013 compared to an effective rate of 38.3% in 2012.</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Company expects its effective tax rate to be approximately 38% to 39% of pretax income in 2014.</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Year Ended December 31, 2012 Compared to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Revenues increased $510.0 million, or 19.8%, in 2012, compared to 2011.</w:t>
      </w:r>
    </w:p>
    <w:p>
      <w:pPr>
        <w:spacing w:after="0" w:line="177" w:lineRule="exact"/>
        <w:rPr>
          <w:sz w:val="20"/>
          <w:szCs w:val="20"/>
          <w:color w:val="auto"/>
        </w:rPr>
      </w:pPr>
    </w:p>
    <w:p>
      <w:pPr>
        <w:jc w:val="both"/>
        <w:ind w:right="20" w:firstLine="525"/>
        <w:spacing w:after="0" w:line="294" w:lineRule="auto"/>
        <w:rPr>
          <w:sz w:val="20"/>
          <w:szCs w:val="20"/>
          <w:color w:val="auto"/>
        </w:rPr>
      </w:pPr>
      <w:r>
        <w:rPr>
          <w:rFonts w:ascii="Arial" w:cs="Arial" w:eastAsia="Arial" w:hAnsi="Arial"/>
          <w:sz w:val="14"/>
          <w:szCs w:val="14"/>
          <w:color w:val="auto"/>
        </w:rPr>
        <w:t>Our parts, service and body shop revenues increased $142.0 million, or 21.0%, in 2012, compared to 2011. This increase was the result of increased service needs of aging vehicles, continued service activity related to the energy sector, expanded product and service offerings and acquisitions that occurred in the fourth quarter of 2011.</w:t>
      </w:r>
    </w:p>
    <w:p>
      <w:pPr>
        <w:spacing w:after="0" w:line="130" w:lineRule="exact"/>
        <w:rPr>
          <w:sz w:val="20"/>
          <w:szCs w:val="20"/>
          <w:color w:val="auto"/>
        </w:rPr>
      </w:pPr>
    </w:p>
    <w:p>
      <w:pPr>
        <w:jc w:val="both"/>
        <w:ind w:right="20" w:firstLine="525"/>
        <w:spacing w:after="0" w:line="294" w:lineRule="auto"/>
        <w:rPr>
          <w:sz w:val="20"/>
          <w:szCs w:val="20"/>
          <w:color w:val="auto"/>
        </w:rPr>
      </w:pPr>
      <w:r>
        <w:rPr>
          <w:rFonts w:ascii="Arial" w:cs="Arial" w:eastAsia="Arial" w:hAnsi="Arial"/>
          <w:sz w:val="14"/>
          <w:szCs w:val="14"/>
          <w:color w:val="auto"/>
        </w:rPr>
        <w:t>Revenues for the sale of new and used commercial vehicles increased $347.4 million, or 19.3%, in 2012, compared to 2011. Demand for commercial vehicles increased as general economic conditions in the United States continued to improve and credit was being made available on reasonable terms to a wider range of buyers.</w:t>
      </w:r>
    </w:p>
    <w:p>
      <w:pPr>
        <w:spacing w:after="0" w:line="130"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The Company sold 9,925 heavy-duty trucks in 2012, a 9.6% increase compared to 9,052 heavy-duty trucks in 2011. According to A.C.T. Research, the U.S. Class 8 truck market increased 14.0% in 2012, compared to 2011. The Company’s share of the U.S. Class 8 truck sales market decreased to approximately 5.0% in 2012, from 5.2% in 2011. This decrease in market share is primarily the result of a decrease in International’s U.S. Class 8 market share. Navistar was forced to change its Class 8 engine strategy in 2012, which had a significant negative impact on sales of Class 8 International trucks in the U.S. International’s U.S. Class 8 market share decreased from 20.7% in 2011 to 17.5% in 2012.</w:t>
      </w:r>
    </w:p>
    <w:p>
      <w:pPr>
        <w:spacing w:after="0" w:line="115"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The Company sold 7,126 medium-duty commercial vehicles, including 597 buses, in 2012, a 30.3% increase compared to 5,469 medium-duty commercial vehicles, including 1,074 buses, in 2011. A.C.T. Research estimates that unit sales of Class 4 through 7 commercial vehicles in the U.S. increased approximately 14.0% in 2012, compared to 2011. In 2012, the Company achieved a 4.3% share of the Class 4 through 7 commercial vehicle sales market in the U.S.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sold 1,376 light-duty vehicles in 2012, a 35.0% increase compared to 1,019 light-duty vehicles in 2011.</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sold 4,744 used commercial vehicles in 2012, a 2.0% increase compared to 4,649 used commercial vehicles in 2011.</w:t>
      </w:r>
    </w:p>
    <w:p>
      <w:pPr>
        <w:spacing w:after="0" w:line="221"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Truck lease and rental revenues increased $16.8 million, or 20.2%, in 2012, compared to 2011. The increase in lease and rental revenue was primarily due to the increased number of units put into service in our lease and rental fleet.</w:t>
      </w:r>
    </w:p>
    <w:p>
      <w:pPr>
        <w:spacing w:after="0" w:line="152"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Finance and insurance revenues increased $2.8 million, or 25.5%, in 2012, compared to 2011. The increase in finance and insurance revenue was primarily a result of the increase in finance penetration rates and increased activity in the Company’s insurance business. Finance and insurance revenues have limited direct costs and, therefore, contribute a disproportionate share of the Company’s operating profits.</w:t>
      </w:r>
    </w:p>
    <w:p>
      <w:pPr>
        <w:spacing w:after="0" w:line="202"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Other income increased $1.0 million, or 10.9% in 2012, compared to 2011. Other income consists primarily of the gain on sale realized on trucks from the lease and rental fleet, document fees related to commercial vehicle sales and mineral royalties.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Gross Profit</w:t>
      </w:r>
    </w:p>
    <w:p>
      <w:pPr>
        <w:spacing w:after="0" w:line="177" w:lineRule="exact"/>
        <w:rPr>
          <w:sz w:val="20"/>
          <w:szCs w:val="20"/>
          <w:color w:val="auto"/>
        </w:rPr>
      </w:pPr>
    </w:p>
    <w:p>
      <w:pPr>
        <w:ind w:right="420" w:firstLine="525"/>
        <w:spacing w:after="0" w:line="294" w:lineRule="auto"/>
        <w:rPr>
          <w:sz w:val="20"/>
          <w:szCs w:val="20"/>
          <w:color w:val="auto"/>
        </w:rPr>
      </w:pPr>
      <w:r>
        <w:rPr>
          <w:rFonts w:ascii="Arial" w:cs="Arial" w:eastAsia="Arial" w:hAnsi="Arial"/>
          <w:sz w:val="14"/>
          <w:szCs w:val="14"/>
          <w:color w:val="auto"/>
        </w:rPr>
        <w:t>Gross profit increased $77.5 million, or 18.3%, in 2012, compared to 2011. Gross profit as a percentage of sales decreased slightly to 16.2% in 2012, from 16.4% in 2011. This decrease in gross profit as a percentage of sales was a result of a slight decrease in gross margins from commercial vehicle sales and parts and service revenue.</w:t>
      </w:r>
    </w:p>
    <w:p>
      <w:pPr>
        <w:spacing w:after="0" w:line="130" w:lineRule="exact"/>
        <w:rPr>
          <w:sz w:val="20"/>
          <w:szCs w:val="20"/>
          <w:color w:val="auto"/>
        </w:rPr>
      </w:pPr>
    </w:p>
    <w:p>
      <w:pPr>
        <w:jc w:val="both"/>
        <w:ind w:right="20" w:firstLine="525"/>
        <w:spacing w:after="0" w:line="271" w:lineRule="auto"/>
        <w:rPr>
          <w:sz w:val="20"/>
          <w:szCs w:val="20"/>
          <w:color w:val="auto"/>
        </w:rPr>
      </w:pPr>
      <w:r>
        <w:rPr>
          <w:rFonts w:ascii="Arial" w:cs="Arial" w:eastAsia="Arial" w:hAnsi="Arial"/>
          <w:sz w:val="14"/>
          <w:szCs w:val="14"/>
          <w:color w:val="auto"/>
        </w:rPr>
        <w:t>Gross margins from the Company’s parts, service and body shop operations decreased to 38.8% in 2012, from 39.5% in 2011. Gross profit for the parts, service and body shop departments increased to $317.4 million in 2012, from $266.7 million in 2011. Historically, parts operations gross margins range from 27% to 28% and service and body shop operations range from 67% to 68%. Gross profits from parts sales represented 53% of total gross profit for parts, service and body shop operations in 2012, compared to 52% in 2011. Service and body shop operations represented 47% of total gross profit for parts, service and body shop operations in 2012, compared to 48% in 2011.</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18" w:right="499" w:bottom="1440" w:gutter="0" w:footer="0" w:header="0"/>
        </w:sectPr>
      </w:pPr>
    </w:p>
    <w:bookmarkStart w:id="39" w:name="page40"/>
    <w:bookmarkEnd w:id="39"/>
    <w:p>
      <w:pPr>
        <w:ind w:right="20" w:firstLine="525"/>
        <w:spacing w:after="0" w:line="259" w:lineRule="auto"/>
        <w:rPr>
          <w:sz w:val="20"/>
          <w:szCs w:val="20"/>
          <w:color w:val="auto"/>
        </w:rPr>
      </w:pPr>
      <w:r>
        <w:rPr>
          <w:rFonts w:ascii="Arial" w:cs="Arial" w:eastAsia="Arial" w:hAnsi="Arial"/>
          <w:sz w:val="15"/>
          <w:szCs w:val="15"/>
          <w:color w:val="auto"/>
        </w:rPr>
        <w:t>Gross margins on Class 8 truck sales decreased to 6.9% in 2012, from 7.1% in 2011. The Company recorded expense of $3.3 million to increase its new heavy-duty truck valuation allowance in 2012, compared to $1.6 million in 2011.</w:t>
      </w:r>
    </w:p>
    <w:p>
      <w:pPr>
        <w:spacing w:after="0" w:line="152" w:lineRule="exact"/>
        <w:rPr>
          <w:sz w:val="20"/>
          <w:szCs w:val="20"/>
          <w:color w:val="auto"/>
        </w:rPr>
      </w:pPr>
    </w:p>
    <w:p>
      <w:pPr>
        <w:jc w:val="both"/>
        <w:ind w:right="40" w:firstLine="525"/>
        <w:spacing w:after="0" w:line="277" w:lineRule="auto"/>
        <w:rPr>
          <w:sz w:val="20"/>
          <w:szCs w:val="20"/>
          <w:color w:val="auto"/>
        </w:rPr>
      </w:pPr>
      <w:r>
        <w:rPr>
          <w:rFonts w:ascii="Arial" w:cs="Arial" w:eastAsia="Arial" w:hAnsi="Arial"/>
          <w:sz w:val="14"/>
          <w:szCs w:val="14"/>
          <w:color w:val="auto"/>
        </w:rPr>
        <w:t>Gross margins on medium-duty commercial vehicle sales decreased to 4.6% in 2012, from 4.8% in 2011. Gross margins on medium-duty commercial vehicles are difficult to forecast accurately because gross margins vary significantly depending upon the mix of fleet and non-fleet purchasers and types of medium-duty commercial vehicles sold. The Company recorded expense of $3.9 million to increase its new medium-duty commercial vehicle valuation allowance in 2012, compared to $1.9 million in 2011.</w:t>
      </w:r>
    </w:p>
    <w:p>
      <w:pPr>
        <w:spacing w:after="0" w:line="142" w:lineRule="exact"/>
        <w:rPr>
          <w:sz w:val="20"/>
          <w:szCs w:val="20"/>
          <w:color w:val="auto"/>
        </w:rPr>
      </w:pPr>
    </w:p>
    <w:p>
      <w:pPr>
        <w:jc w:val="both"/>
        <w:ind w:right="40" w:firstLine="525"/>
        <w:spacing w:after="0" w:line="383" w:lineRule="auto"/>
        <w:rPr>
          <w:sz w:val="20"/>
          <w:szCs w:val="20"/>
          <w:color w:val="auto"/>
        </w:rPr>
      </w:pPr>
      <w:r>
        <w:rPr>
          <w:rFonts w:ascii="Arial" w:cs="Arial" w:eastAsia="Arial" w:hAnsi="Arial"/>
          <w:sz w:val="12"/>
          <w:szCs w:val="12"/>
          <w:color w:val="auto"/>
        </w:rPr>
        <w:t>Gross margins on used commercial vehicle sales decreased to 8.3% in 2012, from 9.4% in 2011. The decrease in the margin was primarily due to a softening used truck market and the mix of products sold in 2012. The Company recorded expense of $5.7 million to increase its used commercial vehicle valuation allowance in 2012, compared to $2.3 million in 2011.</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Gross margins from truck lease and rental sales decreased to 16.0% in 2012, from approximately 16.5% in 2011.</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Finance and insurance revenues and other income, as described above, have limited direct costs and, therefore, contribute a disproportionate share of gross profit.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Selling, General and Administrative (“SG&amp;A”) expenses increased $55.5 million, or 18.1%, in 2012, compared to 2011. SG&amp;A expenses as a percentage of total revenue decreased to 11.7% in 2012, from 11.9% in 2011.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 Expense</w:t>
      </w:r>
    </w:p>
    <w:p>
      <w:pPr>
        <w:spacing w:after="0" w:line="177"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Depreciation and amortization expense increased $4.9 million, or 24.6%, in 2012 compared to 2011. The Company incurred additional amortization expense related to the SAP software that was placed into service in August 2011.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 Net</w:t>
      </w:r>
    </w:p>
    <w:p>
      <w:pPr>
        <w:spacing w:after="0" w:line="177"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Net interest expense increased $5.9 million, or 81.8%, in 2012, compared to 2011. The increase in net interest expense was primarily due to increased truck inventory levels and the fixed interest rates on interest rate swap contracts. In January 2012, the Company’s floor plan agreement with GE Capital was amended to decrease interest rates related to floor plan notes payable.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from Continuing Operations before Income Taxes</w:t>
      </w:r>
    </w:p>
    <w:p>
      <w:pPr>
        <w:spacing w:after="0" w:line="177" w:lineRule="exact"/>
        <w:rPr>
          <w:sz w:val="20"/>
          <w:szCs w:val="20"/>
          <w:color w:val="auto"/>
        </w:rPr>
      </w:pPr>
    </w:p>
    <w:p>
      <w:pPr>
        <w:ind w:right="1900" w:firstLine="525"/>
        <w:spacing w:after="0" w:line="259" w:lineRule="auto"/>
        <w:rPr>
          <w:sz w:val="20"/>
          <w:szCs w:val="20"/>
          <w:color w:val="auto"/>
        </w:rPr>
      </w:pPr>
      <w:r>
        <w:rPr>
          <w:rFonts w:ascii="Arial" w:cs="Arial" w:eastAsia="Arial" w:hAnsi="Arial"/>
          <w:sz w:val="15"/>
          <w:szCs w:val="15"/>
          <w:color w:val="auto"/>
        </w:rPr>
        <w:t xml:space="preserve">Income from continuing operations before income taxes increased $11.0 million in 2012, compared to 2011, as a result of the factors described above. </w:t>
      </w:r>
      <w:r>
        <w:rPr>
          <w:rFonts w:ascii="Arial" w:cs="Arial" w:eastAsia="Arial" w:hAnsi="Arial"/>
          <w:sz w:val="15"/>
          <w:szCs w:val="15"/>
          <w:i w:val="1"/>
          <w:iCs w:val="1"/>
          <w:color w:val="auto"/>
        </w:rPr>
        <w:t>Income Taxes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Income taxes increased $3.8 million in 2012, compared to 2011. The Company provided for taxes at a 38.3% effective rate in 2012 compared to an effective rate of 38.8% in 2011.</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Effects of Inflation</w:t>
      </w:r>
    </w:p>
    <w:p>
      <w:pPr>
        <w:spacing w:after="0" w:line="181"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Inflationary factors such as increases in the cost of products and overhead costs may adversely affect the Company’s operating results. A high rate of inflation in the future may have an adverse effect on the Company’s ability to maintain current levels of gross margin and selling, general and administrative expenses as a percentage of revenues if the selling prices of our products do not increase in proportion to increased costs.</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500" w:right="49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81" w:lineRule="exact"/>
        <w:rPr>
          <w:sz w:val="20"/>
          <w:szCs w:val="20"/>
          <w:color w:val="auto"/>
        </w:rPr>
      </w:pPr>
    </w:p>
    <w:p>
      <w:pPr>
        <w:jc w:val="both"/>
        <w:ind w:firstLine="525"/>
        <w:spacing w:after="0" w:line="324" w:lineRule="auto"/>
        <w:rPr>
          <w:sz w:val="20"/>
          <w:szCs w:val="20"/>
          <w:color w:val="auto"/>
        </w:rPr>
      </w:pPr>
      <w:r>
        <w:rPr>
          <w:rFonts w:ascii="Arial" w:cs="Arial" w:eastAsia="Arial" w:hAnsi="Arial"/>
          <w:sz w:val="12"/>
          <w:szCs w:val="12"/>
          <w:color w:val="auto"/>
        </w:rPr>
        <w:t>The Company’s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arrangements and bank financings. As of December 31, 2013, the Company had working capital of approximately $224.3 million, including $217.3 million in cash available to fund our operations. The Company believes that these funds are sufficient to meet its operating requirements for at least the next twelve months.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11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The Company has a secured line of credit that provides for a maximum borrowing of $15.0 million. There were no advances outstanding under this secured line of credit at December 31, 2013, however, $8.0 million was pledged to secure various letters of credit related to self-insurance products, leaving $7.0 million available for future borrowings as of December 31, 2013.</w:t>
      </w:r>
    </w:p>
    <w:p>
      <w:pPr>
        <w:spacing w:after="0" w:line="158"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December 31, 2013,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0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The Company expects to purchase or lease trucks worth approximately $170.0 million for its leasing operations during 2014, depending on customer demand, all of which will be financed. The Company also expects to make capital expenditures for recurring items such as computers, shop tools and equipment and vehicles of approximately $16.0 million to $18.0 million during 2014.</w:t>
      </w:r>
    </w:p>
    <w:p>
      <w:pPr>
        <w:spacing w:after="0" w:line="15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Company is currently under contracts to construct dealership facilities in San Antonio, Texas, at an estimated cost of $12.0 million, and Orlando, Florida, at an estimated cost of $4.1 million. These construction projects are estimated to continue through the third quarter of 2014.</w:t>
      </w:r>
    </w:p>
    <w:p>
      <w:pPr>
        <w:spacing w:after="0" w:line="152"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The Company anticipates funding its capital expenditures relating to the improvement and expansion of existing facilities and recurring expenses through its operating cash flow. The Company expects to fund the construction or purchase of new facilities through either its operating cash flow or by financing 70% to 80% of the appraised value of such facility.</w:t>
      </w:r>
    </w:p>
    <w:p>
      <w:pPr>
        <w:spacing w:after="0" w:line="84"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On February 4, 2014, the Company announced that its Board of Directors approved a stock repurchase program authorizing the Company to repurchase, from time to time, up to an aggregate of $40.0 million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February 3, 2015,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63"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On February 12, 2013, the Company announced that its Board of Directors approved a stock repurchase program authorizing the Company to repurchase, from time to time, up to an aggregate of $40.0 million shares of Class A Common Stock and/or Class B Common Stock. This stock repurchase program was replaced by the new stock repurchase program described above. As of December 31, 2013, the Company has purchased approximately $12.9 million of its Class B Common stock under this repurchase program.</w:t>
      </w:r>
    </w:p>
    <w:p>
      <w:pPr>
        <w:spacing w:after="0" w:line="108"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The Company will continue to purchase vehicles for its lease and rental division and authorize capital expenditures for improvement and expansion of its existing dealership facilities and construction or purchase of new facilities based on market opportunities. The Company has no other material commitments for capital expenditures as of December 31, 2013.</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Cash Flows</w:t>
      </w:r>
    </w:p>
    <w:p>
      <w:pPr>
        <w:spacing w:after="0" w:line="181"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Cash and cash equivalents increased by $18.5 million during the year ended December 31, 2013, and decreased by $9.0 million during the year ended December 31, 2012. The major components of these changes are discussed below.</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Operating Activities</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Cash flows from operating activities include net income adjusted for non-cash items and the effects of changes in working capital. During 2013, operating activities resulted in net cash provided by operations of $173.5 million. Cash provided by operating activities was primarily a result of draws on floor plan notes payable, trade, and the increases in accounts payable and customer deposits offset by increased levels of inventory, net of acquisitions. The majority of commercial vehicle inventory is financed through the Company’s floor plan credit agreements.</w:t>
      </w:r>
    </w:p>
    <w:p>
      <w:pPr>
        <w:spacing w:after="0" w:line="161" w:lineRule="exact"/>
        <w:rPr>
          <w:sz w:val="20"/>
          <w:szCs w:val="20"/>
          <w:color w:val="auto"/>
        </w:rPr>
      </w:pPr>
    </w:p>
    <w:p>
      <w:pPr>
        <w:jc w:val="both"/>
        <w:ind w:right="20" w:firstLine="525"/>
        <w:spacing w:after="0" w:line="271" w:lineRule="auto"/>
        <w:rPr>
          <w:sz w:val="20"/>
          <w:szCs w:val="20"/>
          <w:color w:val="auto"/>
        </w:rPr>
      </w:pPr>
      <w:r>
        <w:rPr>
          <w:rFonts w:ascii="Arial" w:cs="Arial" w:eastAsia="Arial" w:hAnsi="Arial"/>
          <w:sz w:val="14"/>
          <w:szCs w:val="14"/>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December 31, 2013, the interest rate on the wholesale financing agreement was 5.25% before considering the applicable incentives. As of December 31, 2013, the Company had an outstanding balance of $47.5 million under the Ford Motor Credit Company wholesale financing agreement.</w:t>
      </w:r>
    </w:p>
    <w:p>
      <w:pPr>
        <w:spacing w:after="0" w:line="147"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During 2012, operating activities resulted in net cash provided by operations of $219.3 million. Cash provided by operating activities was primarily a result of the decreased levels of inventory, net of acquisitions, the decrease in accounts receivable and draws on floor plan notes payable, trade, offset by the decrease in customer deposits and accrued expenses. The majority of commercial vehicle inventory is financed through the Company’s floor plan credit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Investing Activities</w:t>
      </w:r>
    </w:p>
    <w:p>
      <w:pPr>
        <w:spacing w:after="0" w:line="177"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color w:val="auto"/>
        </w:rPr>
        <w:t>During 2013, cash used in investing activities was $269.7 million. Cash flows used in investing activities consist primarily of cash used for capital expenditures and business acquisitions. Capital expenditures of $191.6 million consisted of purchases of property and equipment and improvements to our existing dealership facilities. Property and equipment purchases during 2013 consisted of $140.1 million for additional units for the rental and leasing operations, which was directly offset by borrowings of long-term debt. The Company expects to purchase or lease trucks worth approximately $170.0 million for its leasing operations in 2014, depending on customer demand, all of which will be financed. Cash used in business acquisitions was $72.7 million during the year ended December 31, 2013. See Note 15 of the Notes to Consolidated Financial Statements for a detailed discussion of the business acquisitions. During 2014, the Company expects to make capital expenditures for recurring items such as computers, shop equipment and vehicles of $16.0 million to $18.0 million.</w:t>
      </w:r>
    </w:p>
    <w:p>
      <w:pPr>
        <w:spacing w:after="0" w:line="120"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During 2012, cash used in investing activities was $274.3 million. Cash flows used in investing activities consist primarily of cash used for capital expenditures and a business acquisition. Capital expenditures of $170.0 million consisted of purchases of property and equipment and improvements to our existing dealership facilities. Property and equipment purchases during 2012 consisted of $128.1 million for additional units for the rental and leasing operations, which was directly offset by borrowings of long-term debt. Cash used in the business acquisition was $104.6 million during the year ended December 31, 2012. See Note 15 of the Notes to Consolidated Financial Statements for a detailed discussion of the business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Financing Activities</w:t>
      </w:r>
    </w:p>
    <w:p>
      <w:pPr>
        <w:spacing w:after="0" w:line="177"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Cash flows used in financing activities include borrowings and repayments of long-term debt and net payments of floor plan notes payable. Cash provided by financing activities was $114.7 million during 2013. The Company had borrowings of long-term debt of $171.2 million and repayments of long-term debt and capital lease obligations of $101.6 million during 2013. The Company had net draws on floor plan notes payable, non-trade of $46.1 million during 2013. The borrowings of long-term debt were primarily related to units for the rental and leasing operations.</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496" w:right="499" w:bottom="1440" w:gutter="0" w:footer="0" w:header="0"/>
        </w:sectPr>
      </w:pPr>
    </w:p>
    <w:bookmarkStart w:id="42" w:name="page43"/>
    <w:bookmarkEnd w:id="42"/>
    <w:p>
      <w:pPr>
        <w:jc w:val="both"/>
        <w:ind w:firstLine="525"/>
        <w:spacing w:after="0" w:line="251" w:lineRule="auto"/>
        <w:rPr>
          <w:sz w:val="20"/>
          <w:szCs w:val="20"/>
          <w:color w:val="auto"/>
        </w:rPr>
      </w:pPr>
      <w:r>
        <w:rPr>
          <w:rFonts w:ascii="Arial" w:cs="Arial" w:eastAsia="Arial" w:hAnsi="Arial"/>
          <w:sz w:val="15"/>
          <w:szCs w:val="15"/>
          <w:color w:val="auto"/>
        </w:rPr>
        <w:t>Cash provided by financing activities was $46.0 million during 2012. The Company had borrowings of long-term debt of $144.6 million and repayments of long-term debt and capital lease obligations of $84.7 million during 2012. The Company had net payments of floor plan notes payable, non-trade of $20.7 million during 2012. The borrowings of long-term debt were primarily related to units for the rental and leasing operations.</w:t>
      </w:r>
    </w:p>
    <w:p>
      <w:pPr>
        <w:spacing w:after="0" w:line="158" w:lineRule="exact"/>
        <w:rPr>
          <w:sz w:val="20"/>
          <w:szCs w:val="20"/>
          <w:color w:val="auto"/>
        </w:rPr>
      </w:pPr>
    </w:p>
    <w:p>
      <w:pPr>
        <w:jc w:val="both"/>
        <w:ind w:firstLine="525"/>
        <w:spacing w:after="0" w:line="312" w:lineRule="auto"/>
        <w:rPr>
          <w:sz w:val="20"/>
          <w:szCs w:val="20"/>
          <w:color w:val="auto"/>
        </w:rPr>
      </w:pPr>
      <w:r>
        <w:rPr>
          <w:rFonts w:ascii="Arial" w:cs="Arial" w:eastAsia="Arial" w:hAnsi="Arial"/>
          <w:sz w:val="12"/>
          <w:szCs w:val="12"/>
          <w:color w:val="auto"/>
        </w:rPr>
        <w:t>Substantially all of the Company’s commercial vehicle purchases are made on terms requiring payment to the manufacturer within 15 days or less from the date the commercial vehicles are invoiced from the factory. On July 11, 2013, the Company entered into the third amendment to its credit agreement with GE Capital. The amendment increased the aggregate loan commitment to $750.0 million. Borrowings under the amended credit agreement will now bear interest per annum, payable monthly, at the three month LIBOR rate, determined on the last day of the prior month, plus 2.03%. In addition, the Company is required to pay the lenders a monthly working capital fee equal to 0.35% per annum multiplied by the amount of voluntary prepayments of new and used inventory loans. Loans under the credit agreement for the purchase of used inventory are limited to $150.0 million. Pursuant to the third amendment, the credit agreement expires July 11, 2016, although GE Capital has the right to terminate the credit agreement at any time upon 120 days’ written notice. The Company may terminate the credit agreement at any time, although if it does so it must pay the lenders a prepayment processing fee of (i) $15,000,000 if it terminates on or prior to January 11, 2015, (ii) $7,500,000 if it terminates after January 11, 2015 but on or prior to July 11, 2015 and (iii) $300,000 if it terminates thereafter, subject in each case to specified limited exceptions. On December 31, 2013, the Company had approximately $546.1 million outstanding under its credit agreement with GE Capital. The average daily outstanding borrowings under the credit agreement with GE Capital during 2013 were $476.6 million.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30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Navistar Financial Corporation and Peterbilt offer trade terms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Cyclicality</w:t>
      </w:r>
    </w:p>
    <w:p>
      <w:pPr>
        <w:spacing w:after="0" w:line="181" w:lineRule="exact"/>
        <w:rPr>
          <w:sz w:val="20"/>
          <w:szCs w:val="20"/>
          <w:color w:val="auto"/>
        </w:rPr>
      </w:pPr>
    </w:p>
    <w:p>
      <w:pPr>
        <w:jc w:val="both"/>
        <w:ind w:right="20" w:firstLine="525"/>
        <w:spacing w:after="0" w:line="246" w:lineRule="auto"/>
        <w:rPr>
          <w:sz w:val="20"/>
          <w:szCs w:val="20"/>
          <w:color w:val="auto"/>
        </w:rPr>
      </w:pPr>
      <w:r>
        <w:rPr>
          <w:rFonts w:ascii="Arial" w:cs="Arial" w:eastAsia="Arial" w:hAnsi="Arial"/>
          <w:sz w:val="15"/>
          <w:szCs w:val="15"/>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For example,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81"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500" w:right="51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Contractual Obligations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Company has certain contractual obligations that will impact its short and long-term liquidity. At December 31, 2013, such obligations were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5"/>
                <w:szCs w:val="15"/>
                <w:b w:val="1"/>
                <w:bCs w:val="1"/>
                <w:color w:val="auto"/>
                <w:w w:val="87"/>
              </w:rPr>
              <w:t>Payments Due by Period</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3"/>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80"/>
              <w:spacing w:after="0" w:line="153" w:lineRule="exact"/>
              <w:rPr>
                <w:sz w:val="20"/>
                <w:szCs w:val="20"/>
                <w:color w:val="auto"/>
              </w:rPr>
            </w:pPr>
            <w:r>
              <w:rPr>
                <w:rFonts w:ascii="Arial" w:cs="Arial" w:eastAsia="Arial" w:hAnsi="Arial"/>
                <w:sz w:val="15"/>
                <w:szCs w:val="15"/>
                <w:b w:val="1"/>
                <w:bCs w:val="1"/>
                <w:color w:val="auto"/>
                <w:w w:val="94"/>
              </w:rPr>
              <w:t>Less than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447"/>
              <w:spacing w:after="0" w:line="153" w:lineRule="exact"/>
              <w:rPr>
                <w:sz w:val="20"/>
                <w:szCs w:val="20"/>
                <w:color w:val="auto"/>
              </w:rPr>
            </w:pPr>
            <w:r>
              <w:rPr>
                <w:rFonts w:ascii="Arial" w:cs="Arial" w:eastAsia="Arial" w:hAnsi="Arial"/>
                <w:sz w:val="15"/>
                <w:szCs w:val="15"/>
                <w:b w:val="1"/>
                <w:bCs w:val="1"/>
                <w:color w:val="auto"/>
              </w:rPr>
              <w:t>1-3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427"/>
              <w:spacing w:after="0" w:line="153" w:lineRule="exact"/>
              <w:rPr>
                <w:sz w:val="20"/>
                <w:szCs w:val="20"/>
                <w:color w:val="auto"/>
              </w:rPr>
            </w:pPr>
            <w:r>
              <w:rPr>
                <w:rFonts w:ascii="Arial" w:cs="Arial" w:eastAsia="Arial" w:hAnsi="Arial"/>
                <w:sz w:val="15"/>
                <w:szCs w:val="15"/>
                <w:b w:val="1"/>
                <w:bCs w:val="1"/>
                <w:color w:val="auto"/>
              </w:rPr>
              <w:t>3-5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07"/>
              <w:spacing w:after="0" w:line="153" w:lineRule="exact"/>
              <w:rPr>
                <w:sz w:val="20"/>
                <w:szCs w:val="20"/>
                <w:color w:val="auto"/>
              </w:rPr>
            </w:pPr>
            <w:r>
              <w:rPr>
                <w:rFonts w:ascii="Arial" w:cs="Arial" w:eastAsia="Arial" w:hAnsi="Arial"/>
                <w:sz w:val="15"/>
                <w:szCs w:val="15"/>
                <w:b w:val="1"/>
                <w:bCs w:val="1"/>
                <w:color w:val="auto"/>
              </w:rPr>
              <w:t>More than</w:t>
            </w:r>
          </w:p>
        </w:tc>
        <w:tc>
          <w:tcPr>
            <w:tcW w:w="100" w:type="dxa"/>
            <w:vAlign w:val="bottom"/>
          </w:tcPr>
          <w:p>
            <w:pPr>
              <w:spacing w:after="0"/>
              <w:rPr>
                <w:sz w:val="13"/>
                <w:szCs w:val="13"/>
                <w:color w:val="auto"/>
              </w:rPr>
            </w:pPr>
          </w:p>
        </w:tc>
      </w:tr>
      <w:tr>
        <w:trPr>
          <w:trHeight w:val="188"/>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Contractual Obligations</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year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years</w:t>
            </w:r>
          </w:p>
        </w:tc>
        <w:tc>
          <w:tcPr>
            <w:tcW w:w="260" w:type="dxa"/>
            <w:vAlign w:val="bottom"/>
          </w:tcPr>
          <w:p>
            <w:pPr>
              <w:spacing w:after="0"/>
              <w:rPr>
                <w:sz w:val="16"/>
                <w:szCs w:val="16"/>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years</w:t>
            </w: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5 years</w:t>
            </w:r>
          </w:p>
        </w:tc>
      </w:tr>
      <w:tr>
        <w:trPr>
          <w:trHeight w:val="168"/>
        </w:trPr>
        <w:tc>
          <w:tcPr>
            <w:tcW w:w="3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47"/>
              <w:spacing w:after="0" w:line="168" w:lineRule="exact"/>
              <w:rPr>
                <w:sz w:val="20"/>
                <w:szCs w:val="20"/>
                <w:color w:val="auto"/>
              </w:rPr>
            </w:pPr>
            <w:r>
              <w:rPr>
                <w:rFonts w:ascii="Arial" w:cs="Arial" w:eastAsia="Arial" w:hAnsi="Arial"/>
                <w:sz w:val="15"/>
                <w:szCs w:val="15"/>
                <w:b w:val="1"/>
                <w:bCs w:val="1"/>
                <w:color w:val="auto"/>
                <w:w w:val="85"/>
              </w:rPr>
              <w:t>(in thousands)</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debt obligations (1)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482,781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97,243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222,367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127,259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35,912</w:t>
            </w:r>
          </w:p>
        </w:tc>
      </w:tr>
      <w:tr>
        <w:trPr>
          <w:trHeight w:val="175"/>
        </w:trPr>
        <w:tc>
          <w:tcPr>
            <w:tcW w:w="3200" w:type="dxa"/>
            <w:vAlign w:val="bottom"/>
            <w:gridSpan w:val="2"/>
          </w:tcPr>
          <w:p>
            <w:pPr>
              <w:spacing w:after="0"/>
              <w:rPr>
                <w:sz w:val="20"/>
                <w:szCs w:val="20"/>
                <w:color w:val="auto"/>
              </w:rPr>
            </w:pPr>
            <w:r>
              <w:rPr>
                <w:rFonts w:ascii="Arial" w:cs="Arial" w:eastAsia="Arial" w:hAnsi="Arial"/>
                <w:sz w:val="15"/>
                <w:szCs w:val="15"/>
                <w:color w:val="auto"/>
              </w:rPr>
              <w:t>Capital lease obligations(2)</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49,546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11,600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18,084</w:t>
            </w:r>
          </w:p>
        </w:tc>
        <w:tc>
          <w:tcPr>
            <w:tcW w:w="2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12,877</w:t>
            </w:r>
          </w:p>
        </w:tc>
        <w:tc>
          <w:tcPr>
            <w:tcW w:w="1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6,985</w:t>
            </w:r>
          </w:p>
        </w:tc>
      </w:tr>
      <w:tr>
        <w:trPr>
          <w:trHeight w:val="175"/>
        </w:trPr>
        <w:tc>
          <w:tcPr>
            <w:tcW w:w="3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obligations(3)</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39,959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11,082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14,972</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7,471</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6,434</w:t>
            </w:r>
          </w:p>
        </w:tc>
      </w:tr>
      <w:tr>
        <w:trPr>
          <w:trHeight w:val="175"/>
        </w:trPr>
        <w:tc>
          <w:tcPr>
            <w:tcW w:w="3200" w:type="dxa"/>
            <w:vAlign w:val="bottom"/>
            <w:gridSpan w:val="2"/>
          </w:tcPr>
          <w:p>
            <w:pPr>
              <w:spacing w:after="0"/>
              <w:rPr>
                <w:sz w:val="20"/>
                <w:szCs w:val="20"/>
                <w:color w:val="auto"/>
              </w:rPr>
            </w:pPr>
            <w:r>
              <w:rPr>
                <w:rFonts w:ascii="Arial" w:cs="Arial" w:eastAsia="Arial" w:hAnsi="Arial"/>
                <w:sz w:val="15"/>
                <w:szCs w:val="15"/>
                <w:color w:val="auto"/>
              </w:rPr>
              <w:t>Floor plan debt obligation</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593,649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593,649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3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obligations (4)</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57,307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29,404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20,078</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7,135</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690</w:t>
            </w:r>
          </w:p>
        </w:tc>
      </w:tr>
      <w:tr>
        <w:trPr>
          <w:trHeight w:val="175"/>
        </w:trPr>
        <w:tc>
          <w:tcPr>
            <w:tcW w:w="3200" w:type="dxa"/>
            <w:vAlign w:val="bottom"/>
            <w:gridSpan w:val="2"/>
          </w:tcPr>
          <w:p>
            <w:pPr>
              <w:spacing w:after="0"/>
              <w:rPr>
                <w:sz w:val="20"/>
                <w:szCs w:val="20"/>
                <w:color w:val="auto"/>
              </w:rPr>
            </w:pPr>
            <w:r>
              <w:rPr>
                <w:rFonts w:ascii="Arial" w:cs="Arial" w:eastAsia="Arial" w:hAnsi="Arial"/>
                <w:sz w:val="15"/>
                <w:szCs w:val="15"/>
                <w:color w:val="auto"/>
              </w:rPr>
              <w:t>Purchase obligations(5)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23,822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19,740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1,029</w:t>
            </w:r>
          </w:p>
        </w:tc>
        <w:tc>
          <w:tcPr>
            <w:tcW w:w="2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1,134</w:t>
            </w:r>
          </w:p>
        </w:tc>
        <w:tc>
          <w:tcPr>
            <w:tcW w:w="1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1,919</w:t>
            </w:r>
          </w:p>
        </w:tc>
      </w:tr>
      <w:tr>
        <w:trPr>
          <w:trHeight w:val="206"/>
        </w:trPr>
        <w:tc>
          <w:tcPr>
            <w:tcW w:w="3200" w:type="dxa"/>
            <w:vAlign w:val="bottom"/>
            <w:tcBorders>
              <w:bottom w:val="single" w:sz="8" w:color="CCEEFF"/>
            </w:tcBorders>
            <w:gridSpan w:val="2"/>
            <w:shd w:val="clear" w:color="auto" w:fill="CCEEFF"/>
          </w:tcPr>
          <w:p>
            <w:pPr>
              <w:spacing w:after="0" w:line="166" w:lineRule="exact"/>
              <w:rPr>
                <w:sz w:val="20"/>
                <w:szCs w:val="20"/>
                <w:color w:val="auto"/>
              </w:rPr>
            </w:pPr>
            <w:r>
              <w:rPr>
                <w:rFonts w:ascii="Arial" w:cs="Arial" w:eastAsia="Arial" w:hAnsi="Arial"/>
                <w:sz w:val="15"/>
                <w:szCs w:val="15"/>
                <w:color w:val="auto"/>
              </w:rPr>
              <w:t>Total</w:t>
            </w:r>
          </w:p>
        </w:tc>
        <w:tc>
          <w:tcPr>
            <w:tcW w:w="280" w:type="dxa"/>
            <w:vAlign w:val="bottom"/>
            <w:tcBorders>
              <w:top w:val="single" w:sz="8" w:color="auto"/>
              <w:bottom w:val="single" w:sz="8" w:color="auto"/>
            </w:tcBorders>
            <w:shd w:val="clear" w:color="auto" w:fill="CCEEFF"/>
          </w:tcPr>
          <w:p>
            <w:pPr>
              <w:jc w:val="right"/>
              <w:ind w:right="127"/>
              <w:spacing w:after="0" w:line="166"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1,247,064</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762,718</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276,530</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line="166"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155,876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line="166"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51,940</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ind w:left="360" w:hanging="353"/>
        <w:spacing w:after="0"/>
        <w:tabs>
          <w:tab w:leader="none" w:pos="3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Refer to Note 8 of Notes to Consolidated Financial Statements.</w:t>
      </w:r>
    </w:p>
    <w:p>
      <w:pPr>
        <w:spacing w:after="0" w:line="11" w:lineRule="exact"/>
        <w:rPr>
          <w:rFonts w:ascii="Arial" w:cs="Arial" w:eastAsia="Arial" w:hAnsi="Arial"/>
          <w:sz w:val="15"/>
          <w:szCs w:val="15"/>
          <w:color w:val="auto"/>
        </w:rPr>
      </w:pPr>
    </w:p>
    <w:p>
      <w:pPr>
        <w:ind w:left="360" w:hanging="353"/>
        <w:spacing w:after="0"/>
        <w:tabs>
          <w:tab w:leader="none" w:pos="3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Refer to Note 10 of Notes to Consolidated Financial Statements. Amounts include interest.</w:t>
      </w:r>
    </w:p>
    <w:p>
      <w:pPr>
        <w:spacing w:after="0" w:line="2" w:lineRule="exact"/>
        <w:rPr>
          <w:rFonts w:ascii="Arial" w:cs="Arial" w:eastAsia="Arial" w:hAnsi="Arial"/>
          <w:sz w:val="15"/>
          <w:szCs w:val="15"/>
          <w:color w:val="auto"/>
        </w:rPr>
      </w:pPr>
    </w:p>
    <w:p>
      <w:pPr>
        <w:ind w:left="360" w:hanging="353"/>
        <w:spacing w:after="0"/>
        <w:tabs>
          <w:tab w:leader="none" w:pos="3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Refer to Note 10 of Notes to Consolidated Financial Statements.</w:t>
      </w:r>
    </w:p>
    <w:p>
      <w:pPr>
        <w:spacing w:after="0" w:line="2" w:lineRule="exact"/>
        <w:rPr>
          <w:rFonts w:ascii="Arial" w:cs="Arial" w:eastAsia="Arial" w:hAnsi="Arial"/>
          <w:sz w:val="15"/>
          <w:szCs w:val="15"/>
          <w:color w:val="auto"/>
        </w:rPr>
      </w:pPr>
    </w:p>
    <w:p>
      <w:pPr>
        <w:ind w:firstLine="7"/>
        <w:spacing w:after="0" w:line="304" w:lineRule="auto"/>
        <w:tabs>
          <w:tab w:leader="none" w:pos="365"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computing interest expense, the Company used its weighted average interest rate outstanding on fixed rate debt to estimate its interest expense on fixed rate debt. The Company used its weighted average variable interest rate on outstanding variable rate debt at December 31, 2013, and added 0.25 percent per year to estimate its interest expense on variable rate debt.</w:t>
      </w:r>
    </w:p>
    <w:p>
      <w:pPr>
        <w:jc w:val="both"/>
        <w:ind w:firstLine="7"/>
        <w:spacing w:after="0" w:line="336" w:lineRule="auto"/>
        <w:tabs>
          <w:tab w:leader="none" w:pos="447" w:val="left"/>
        </w:tabs>
        <w:numPr>
          <w:ilvl w:val="0"/>
          <w:numId w:val="9"/>
        </w:numPr>
        <w:rPr>
          <w:rFonts w:ascii="Arial" w:cs="Arial" w:eastAsia="Arial" w:hAnsi="Arial"/>
          <w:sz w:val="12"/>
          <w:szCs w:val="12"/>
          <w:color w:val="auto"/>
        </w:rPr>
      </w:pPr>
      <w:r>
        <w:rPr>
          <w:rFonts w:ascii="Arial" w:cs="Arial" w:eastAsia="Arial" w:hAnsi="Arial"/>
          <w:sz w:val="12"/>
          <w:szCs w:val="12"/>
          <w:color w:val="auto"/>
        </w:rPr>
        <w:t>Purchase obligations represent non-cancelable contractual obligations at December 31, 2013 related to the Company’s construction contracts for facilities in San Antonio, Texas, Orlando, Florida and Dallas, Texas, the Company’s contract with Titan Technology Partners for integration and management services related to the SAP enterprise software and dealership management system implementation and SAP America, Inc. with respect to the Software License Agreement for the SAP enterprise software and dealership management system.</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81"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52" w:lineRule="exact"/>
        <w:rPr>
          <w:sz w:val="20"/>
          <w:szCs w:val="20"/>
          <w:color w:val="auto"/>
        </w:rPr>
      </w:pPr>
    </w:p>
    <w:p>
      <w:pPr>
        <w:jc w:val="both"/>
        <w:ind w:right="20" w:firstLine="525"/>
        <w:spacing w:after="0" w:line="248" w:lineRule="auto"/>
        <w:rPr>
          <w:sz w:val="20"/>
          <w:szCs w:val="20"/>
          <w:color w:val="auto"/>
        </w:rPr>
      </w:pPr>
      <w:r>
        <w:rPr>
          <w:rFonts w:ascii="Arial" w:cs="Arial" w:eastAsia="Arial" w:hAnsi="Arial"/>
          <w:sz w:val="15"/>
          <w:szCs w:val="15"/>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December 31, 2013, the Company had floor plan borrowings and variable interest rate real estate debt of approximately $669.8 million. Assuming an increase or decrease in LIBOR of 100 basis points, annual interest expense could correspondingly increase or decrease by approximately $6.7 million.</w:t>
      </w:r>
    </w:p>
    <w:p>
      <w:pPr>
        <w:spacing w:after="0" w:line="161" w:lineRule="exact"/>
        <w:rPr>
          <w:sz w:val="20"/>
          <w:szCs w:val="20"/>
          <w:color w:val="auto"/>
        </w:rPr>
      </w:pPr>
    </w:p>
    <w:p>
      <w:pPr>
        <w:jc w:val="both"/>
        <w:ind w:right="20" w:firstLine="525"/>
        <w:spacing w:after="0" w:line="251" w:lineRule="auto"/>
        <w:rPr>
          <w:sz w:val="20"/>
          <w:szCs w:val="20"/>
          <w:color w:val="auto"/>
        </w:rPr>
      </w:pPr>
      <w:r>
        <w:rPr>
          <w:rFonts w:ascii="Arial" w:cs="Arial" w:eastAsia="Arial" w:hAnsi="Arial"/>
          <w:sz w:val="15"/>
          <w:szCs w:val="15"/>
          <w:color w:val="auto"/>
        </w:rPr>
        <w:t>The Company offers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202" w:lineRule="exact"/>
        <w:rPr>
          <w:sz w:val="20"/>
          <w:szCs w:val="20"/>
          <w:color w:val="auto"/>
        </w:rPr>
      </w:pPr>
    </w:p>
    <w:p>
      <w:pPr>
        <w:jc w:val="both"/>
        <w:ind w:right="20" w:firstLine="525"/>
        <w:spacing w:after="0" w:line="247" w:lineRule="auto"/>
        <w:rPr>
          <w:sz w:val="20"/>
          <w:szCs w:val="20"/>
          <w:color w:val="auto"/>
        </w:rPr>
      </w:pPr>
      <w:r>
        <w:rPr>
          <w:rFonts w:ascii="Arial" w:cs="Arial" w:eastAsia="Arial" w:hAnsi="Arial"/>
          <w:sz w:val="15"/>
          <w:szCs w:val="15"/>
          <w:color w:val="auto"/>
        </w:rPr>
        <w:t>The Company is exposed to some market risk through interest rate swaps on some of the Company’s variable interest rate real estate debt. As of December 31, 2013, the Company had interest rate swaps with a total notional amount of $38.4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9 – Financial Instruments and Fair Value of the Notes to Consolidated Financial Statements.</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60"/>
          </w:cols>
          <w:pgMar w:left="220" w:top="496" w:right="519" w:bottom="1440" w:gutter="0" w:footer="0" w:header="0"/>
        </w:sectPr>
      </w:pPr>
    </w:p>
    <w:bookmarkStart w:id="44" w:name="page45"/>
    <w:bookmarkEnd w:id="44"/>
    <w:p>
      <w:pPr>
        <w:jc w:val="both"/>
        <w:ind w:firstLine="525"/>
        <w:spacing w:after="0" w:line="247" w:lineRule="auto"/>
        <w:rPr>
          <w:sz w:val="20"/>
          <w:szCs w:val="20"/>
          <w:color w:val="auto"/>
        </w:rPr>
      </w:pPr>
      <w:r>
        <w:rPr>
          <w:rFonts w:ascii="Arial" w:cs="Arial" w:eastAsia="Arial" w:hAnsi="Arial"/>
          <w:sz w:val="15"/>
          <w:szCs w:val="15"/>
          <w:color w:val="auto"/>
        </w:rPr>
        <w:t>The Company is also exposed to some market risk through interest rates related to the investment of our current cash and cash equivalents which totaled $217.3 million on December 31, 2013.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$2.2 million.</w:t>
      </w:r>
    </w:p>
    <w:p>
      <w:pPr>
        <w:spacing w:after="0" w:line="162" w:lineRule="exact"/>
        <w:rPr>
          <w:sz w:val="20"/>
          <w:szCs w:val="20"/>
          <w:color w:val="auto"/>
        </w:rPr>
      </w:pPr>
    </w:p>
    <w:p>
      <w:pPr>
        <w:jc w:val="both"/>
        <w:ind w:firstLine="525"/>
        <w:spacing w:after="0" w:line="317" w:lineRule="auto"/>
        <w:rPr>
          <w:sz w:val="20"/>
          <w:szCs w:val="20"/>
          <w:color w:val="auto"/>
        </w:rPr>
      </w:pPr>
      <w:r>
        <w:rPr>
          <w:rFonts w:ascii="Arial" w:cs="Arial" w:eastAsia="Arial" w:hAnsi="Arial"/>
          <w:sz w:val="12"/>
          <w:szCs w:val="12"/>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 As of December 31, 2013,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9 – Financial Instruments and Fair Value of the Notes to Consolidated Financial Statements.</w:t>
      </w:r>
    </w:p>
    <w:p>
      <w:pPr>
        <w:spacing w:after="0" w:line="320"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40"/>
          </w:cols>
          <w:pgMar w:left="220" w:top="500" w:right="5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8"/>
        </w:trPr>
        <w:tc>
          <w:tcPr>
            <w:tcW w:w="7800" w:type="dxa"/>
            <w:vAlign w:val="bottom"/>
          </w:tcPr>
          <w:p>
            <w:pPr>
              <w:spacing w:after="0"/>
              <w:rPr>
                <w:sz w:val="20"/>
                <w:szCs w:val="20"/>
                <w:color w:val="auto"/>
              </w:rPr>
            </w:pPr>
            <w:r>
              <w:rPr>
                <w:rFonts w:ascii="Arial" w:cs="Arial" w:eastAsia="Arial" w:hAnsi="Arial"/>
                <w:sz w:val="15"/>
                <w:szCs w:val="15"/>
                <w:b w:val="1"/>
                <w:bCs w:val="1"/>
                <w:color w:val="auto"/>
              </w:rPr>
              <w:t>Item 8. Financial Statements and Supplementary Data</w:t>
            </w:r>
          </w:p>
        </w:tc>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78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Report of Independent Registered Public Accounting Firm</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15"/>
                <w:szCs w:val="15"/>
                <w:color w:val="auto"/>
              </w:rPr>
            </w:pPr>
          </w:p>
        </w:tc>
      </w:tr>
      <w:tr>
        <w:trPr>
          <w:trHeight w:val="175"/>
        </w:trPr>
        <w:tc>
          <w:tcPr>
            <w:tcW w:w="7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Report of Independent Registered Public Accounting Firm on Internal Control over Financial Reporting</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15"/>
                <w:szCs w:val="15"/>
                <w:color w:val="auto"/>
              </w:rPr>
            </w:pPr>
          </w:p>
        </w:tc>
      </w:tr>
      <w:tr>
        <w:trPr>
          <w:trHeight w:val="175"/>
        </w:trPr>
        <w:tc>
          <w:tcPr>
            <w:tcW w:w="7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Consolidated Balance Sheets as of December 31, 2013 and 2012</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5"/>
                <w:szCs w:val="15"/>
                <w:color w:val="auto"/>
              </w:rPr>
            </w:pPr>
          </w:p>
        </w:tc>
      </w:tr>
      <w:tr>
        <w:trPr>
          <w:trHeight w:val="175"/>
        </w:trPr>
        <w:tc>
          <w:tcPr>
            <w:tcW w:w="7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Consolidated Statements of Income for the Years Ended December 31, 2013, 2012 and 2011</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15"/>
                <w:szCs w:val="15"/>
                <w:color w:val="auto"/>
              </w:rPr>
            </w:pPr>
          </w:p>
        </w:tc>
      </w:tr>
      <w:tr>
        <w:trPr>
          <w:trHeight w:val="175"/>
        </w:trPr>
        <w:tc>
          <w:tcPr>
            <w:tcW w:w="7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Consolidated Statements of Comprehensive Income for the Years Ended December 31, 2013, 2012 and 2011</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r>
      <w:tr>
        <w:trPr>
          <w:trHeight w:val="175"/>
        </w:trPr>
        <w:tc>
          <w:tcPr>
            <w:tcW w:w="7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Consolidated Statements of Shareholders’ Equity for the Years Ended December 31, 2013, 2012 and 2011</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48</w:t>
            </w:r>
          </w:p>
        </w:tc>
        <w:tc>
          <w:tcPr>
            <w:tcW w:w="20" w:type="dxa"/>
            <w:vAlign w:val="bottom"/>
          </w:tcPr>
          <w:p>
            <w:pPr>
              <w:spacing w:after="0"/>
              <w:rPr>
                <w:sz w:val="15"/>
                <w:szCs w:val="15"/>
                <w:color w:val="auto"/>
              </w:rPr>
            </w:pPr>
          </w:p>
        </w:tc>
      </w:tr>
      <w:tr>
        <w:trPr>
          <w:trHeight w:val="175"/>
        </w:trPr>
        <w:tc>
          <w:tcPr>
            <w:tcW w:w="7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Consolidated Statements of Cash Flows for the Years Ended December 31, 2013, 2012 and 2011</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r>
      <w:tr>
        <w:trPr>
          <w:trHeight w:val="175"/>
        </w:trPr>
        <w:tc>
          <w:tcPr>
            <w:tcW w:w="7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Notes to Consolidated Financial Statements</w:t>
            </w:r>
          </w:p>
        </w:tc>
        <w:tc>
          <w:tcPr>
            <w:tcW w:w="3660" w:type="dxa"/>
            <w:vAlign w:val="bottom"/>
            <w:shd w:val="clear" w:color="auto" w:fill="CCEEFF"/>
          </w:tcPr>
          <w:p>
            <w:pPr>
              <w:jc w:val="right"/>
              <w:ind w:right="2027"/>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r>
      <w:tr>
        <w:trPr>
          <w:trHeight w:val="720"/>
        </w:trPr>
        <w:tc>
          <w:tcPr>
            <w:tcW w:w="7800" w:type="dxa"/>
            <w:vAlign w:val="bottom"/>
          </w:tcPr>
          <w:p>
            <w:pPr>
              <w:ind w:left="5660"/>
              <w:spacing w:after="0"/>
              <w:rPr>
                <w:sz w:val="20"/>
                <w:szCs w:val="20"/>
                <w:color w:val="auto"/>
              </w:rPr>
            </w:pPr>
            <w:r>
              <w:rPr>
                <w:rFonts w:ascii="Arial" w:cs="Arial" w:eastAsia="Arial" w:hAnsi="Arial"/>
                <w:sz w:val="15"/>
                <w:szCs w:val="15"/>
                <w:color w:val="auto"/>
              </w:rPr>
              <w:t>43</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780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46" w:name="page47"/>
    <w:bookmarkEnd w:id="46"/>
    <w:p>
      <w:pPr>
        <w:jc w:val="center"/>
        <w:spacing w:after="0"/>
        <w:rPr>
          <w:sz w:val="20"/>
          <w:szCs w:val="20"/>
          <w:color w:val="auto"/>
        </w:rPr>
      </w:pPr>
      <w:r>
        <w:rPr>
          <w:rFonts w:ascii="Arial" w:cs="Arial" w:eastAsia="Arial" w:hAnsi="Arial"/>
          <w:sz w:val="15"/>
          <w:szCs w:val="15"/>
          <w:color w:val="auto"/>
        </w:rPr>
        <w:t>Report of Independent Registered Public Accounting Firm</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 of</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Rush Enterprises, Inc.</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color w:val="auto"/>
        </w:rPr>
        <w:t>We have audited the accompanying consolidated balance sheets of Rush Enterprises, Inc. and subsidiaries (“the Company”) as of December 31, 2013 and 2012, and the related consolidated statements of income, comprehensive income, shareholders'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42"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Rush Enterprises, Inc. and subsidiaries at December 31, 2013 and 2012, and the consolidated results of their operations and their cash flows for each of the three years in the period ended December 31, 2013, in conformity with U.S. generally accepted accounting principles.</w:t>
      </w:r>
    </w:p>
    <w:p>
      <w:pPr>
        <w:spacing w:after="0" w:line="158" w:lineRule="exact"/>
        <w:rPr>
          <w:sz w:val="20"/>
          <w:szCs w:val="20"/>
          <w:color w:val="auto"/>
        </w:rPr>
      </w:pPr>
    </w:p>
    <w:p>
      <w:pPr>
        <w:jc w:val="both"/>
        <w:ind w:right="20"/>
        <w:spacing w:after="0" w:line="251"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Rush Enterprises, Inc.’s internal control over financial reporting as of December 31, 2013, based on criteria established in Internal Control-Integrated Framework issued by the Committee of Sponsoring Organizations of the Treadway Commission (1992 Framework) and our report dated March 3, 2014 expressed an unqualified opinion thereon.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Antonio, Texas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March 3, 2014</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80"/>
          </w:cols>
          <w:pgMar w:left="220" w:top="675" w:right="49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5"/>
          <w:szCs w:val="15"/>
          <w:u w:val="single" w:color="auto"/>
          <w:color w:val="auto"/>
        </w:rPr>
        <w:t>RUSH ENTERPRISES, INC. AND SUBSIDIARIES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Thousands, Except Shares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right"/>
              <w:ind w:right="88"/>
              <w:spacing w:after="0"/>
              <w:rPr>
                <w:sz w:val="20"/>
                <w:szCs w:val="20"/>
                <w:color w:val="auto"/>
              </w:rPr>
            </w:pPr>
            <w:r>
              <w:rPr>
                <w:rFonts w:ascii="Arial" w:cs="Arial" w:eastAsia="Arial" w:hAnsi="Arial"/>
                <w:sz w:val="15"/>
                <w:szCs w:val="15"/>
                <w:b w:val="1"/>
                <w:bCs w:val="1"/>
                <w:color w:val="auto"/>
              </w:rPr>
              <w:t>December 31,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rPr>
              <w:t>2013</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0" w:type="dxa"/>
            <w:vAlign w:val="bottom"/>
          </w:tcPr>
          <w:p>
            <w:pPr>
              <w:spacing w:after="0" w:line="166" w:lineRule="exact"/>
              <w:rPr>
                <w:sz w:val="20"/>
                <w:szCs w:val="20"/>
                <w:color w:val="auto"/>
              </w:rPr>
            </w:pPr>
            <w:r>
              <w:rPr>
                <w:rFonts w:ascii="Arial" w:cs="Arial" w:eastAsia="Arial" w:hAnsi="Arial"/>
                <w:sz w:val="15"/>
                <w:szCs w:val="15"/>
                <w:color w:val="auto"/>
              </w:rPr>
              <w:t>Current assets: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217,305</w:t>
            </w:r>
          </w:p>
        </w:tc>
        <w:tc>
          <w:tcPr>
            <w:tcW w:w="460" w:type="dxa"/>
            <w:vAlign w:val="bottom"/>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198,773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Arial" w:cs="Arial" w:eastAsia="Arial" w:hAnsi="Arial"/>
                <w:sz w:val="15"/>
                <w:szCs w:val="15"/>
                <w:color w:val="auto"/>
              </w:rPr>
              <w:t>Accounts receivable, net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103,293</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89,615</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Inventories, net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802,220</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690,953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Arial" w:cs="Arial" w:eastAsia="Arial" w:hAnsi="Arial"/>
                <w:sz w:val="15"/>
                <w:szCs w:val="15"/>
                <w:color w:val="auto"/>
              </w:rPr>
              <w:t>Prepaid expenses and other</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14,341</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12,088</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Deferred income taxes, net</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16,277</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14,630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1,153,436</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1,006,059</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Investments</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6,628</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6,628</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739,663</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622,112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Goodwill, net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215,464</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198,257</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assets, net</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52,607</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48,510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20" w:type="dxa"/>
            <w:vAlign w:val="bottom"/>
            <w:gridSpan w:val="2"/>
          </w:tcPr>
          <w:p>
            <w:pPr>
              <w:spacing w:after="0"/>
              <w:rPr>
                <w:sz w:val="14"/>
                <w:szCs w:val="14"/>
                <w:color w:val="auto"/>
              </w:rPr>
            </w:pPr>
          </w:p>
        </w:tc>
        <w:tc>
          <w:tcPr>
            <w:tcW w:w="4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2,167,798</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1,881,566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vMerge w:val="continue"/>
          </w:tcPr>
          <w:p>
            <w:pPr>
              <w:spacing w:after="0"/>
              <w:rPr>
                <w:sz w:val="15"/>
                <w:szCs w:val="15"/>
                <w:color w:val="auto"/>
              </w:rPr>
            </w:pPr>
          </w:p>
        </w:tc>
        <w:tc>
          <w:tcPr>
            <w:tcW w:w="6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Current liabilities:</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Arial" w:cs="Arial" w:eastAsia="Arial" w:hAnsi="Arial"/>
                <w:sz w:val="15"/>
                <w:szCs w:val="15"/>
                <w:color w:val="auto"/>
              </w:rPr>
              <w:t>Floor plan notes payable</w:t>
            </w:r>
          </w:p>
        </w:tc>
        <w:tc>
          <w:tcPr>
            <w:tcW w:w="460" w:type="dxa"/>
            <w:vAlign w:val="bottom"/>
            <w:gridSpan w:val="2"/>
          </w:tcPr>
          <w:p>
            <w:pPr>
              <w:jc w:val="right"/>
              <w:ind w:right="207"/>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593,649</w:t>
            </w: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534,520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maturities of long-term debt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97,243</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80,030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Arial" w:cs="Arial" w:eastAsia="Arial" w:hAnsi="Arial"/>
                <w:sz w:val="15"/>
                <w:szCs w:val="15"/>
                <w:color w:val="auto"/>
              </w:rPr>
              <w:t>Current maturities of capital lease obligations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10,268</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10,673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Trade accounts payable</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100,375</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62,270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Arial" w:cs="Arial" w:eastAsia="Arial" w:hAnsi="Arial"/>
                <w:sz w:val="15"/>
                <w:szCs w:val="15"/>
                <w:color w:val="auto"/>
              </w:rPr>
              <w:t>Customer deposits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58,319</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29,180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Accrued expenses</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69,321</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71,773</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0" w:type="dxa"/>
            <w:vAlign w:val="bottom"/>
          </w:tcPr>
          <w:p>
            <w:pPr>
              <w:ind w:left="120"/>
              <w:spacing w:after="0" w:line="166" w:lineRule="exact"/>
              <w:rPr>
                <w:sz w:val="20"/>
                <w:szCs w:val="20"/>
                <w:color w:val="auto"/>
              </w:rPr>
            </w:pPr>
            <w:r>
              <w:rPr>
                <w:rFonts w:ascii="Arial" w:cs="Arial" w:eastAsia="Arial" w:hAnsi="Arial"/>
                <w:sz w:val="15"/>
                <w:szCs w:val="15"/>
                <w:color w:val="auto"/>
              </w:rPr>
              <w:t>Total current liabilities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929,175</w:t>
            </w:r>
          </w:p>
        </w:tc>
        <w:tc>
          <w:tcPr>
            <w:tcW w:w="460" w:type="dxa"/>
            <w:vAlign w:val="bottom"/>
          </w:tcPr>
          <w:p>
            <w:pPr>
              <w:spacing w:after="0"/>
              <w:rPr>
                <w:sz w:val="14"/>
                <w:szCs w:val="14"/>
                <w:color w:val="auto"/>
              </w:rPr>
            </w:pPr>
          </w:p>
        </w:tc>
        <w:tc>
          <w:tcPr>
            <w:tcW w:w="118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788,446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Long-term debt, net of current maturities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385,538</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319,634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net of current maturities</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35,199</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39,300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4,683</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2,484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taxes, net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147,822</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123,756</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0" w:type="dxa"/>
            <w:vAlign w:val="bottom"/>
          </w:tcPr>
          <w:p>
            <w:pPr>
              <w:ind w:left="120"/>
              <w:spacing w:after="0" w:line="164" w:lineRule="exact"/>
              <w:rPr>
                <w:sz w:val="20"/>
                <w:szCs w:val="20"/>
                <w:color w:val="auto"/>
              </w:rPr>
            </w:pPr>
            <w:r>
              <w:rPr>
                <w:rFonts w:ascii="Arial" w:cs="Arial" w:eastAsia="Arial" w:hAnsi="Arial"/>
                <w:sz w:val="15"/>
                <w:szCs w:val="15"/>
                <w:color w:val="auto"/>
                <w:w w:val="94"/>
              </w:rPr>
              <w:t>Preferred stock, par value $.01 per share; 1,000,000 shares authorized; 0 shares outstanding in 2013 and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20" w:type="dxa"/>
            <w:vAlign w:val="bottom"/>
            <w:gridSpan w:val="2"/>
          </w:tcPr>
          <w:p>
            <w:pPr>
              <w:ind w:left="140"/>
              <w:spacing w:after="0"/>
              <w:rPr>
                <w:sz w:val="20"/>
                <w:szCs w:val="20"/>
                <w:color w:val="auto"/>
              </w:rPr>
            </w:pPr>
            <w:r>
              <w:rPr>
                <w:rFonts w:ascii="Arial" w:cs="Arial" w:eastAsia="Arial" w:hAnsi="Arial"/>
                <w:sz w:val="15"/>
                <w:szCs w:val="15"/>
                <w:color w:val="auto"/>
              </w:rPr>
              <w:t>2012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0" w:type="dxa"/>
            <w:vAlign w:val="bottom"/>
            <w:shd w:val="clear" w:color="auto" w:fill="CCEEFF"/>
          </w:tcPr>
          <w:p>
            <w:pPr>
              <w:ind w:left="120"/>
              <w:spacing w:after="0" w:line="165" w:lineRule="exact"/>
              <w:rPr>
                <w:sz w:val="20"/>
                <w:szCs w:val="20"/>
                <w:color w:val="auto"/>
              </w:rPr>
            </w:pPr>
            <w:r>
              <w:rPr>
                <w:rFonts w:ascii="Arial" w:cs="Arial" w:eastAsia="Arial" w:hAnsi="Arial"/>
                <w:sz w:val="15"/>
                <w:szCs w:val="15"/>
                <w:color w:val="auto"/>
                <w:w w:val="88"/>
              </w:rPr>
              <w:t>Common stock, par value $.01 per share; 60,000,000 Class A shares and 20,000,000 Class B shares authorized;</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87"/>
              </w:rPr>
              <w:t>28,910,505 Class A shares and 10,304,518 Class B shares outstanding in 2013; and 27,999,068 Class A shares</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and 10,792,223 Class B shares outstanding in 2012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414</w:t>
            </w:r>
          </w:p>
        </w:tc>
        <w:tc>
          <w:tcPr>
            <w:tcW w:w="4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Arial" w:cs="Arial" w:eastAsia="Arial" w:hAnsi="Arial"/>
                <w:sz w:val="15"/>
                <w:szCs w:val="15"/>
                <w:color w:val="auto"/>
              </w:rPr>
              <w:t>Additional paid-in capital</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243,154</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222,627</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Treasury stock, at cost: 2,194,519 Class B shares</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(30,821)</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(17,948)</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Arial" w:cs="Arial" w:eastAsia="Arial" w:hAnsi="Arial"/>
                <w:sz w:val="15"/>
                <w:szCs w:val="15"/>
                <w:color w:val="auto"/>
              </w:rPr>
              <w:t>Retained earnings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453,836</w:t>
            </w:r>
          </w:p>
        </w:tc>
        <w:tc>
          <w:tcPr>
            <w:tcW w:w="4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404,619</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 net of tax</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(1,202)</w:t>
            </w: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(1,756)</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shareholders’ equity</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665,381</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607,946</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20" w:type="dxa"/>
            <w:vAlign w:val="bottom"/>
            <w:gridSpan w:val="2"/>
          </w:tcPr>
          <w:p>
            <w:pPr>
              <w:spacing w:after="0"/>
              <w:rPr>
                <w:sz w:val="14"/>
                <w:szCs w:val="14"/>
                <w:color w:val="auto"/>
              </w:rPr>
            </w:pPr>
          </w:p>
        </w:tc>
        <w:tc>
          <w:tcPr>
            <w:tcW w:w="4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 and shareholders’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2,167,798</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1,881,566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60" w:type="dxa"/>
            <w:vAlign w:val="bottom"/>
            <w:gridSpan w:val="5"/>
          </w:tcPr>
          <w:p>
            <w:pPr>
              <w:jc w:val="center"/>
              <w:ind w:left="2707"/>
              <w:spacing w:after="0"/>
              <w:rPr>
                <w:sz w:val="20"/>
                <w:szCs w:val="20"/>
                <w:color w:val="auto"/>
              </w:rPr>
            </w:pPr>
            <w:r>
              <w:rPr>
                <w:rFonts w:ascii="Arial" w:cs="Arial" w:eastAsia="Arial" w:hAnsi="Arial"/>
                <w:sz w:val="15"/>
                <w:szCs w:val="15"/>
                <w:color w:val="auto"/>
                <w:w w:val="86"/>
              </w:rPr>
              <w:t>The accompanying notes are an integral part of these consolidated financial statements.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6820" w:type="dxa"/>
            <w:vAlign w:val="bottom"/>
            <w:gridSpan w:val="2"/>
          </w:tcPr>
          <w:p>
            <w:pPr>
              <w:jc w:val="right"/>
              <w:ind w:right="947"/>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48" w:name="page49"/>
    <w:bookmarkEnd w:id="48"/>
    <w:p>
      <w:pPr>
        <w:jc w:val="center"/>
        <w:ind w:right="-1139"/>
        <w:spacing w:after="0"/>
        <w:rPr>
          <w:sz w:val="20"/>
          <w:szCs w:val="20"/>
          <w:color w:val="auto"/>
        </w:rPr>
      </w:pPr>
      <w:r>
        <w:rPr>
          <w:rFonts w:ascii="Arial" w:cs="Arial" w:eastAsia="Arial" w:hAnsi="Arial"/>
          <w:sz w:val="15"/>
          <w:szCs w:val="15"/>
          <w:u w:val="single" w:color="auto"/>
          <w:color w:val="auto"/>
        </w:rPr>
        <w:t>RUSH ENTERPRISES, INC. AND SUBSIDIARIES</w:t>
      </w:r>
    </w:p>
    <w:p>
      <w:pPr>
        <w:spacing w:after="0" w:line="11" w:lineRule="exact"/>
        <w:rPr>
          <w:sz w:val="20"/>
          <w:szCs w:val="20"/>
          <w:color w:val="auto"/>
        </w:rPr>
      </w:pPr>
    </w:p>
    <w:p>
      <w:pPr>
        <w:jc w:val="center"/>
        <w:ind w:right="-1139"/>
        <w:spacing w:after="0"/>
        <w:rPr>
          <w:sz w:val="20"/>
          <w:szCs w:val="20"/>
          <w:color w:val="auto"/>
        </w:rPr>
      </w:pPr>
      <w:r>
        <w:rPr>
          <w:rFonts w:ascii="Arial" w:cs="Arial" w:eastAsia="Arial" w:hAnsi="Arial"/>
          <w:sz w:val="15"/>
          <w:szCs w:val="15"/>
          <w:u w:val="single" w:color="auto"/>
          <w:color w:val="auto"/>
        </w:rPr>
        <w:t>CONSOLIDATED STATEMENTS OF INCOME</w:t>
      </w:r>
    </w:p>
    <w:p>
      <w:pPr>
        <w:spacing w:after="0" w:line="2"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5"/>
                <w:szCs w:val="15"/>
                <w:b w:val="1"/>
                <w:bCs w:val="1"/>
                <w:color w:val="auto"/>
                <w:w w:val="88"/>
              </w:rPr>
              <w:t>Year Ended December 31,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rPr>
              <w:t>2013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7"/>
              <w:spacing w:after="0" w:line="168"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rPr>
              <w:t>New and used commercial vehicle sales</w:t>
            </w:r>
          </w:p>
        </w:tc>
        <w:tc>
          <w:tcPr>
            <w:tcW w:w="2320" w:type="dxa"/>
            <w:vAlign w:val="bottom"/>
            <w:gridSpan w:val="2"/>
          </w:tcPr>
          <w:p>
            <w:pPr>
              <w:jc w:val="right"/>
              <w:ind w:right="827"/>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2,239,847</w:t>
            </w:r>
          </w:p>
        </w:tc>
        <w:tc>
          <w:tcPr>
            <w:tcW w:w="100" w:type="dxa"/>
            <w:vAlign w:val="bottom"/>
          </w:tcPr>
          <w:p>
            <w:pPr>
              <w:spacing w:after="0"/>
              <w:rPr>
                <w:sz w:val="15"/>
                <w:szCs w:val="15"/>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2,149,335</w:t>
            </w:r>
          </w:p>
        </w:tc>
        <w:tc>
          <w:tcPr>
            <w:tcW w:w="200" w:type="dxa"/>
            <w:vAlign w:val="bottom"/>
          </w:tcPr>
          <w:p>
            <w:pPr>
              <w:spacing w:after="0"/>
              <w:rPr>
                <w:sz w:val="15"/>
                <w:szCs w:val="15"/>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1,801,964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Parts and service sales</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988,317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817,280</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675,277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rPr>
              <w:t>Lease and rental</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129,638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100,247</w:t>
            </w:r>
          </w:p>
        </w:tc>
        <w:tc>
          <w:tcPr>
            <w:tcW w:w="3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83,426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Finance and insurance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15,320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13,638</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10,867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rPr>
              <w:t>Other</w:t>
            </w:r>
          </w:p>
        </w:tc>
        <w:tc>
          <w:tcPr>
            <w:tcW w:w="1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10,067</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rPr>
              <w:t>Total revenue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6"/>
              </w:rPr>
              <w:t>3,384,705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3,090,567</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2,580,611</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b w:val="1"/>
                <w:bCs w:val="1"/>
                <w:color w:val="auto"/>
              </w:rPr>
              <w:t>Cost of products sold</w:t>
            </w:r>
            <w:r>
              <w:rPr>
                <w:rFonts w:ascii="Arial" w:cs="Arial" w:eastAsia="Arial" w:hAnsi="Arial"/>
                <w:sz w:val="15"/>
                <w:szCs w:val="15"/>
                <w:color w:val="auto"/>
              </w:rPr>
              <w:t>:</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New and used commercial vehicle sales</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2,083,439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2,005,776</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1,679,170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rPr>
              <w:t>Parts and service sales</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620,030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499,850</w:t>
            </w:r>
          </w:p>
        </w:tc>
        <w:tc>
          <w:tcPr>
            <w:tcW w:w="3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408,544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Lease and rental</w:t>
            </w:r>
          </w:p>
        </w:tc>
        <w:tc>
          <w:tcPr>
            <w:tcW w:w="1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109,222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84,174</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69,620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cost of products sold</w:t>
            </w:r>
          </w:p>
        </w:tc>
        <w:tc>
          <w:tcPr>
            <w:tcW w:w="1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2,812,691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2,589,800</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2,157,334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profit</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572,014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500,767</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423,277</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450,340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361,727</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306,273</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29,925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25,016</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20,084</w:t>
            </w:r>
          </w:p>
        </w:tc>
        <w:tc>
          <w:tcPr>
            <w:tcW w:w="0" w:type="dxa"/>
            <w:vAlign w:val="bottom"/>
          </w:tcPr>
          <w:p>
            <w:pPr>
              <w:spacing w:after="0"/>
              <w:rPr>
                <w:sz w:val="1"/>
                <w:szCs w:val="1"/>
                <w:color w:val="auto"/>
              </w:rPr>
            </w:pPr>
          </w:p>
        </w:tc>
      </w:tr>
      <w:tr>
        <w:trPr>
          <w:trHeight w:val="175"/>
        </w:trPr>
        <w:tc>
          <w:tcPr>
            <w:tcW w:w="382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Gain on sale of assets</w:t>
            </w:r>
          </w:p>
        </w:tc>
        <w:tc>
          <w:tcPr>
            <w:tcW w:w="1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income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91,754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114,200</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97,338</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(expense):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(13,038)</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(7,181)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interest expense, net</w:t>
            </w:r>
          </w:p>
        </w:tc>
        <w:tc>
          <w:tcPr>
            <w:tcW w:w="1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10,693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13,017</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before taxes</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81,061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101,183</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90,177</w:t>
            </w:r>
          </w:p>
        </w:tc>
        <w:tc>
          <w:tcPr>
            <w:tcW w:w="0" w:type="dxa"/>
            <w:vAlign w:val="bottom"/>
          </w:tcPr>
          <w:p>
            <w:pPr>
              <w:spacing w:after="0"/>
              <w:rPr>
                <w:sz w:val="1"/>
                <w:szCs w:val="1"/>
                <w:color w:val="auto"/>
              </w:rPr>
            </w:pPr>
          </w:p>
        </w:tc>
      </w:tr>
      <w:tr>
        <w:trPr>
          <w:trHeight w:val="175"/>
        </w:trPr>
        <w:tc>
          <w:tcPr>
            <w:tcW w:w="382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38,728</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34,964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20" w:type="dxa"/>
            <w:vAlign w:val="bottom"/>
            <w:gridSpan w:val="2"/>
          </w:tcPr>
          <w:p>
            <w:pPr>
              <w:spacing w:after="0"/>
              <w:rPr>
                <w:sz w:val="14"/>
                <w:szCs w:val="14"/>
                <w:color w:val="auto"/>
              </w:rPr>
            </w:pPr>
          </w:p>
        </w:tc>
        <w:tc>
          <w:tcPr>
            <w:tcW w:w="2320" w:type="dxa"/>
            <w:vAlign w:val="bottom"/>
            <w:gridSpan w:val="2"/>
          </w:tcPr>
          <w:p>
            <w:pPr>
              <w:spacing w:after="0"/>
              <w:rPr>
                <w:sz w:val="14"/>
                <w:szCs w:val="14"/>
                <w:color w:val="auto"/>
              </w:rPr>
            </w:pPr>
          </w:p>
        </w:tc>
        <w:tc>
          <w:tcPr>
            <w:tcW w:w="700" w:type="dxa"/>
            <w:vAlign w:val="bottom"/>
            <w:gridSpan w:val="2"/>
          </w:tcPr>
          <w:p>
            <w:pPr>
              <w:spacing w:after="0"/>
              <w:rPr>
                <w:sz w:val="14"/>
                <w:szCs w:val="14"/>
                <w:color w:val="auto"/>
              </w:rPr>
            </w:pPr>
          </w:p>
        </w:tc>
        <w:tc>
          <w:tcPr>
            <w:tcW w:w="440" w:type="dxa"/>
            <w:vAlign w:val="bottom"/>
            <w:gridSpan w:val="2"/>
          </w:tcPr>
          <w:p>
            <w:pPr>
              <w:spacing w:after="0"/>
              <w:rPr>
                <w:sz w:val="14"/>
                <w:szCs w:val="14"/>
                <w:color w:val="auto"/>
              </w:rPr>
            </w:pPr>
          </w:p>
        </w:tc>
        <w:tc>
          <w:tcPr>
            <w:tcW w:w="14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2320" w:type="dxa"/>
            <w:vAlign w:val="bottom"/>
            <w:gridSpan w:val="2"/>
            <w:shd w:val="clear" w:color="auto" w:fill="CCEEFF"/>
          </w:tcPr>
          <w:p>
            <w:pPr>
              <w:jc w:val="right"/>
              <w:ind w:right="827"/>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49,217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62,455</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55,213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Earnings per common share - Basic:</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Net income</w:t>
            </w:r>
          </w:p>
        </w:tc>
        <w:tc>
          <w:tcPr>
            <w:tcW w:w="2320" w:type="dxa"/>
            <w:vAlign w:val="bottom"/>
            <w:gridSpan w:val="2"/>
          </w:tcPr>
          <w:p>
            <w:pPr>
              <w:jc w:val="right"/>
              <w:ind w:right="827"/>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1.25</w:t>
            </w:r>
          </w:p>
        </w:tc>
        <w:tc>
          <w:tcPr>
            <w:tcW w:w="4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1.62</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b w:val="1"/>
                <w:bCs w:val="1"/>
                <w:color w:val="auto"/>
              </w:rPr>
              <w:t>Earnings per common share - Diluted:</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320" w:type="dxa"/>
            <w:vAlign w:val="bottom"/>
            <w:gridSpan w:val="2"/>
            <w:shd w:val="clear" w:color="auto" w:fill="CCEEFF"/>
          </w:tcPr>
          <w:p>
            <w:pPr>
              <w:jc w:val="right"/>
              <w:ind w:right="827"/>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1.57</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320"/>
          </w:cols>
          <w:pgMar w:left="220" w:top="500" w:right="1359" w:bottom="1440" w:gutter="0" w:footer="0" w:header="0"/>
        </w:sectPr>
      </w:pPr>
    </w:p>
    <w:bookmarkStart w:id="49" w:name="page50"/>
    <w:bookmarkEnd w:id="49"/>
    <w:p>
      <w:pPr>
        <w:jc w:val="center"/>
        <w:ind w:right="-1139"/>
        <w:spacing w:after="0"/>
        <w:rPr>
          <w:sz w:val="20"/>
          <w:szCs w:val="20"/>
          <w:color w:val="auto"/>
        </w:rPr>
      </w:pPr>
      <w:r>
        <w:rPr>
          <w:rFonts w:ascii="Arial" w:cs="Arial" w:eastAsia="Arial" w:hAnsi="Arial"/>
          <w:sz w:val="15"/>
          <w:szCs w:val="15"/>
          <w:u w:val="single" w:color="auto"/>
          <w:color w:val="auto"/>
        </w:rPr>
        <w:t>RUSH ENTERPRISES, INC. AND SUBSIDIARIES</w:t>
      </w:r>
    </w:p>
    <w:p>
      <w:pPr>
        <w:spacing w:after="0" w:line="11" w:lineRule="exact"/>
        <w:rPr>
          <w:sz w:val="20"/>
          <w:szCs w:val="20"/>
          <w:color w:val="auto"/>
        </w:rPr>
      </w:pPr>
    </w:p>
    <w:p>
      <w:pPr>
        <w:jc w:val="center"/>
        <w:ind w:right="-1139"/>
        <w:spacing w:after="0"/>
        <w:rPr>
          <w:sz w:val="20"/>
          <w:szCs w:val="20"/>
          <w:color w:val="auto"/>
        </w:rPr>
      </w:pPr>
      <w:r>
        <w:rPr>
          <w:rFonts w:ascii="Arial" w:cs="Arial" w:eastAsia="Arial" w:hAnsi="Arial"/>
          <w:sz w:val="15"/>
          <w:szCs w:val="15"/>
          <w:u w:val="single" w:color="auto"/>
          <w:color w:val="auto"/>
        </w:rPr>
        <w:t>CONSOLIDATED STATEMENTS OF COMPREHENSIVE INCOME</w:t>
      </w:r>
    </w:p>
    <w:p>
      <w:pPr>
        <w:spacing w:after="0" w:line="2"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60"/>
              <w:spacing w:after="0"/>
              <w:rPr>
                <w:sz w:val="20"/>
                <w:szCs w:val="20"/>
                <w:color w:val="auto"/>
              </w:rPr>
            </w:pPr>
            <w:r>
              <w:rPr>
                <w:rFonts w:ascii="Arial" w:cs="Arial" w:eastAsia="Arial" w:hAnsi="Arial"/>
                <w:sz w:val="15"/>
                <w:szCs w:val="15"/>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right"/>
              <w:ind w:right="47"/>
              <w:spacing w:after="0" w:line="168" w:lineRule="exact"/>
              <w:rPr>
                <w:sz w:val="20"/>
                <w:szCs w:val="20"/>
                <w:color w:val="auto"/>
              </w:rPr>
            </w:pPr>
            <w:r>
              <w:rPr>
                <w:rFonts w:ascii="Arial" w:cs="Arial" w:eastAsia="Arial" w:hAnsi="Arial"/>
                <w:sz w:val="15"/>
                <w:szCs w:val="15"/>
                <w:b w:val="1"/>
                <w:bCs w:val="1"/>
                <w:color w:val="auto"/>
              </w:rPr>
              <w:t>2013</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7"/>
              <w:spacing w:after="0" w:line="168"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4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1040" w:type="dxa"/>
            <w:vAlign w:val="bottom"/>
            <w:gridSpan w:val="2"/>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49,217</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62,455</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55,213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w w:val="90"/>
              </w:rPr>
              <w:t>Other comprehensive income (loss) before tax and net of reclassification adjustments:</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 in fair value of interest rate swaps</w:t>
            </w: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317</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ind w:left="120"/>
              <w:spacing w:after="0"/>
              <w:rPr>
                <w:sz w:val="20"/>
                <w:szCs w:val="20"/>
                <w:color w:val="auto"/>
              </w:rPr>
            </w:pPr>
            <w:r>
              <w:rPr>
                <w:rFonts w:ascii="Arial" w:cs="Arial" w:eastAsia="Arial" w:hAnsi="Arial"/>
                <w:sz w:val="15"/>
                <w:szCs w:val="15"/>
                <w:color w:val="auto"/>
              </w:rPr>
              <w:t>Unrealized loss on available-for-sale securities</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(947)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Other comprehensive income (loss), before tax</w:t>
            </w:r>
          </w:p>
        </w:tc>
        <w:tc>
          <w:tcPr>
            <w:tcW w:w="2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892</w:t>
            </w:r>
          </w:p>
        </w:tc>
        <w:tc>
          <w:tcPr>
            <w:tcW w:w="20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317</w:t>
            </w:r>
          </w:p>
        </w:tc>
        <w:tc>
          <w:tcPr>
            <w:tcW w:w="20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(2,815)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gridSpan w:val="2"/>
          </w:tcPr>
          <w:p>
            <w:pPr>
              <w:spacing w:after="0"/>
              <w:rPr>
                <w:sz w:val="20"/>
                <w:szCs w:val="20"/>
                <w:color w:val="auto"/>
              </w:rPr>
            </w:pPr>
            <w:r>
              <w:rPr>
                <w:rFonts w:ascii="Arial" w:cs="Arial" w:eastAsia="Arial" w:hAnsi="Arial"/>
                <w:sz w:val="15"/>
                <w:szCs w:val="15"/>
                <w:color w:val="auto"/>
                <w:w w:val="92"/>
              </w:rPr>
              <w:t>Income tax expense (benefit) related to components of other comprehensive income</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338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124</w:t>
            </w: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Other comprehensive income (loss), net of tax</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554</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193</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(1,727)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Comprehensive income</w:t>
            </w:r>
          </w:p>
        </w:tc>
        <w:tc>
          <w:tcPr>
            <w:tcW w:w="1040" w:type="dxa"/>
            <w:vAlign w:val="bottom"/>
            <w:gridSpan w:val="2"/>
          </w:tcPr>
          <w:p>
            <w:pPr>
              <w:jc w:val="right"/>
              <w:ind w:right="90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66" w:lineRule="exact"/>
              <w:rPr>
                <w:sz w:val="20"/>
                <w:szCs w:val="20"/>
                <w:color w:val="auto"/>
              </w:rPr>
            </w:pPr>
            <w:r>
              <w:rPr>
                <w:rFonts w:ascii="Arial" w:cs="Arial" w:eastAsia="Arial" w:hAnsi="Arial"/>
                <w:sz w:val="15"/>
                <w:szCs w:val="15"/>
                <w:color w:val="auto"/>
              </w:rPr>
              <w:t>49,771</w:t>
            </w:r>
          </w:p>
        </w:tc>
        <w:tc>
          <w:tcPr>
            <w:tcW w:w="540" w:type="dxa"/>
            <w:vAlign w:val="bottom"/>
            <w:gridSpan w:val="2"/>
          </w:tcPr>
          <w:p>
            <w:pPr>
              <w:jc w:val="right"/>
              <w:ind w:right="280"/>
              <w:spacing w:after="0" w:line="166"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62,648</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53,486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320"/>
          </w:cols>
          <w:pgMar w:left="220" w:top="500" w:right="1359" w:bottom="1440" w:gutter="0" w:footer="0" w:header="0"/>
        </w:sectPr>
      </w:pPr>
    </w:p>
    <w:bookmarkStart w:id="50" w:name="page51"/>
    <w:bookmarkEnd w:id="50"/>
    <w:p>
      <w:pPr>
        <w:jc w:val="center"/>
        <w:spacing w:after="0"/>
        <w:rPr>
          <w:sz w:val="20"/>
          <w:szCs w:val="20"/>
          <w:color w:val="auto"/>
        </w:rPr>
      </w:pPr>
      <w:r>
        <w:rPr>
          <w:rFonts w:ascii="Arial" w:cs="Arial" w:eastAsia="Arial" w:hAnsi="Arial"/>
          <w:sz w:val="15"/>
          <w:szCs w:val="15"/>
          <w:u w:val="single" w:color="auto"/>
          <w:color w:val="auto"/>
        </w:rPr>
        <w:t>RUSH ENTERPRISES,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5"/>
                <w:szCs w:val="15"/>
                <w:color w:val="auto"/>
                <w:w w:val="87"/>
              </w:rPr>
              <w:t>Common Stock</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Accumulated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0" w:type="dxa"/>
            <w:vAlign w:val="bottom"/>
            <w:gridSpan w:val="3"/>
          </w:tcPr>
          <w:p>
            <w:pPr>
              <w:jc w:val="center"/>
              <w:ind w:left="627"/>
              <w:spacing w:after="0"/>
              <w:rPr>
                <w:sz w:val="20"/>
                <w:szCs w:val="20"/>
                <w:color w:val="auto"/>
              </w:rPr>
            </w:pPr>
            <w:r>
              <w:rPr>
                <w:rFonts w:ascii="Arial" w:cs="Arial" w:eastAsia="Arial" w:hAnsi="Arial"/>
                <w:sz w:val="15"/>
                <w:szCs w:val="15"/>
                <w:color w:val="auto"/>
                <w:w w:val="79"/>
              </w:rPr>
              <w:t>Shares</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47"/>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w w:val="97"/>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27"/>
              <w:spacing w:after="0"/>
              <w:rPr>
                <w:sz w:val="20"/>
                <w:szCs w:val="20"/>
                <w:color w:val="auto"/>
              </w:rPr>
            </w:pPr>
            <w:r>
              <w:rPr>
                <w:rFonts w:ascii="Arial" w:cs="Arial" w:eastAsia="Arial" w:hAnsi="Arial"/>
                <w:sz w:val="15"/>
                <w:szCs w:val="15"/>
                <w:color w:val="auto"/>
                <w:w w:val="86"/>
              </w:rPr>
              <w:t>Outstanding</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5"/>
                <w:szCs w:val="15"/>
                <w:color w:val="auto"/>
              </w:rPr>
              <w:t>Par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5"/>
                <w:szCs w:val="15"/>
                <w:color w:val="auto"/>
              </w:rPr>
              <w:t>Pain-In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color w:val="auto"/>
                <w:w w:val="87"/>
              </w:rPr>
              <w:t>Treasury</w:t>
            </w:r>
          </w:p>
        </w:tc>
        <w:tc>
          <w:tcPr>
            <w:tcW w:w="12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color w:val="auto"/>
                <w:w w:val="89"/>
              </w:rPr>
              <w:t>Retained</w:t>
            </w:r>
          </w:p>
        </w:tc>
        <w:tc>
          <w:tcPr>
            <w:tcW w:w="1080" w:type="dxa"/>
            <w:vAlign w:val="bottom"/>
            <w:gridSpan w:val="3"/>
          </w:tcPr>
          <w:p>
            <w:pPr>
              <w:spacing w:after="0"/>
              <w:rPr>
                <w:sz w:val="20"/>
                <w:szCs w:val="20"/>
                <w:color w:val="auto"/>
              </w:rPr>
            </w:pPr>
            <w:r>
              <w:rPr>
                <w:rFonts w:ascii="Arial" w:cs="Arial" w:eastAsia="Arial" w:hAnsi="Arial"/>
                <w:sz w:val="15"/>
                <w:szCs w:val="15"/>
                <w:color w:val="auto"/>
              </w:rPr>
              <w:t>Comprehensive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Borders>
              <w:bottom w:val="single" w:sz="8" w:color="auto"/>
            </w:tcBorders>
          </w:tcPr>
          <w:p>
            <w:pPr>
              <w:jc w:val="right"/>
              <w:ind w:right="167"/>
              <w:spacing w:after="0" w:line="166" w:lineRule="exact"/>
              <w:rPr>
                <w:sz w:val="20"/>
                <w:szCs w:val="20"/>
                <w:color w:val="auto"/>
              </w:rPr>
            </w:pPr>
            <w:r>
              <w:rPr>
                <w:rFonts w:ascii="Arial" w:cs="Arial" w:eastAsia="Arial" w:hAnsi="Arial"/>
                <w:sz w:val="15"/>
                <w:szCs w:val="15"/>
                <w:color w:val="auto"/>
              </w:rPr>
              <w:t>Class A</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Class B</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7"/>
              <w:spacing w:after="0" w:line="164" w:lineRule="exact"/>
              <w:rPr>
                <w:sz w:val="20"/>
                <w:szCs w:val="20"/>
                <w:color w:val="auto"/>
              </w:rPr>
            </w:pPr>
            <w:r>
              <w:rPr>
                <w:rFonts w:ascii="Arial" w:cs="Arial" w:eastAsia="Arial" w:hAnsi="Arial"/>
                <w:sz w:val="15"/>
                <w:szCs w:val="15"/>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7"/>
              <w:spacing w:after="0" w:line="164" w:lineRule="exact"/>
              <w:rPr>
                <w:sz w:val="20"/>
                <w:szCs w:val="20"/>
                <w:color w:val="auto"/>
              </w:rPr>
            </w:pPr>
            <w:r>
              <w:rPr>
                <w:rFonts w:ascii="Arial" w:cs="Arial" w:eastAsia="Arial" w:hAnsi="Arial"/>
                <w:sz w:val="15"/>
                <w:szCs w:val="15"/>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7"/>
              <w:spacing w:after="0" w:line="164" w:lineRule="exact"/>
              <w:rPr>
                <w:sz w:val="20"/>
                <w:szCs w:val="20"/>
                <w:color w:val="auto"/>
              </w:rPr>
            </w:pPr>
            <w:r>
              <w:rPr>
                <w:rFonts w:ascii="Arial" w:cs="Arial" w:eastAsia="Arial" w:hAnsi="Arial"/>
                <w:sz w:val="15"/>
                <w:szCs w:val="15"/>
                <w:color w:val="auto"/>
              </w:rPr>
              <w:t>Stock</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7"/>
              <w:spacing w:after="0" w:line="164" w:lineRule="exact"/>
              <w:rPr>
                <w:sz w:val="20"/>
                <w:szCs w:val="20"/>
                <w:color w:val="auto"/>
              </w:rPr>
            </w:pPr>
            <w:r>
              <w:rPr>
                <w:rFonts w:ascii="Arial" w:cs="Arial" w:eastAsia="Arial" w:hAnsi="Arial"/>
                <w:sz w:val="15"/>
                <w:szCs w:val="15"/>
                <w:color w:val="auto"/>
                <w:w w:val="97"/>
              </w:rPr>
              <w:t>Earnings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7"/>
              <w:spacing w:after="0" w:line="164" w:lineRule="exact"/>
              <w:rPr>
                <w:sz w:val="20"/>
                <w:szCs w:val="20"/>
                <w:color w:val="auto"/>
              </w:rPr>
            </w:pPr>
            <w:r>
              <w:rPr>
                <w:rFonts w:ascii="Arial" w:cs="Arial" w:eastAsia="Arial" w:hAnsi="Arial"/>
                <w:sz w:val="15"/>
                <w:szCs w:val="15"/>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7"/>
              <w:spacing w:after="0" w:line="164" w:lineRule="exact"/>
              <w:rPr>
                <w:sz w:val="20"/>
                <w:szCs w:val="20"/>
                <w:color w:val="auto"/>
              </w:rPr>
            </w:pPr>
            <w:r>
              <w:rPr>
                <w:rFonts w:ascii="Arial" w:cs="Arial" w:eastAsia="Arial" w:hAnsi="Arial"/>
                <w:sz w:val="15"/>
                <w:szCs w:val="15"/>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92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10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26,799</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10,700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391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195,747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(17,948)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286,951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464,919</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w w:val="94"/>
              </w:rPr>
              <w:t>Stock options exercised (including tax</w:t>
            </w: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benefit of $1,993)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455</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77</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6,308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Pr>
          <w:p>
            <w:pPr>
              <w:spacing w:after="0" w:line="164" w:lineRule="exact"/>
              <w:rPr>
                <w:sz w:val="20"/>
                <w:szCs w:val="20"/>
                <w:color w:val="auto"/>
              </w:rPr>
            </w:pPr>
            <w:r>
              <w:rPr>
                <w:rFonts w:ascii="Arial" w:cs="Arial" w:eastAsia="Arial" w:hAnsi="Arial"/>
                <w:sz w:val="15"/>
                <w:szCs w:val="15"/>
                <w:color w:val="auto"/>
                <w:w w:val="96"/>
              </w:rPr>
              <w:t>Stock-based compensation related to</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5"/>
                <w:szCs w:val="15"/>
                <w:color w:val="auto"/>
                <w:w w:val="95"/>
              </w:rPr>
              <w:t>stock options, restricted shares and</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5"/>
                <w:szCs w:val="15"/>
                <w:color w:val="auto"/>
              </w:rPr>
              <w:t>employee stock purchase plan</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5,683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5,683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Vesting of restricted share awards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Pr>
          <w:p>
            <w:pPr>
              <w:spacing w:after="0" w:line="164" w:lineRule="exact"/>
              <w:rPr>
                <w:sz w:val="20"/>
                <w:szCs w:val="20"/>
                <w:color w:val="auto"/>
              </w:rPr>
            </w:pPr>
            <w:r>
              <w:rPr>
                <w:rFonts w:ascii="Arial" w:cs="Arial" w:eastAsia="Arial" w:hAnsi="Arial"/>
                <w:sz w:val="15"/>
                <w:szCs w:val="15"/>
                <w:color w:val="auto"/>
              </w:rPr>
              <w:t>Issuance of common stock under</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5"/>
                <w:szCs w:val="15"/>
                <w:color w:val="auto"/>
              </w:rPr>
              <w:t>employee stock purchase plan</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62</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837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(loss)</w:t>
            </w: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(1,727)</w:t>
            </w:r>
          </w:p>
        </w:tc>
        <w:tc>
          <w:tcPr>
            <w:tcW w:w="0" w:type="dxa"/>
            <w:vAlign w:val="bottom"/>
          </w:tcPr>
          <w:p>
            <w:pPr>
              <w:spacing w:after="0"/>
              <w:rPr>
                <w:sz w:val="1"/>
                <w:szCs w:val="1"/>
                <w:color w:val="auto"/>
              </w:rPr>
            </w:pPr>
          </w:p>
        </w:tc>
      </w:tr>
      <w:tr>
        <w:trPr>
          <w:trHeight w:val="175"/>
        </w:trPr>
        <w:tc>
          <w:tcPr>
            <w:tcW w:w="24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55,213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55,213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b w:val="1"/>
                <w:bCs w:val="1"/>
                <w:color w:val="auto"/>
              </w:rPr>
              <w:t>Balance, December 31, 2011</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27,406</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10,777</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398</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208,569</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(17,948)</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342,164</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(1,949)</w:t>
            </w: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531,234</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400" w:type="dxa"/>
            <w:vAlign w:val="bottom"/>
          </w:tcPr>
          <w:p>
            <w:pPr>
              <w:spacing w:after="0" w:line="164" w:lineRule="exact"/>
              <w:rPr>
                <w:sz w:val="20"/>
                <w:szCs w:val="20"/>
                <w:color w:val="auto"/>
              </w:rPr>
            </w:pPr>
            <w:r>
              <w:rPr>
                <w:rFonts w:ascii="Arial" w:cs="Arial" w:eastAsia="Arial" w:hAnsi="Arial"/>
                <w:sz w:val="15"/>
                <w:szCs w:val="15"/>
                <w:color w:val="auto"/>
              </w:rPr>
              <w:t>Stock options exercised and stock</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5"/>
                <w:szCs w:val="15"/>
                <w:color w:val="auto"/>
              </w:rPr>
              <w:t>awards (including tax benefit of</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gridSpan w:val="2"/>
          </w:tcPr>
          <w:p>
            <w:pPr>
              <w:ind w:left="140"/>
              <w:spacing w:after="0"/>
              <w:rPr>
                <w:sz w:val="20"/>
                <w:szCs w:val="20"/>
                <w:color w:val="auto"/>
              </w:rPr>
            </w:pPr>
            <w:r>
              <w:rPr>
                <w:rFonts w:ascii="Arial" w:cs="Arial" w:eastAsia="Arial" w:hAnsi="Arial"/>
                <w:sz w:val="15"/>
                <w:szCs w:val="15"/>
                <w:color w:val="auto"/>
              </w:rPr>
              <w:t>$1,668)</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439</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5,722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5,726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w w:val="96"/>
              </w:rPr>
              <w:t>Stock-based compensation related to</w:t>
            </w: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stock options, restricted shares and</w:t>
            </w: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employee stock purchase plan</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7,332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Vesting of restricted share awards</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83</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Issuance of common stock under</w:t>
            </w: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employee stock purchase plan</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71</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62,455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62,455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40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27,999</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10,792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404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222,627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(17,948)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404,619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(1,756)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607,946</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Stock options exercised and stock</w:t>
            </w: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awards (including tax benefit of</w:t>
            </w: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$2,566)</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747</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43</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11,333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Pr>
          <w:p>
            <w:pPr>
              <w:spacing w:after="0" w:line="164" w:lineRule="exact"/>
              <w:rPr>
                <w:sz w:val="20"/>
                <w:szCs w:val="20"/>
                <w:color w:val="auto"/>
              </w:rPr>
            </w:pPr>
            <w:r>
              <w:rPr>
                <w:rFonts w:ascii="Arial" w:cs="Arial" w:eastAsia="Arial" w:hAnsi="Arial"/>
                <w:sz w:val="15"/>
                <w:szCs w:val="15"/>
                <w:color w:val="auto"/>
                <w:w w:val="96"/>
              </w:rPr>
              <w:t>Stock-based compensation related to</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5"/>
                <w:szCs w:val="15"/>
                <w:color w:val="auto"/>
                <w:w w:val="95"/>
              </w:rPr>
              <w:t>stock options, restricted shares and</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5"/>
                <w:szCs w:val="15"/>
                <w:color w:val="auto"/>
              </w:rPr>
              <w:t>employee stock purchase plan</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8,645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8,645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Vesting of restricted share awards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85</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Pr>
          <w:p>
            <w:pPr>
              <w:spacing w:after="0" w:line="164" w:lineRule="exact"/>
              <w:rPr>
                <w:sz w:val="20"/>
                <w:szCs w:val="20"/>
                <w:color w:val="auto"/>
              </w:rPr>
            </w:pPr>
            <w:r>
              <w:rPr>
                <w:rFonts w:ascii="Arial" w:cs="Arial" w:eastAsia="Arial" w:hAnsi="Arial"/>
                <w:sz w:val="15"/>
                <w:szCs w:val="15"/>
                <w:color w:val="auto"/>
              </w:rPr>
              <w:t>Issuance of common stock under</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5"/>
                <w:szCs w:val="15"/>
                <w:color w:val="auto"/>
              </w:rPr>
              <w:t>employee stock purchase plan</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80</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1,268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1,269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Common stock repurchases</w:t>
            </w: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(554)</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(12,873)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(12,873)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554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49,217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49,217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2013</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28,911</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10,305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243,154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(30,821)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453,836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(1,202)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665,381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5"/>
          <w:szCs w:val="15"/>
          <w:u w:val="single" w:color="auto"/>
          <w:color w:val="auto"/>
        </w:rPr>
        <w:t>RUSH ENTERPRISES,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5"/>
                <w:szCs w:val="15"/>
                <w:b w:val="1"/>
                <w:bCs w:val="1"/>
                <w:color w:val="auto"/>
                <w:w w:val="88"/>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20" w:type="dxa"/>
            <w:vAlign w:val="bottom"/>
            <w:tcBorders>
              <w:bottom w:val="single" w:sz="8" w:color="auto"/>
            </w:tcBorders>
          </w:tcPr>
          <w:p>
            <w:pPr>
              <w:jc w:val="right"/>
              <w:ind w:right="6"/>
              <w:spacing w:after="0" w:line="168" w:lineRule="exact"/>
              <w:rPr>
                <w:sz w:val="20"/>
                <w:szCs w:val="20"/>
                <w:color w:val="auto"/>
              </w:rPr>
            </w:pPr>
            <w:r>
              <w:rPr>
                <w:rFonts w:ascii="Arial" w:cs="Arial" w:eastAsia="Arial" w:hAnsi="Arial"/>
                <w:sz w:val="15"/>
                <w:szCs w:val="15"/>
                <w:b w:val="1"/>
                <w:bCs w:val="1"/>
                <w:color w:val="auto"/>
              </w:rPr>
              <w:t>2013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920" w:type="dxa"/>
            <w:vAlign w:val="bottom"/>
          </w:tcPr>
          <w:p>
            <w:pPr>
              <w:jc w:val="right"/>
              <w:ind w:right="846"/>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49,217</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62,455</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55,213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(used in) operating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380"/>
              <w:spacing w:after="0"/>
              <w:rPr>
                <w:sz w:val="20"/>
                <w:szCs w:val="20"/>
                <w:color w:val="auto"/>
              </w:rPr>
            </w:pPr>
            <w:r>
              <w:rPr>
                <w:rFonts w:ascii="Arial" w:cs="Arial" w:eastAsia="Arial" w:hAnsi="Arial"/>
                <w:sz w:val="15"/>
                <w:szCs w:val="15"/>
                <w:color w:val="auto"/>
              </w:rPr>
              <w:t>Depreciation and amortization</w:t>
            </w:r>
          </w:p>
        </w:tc>
        <w:tc>
          <w:tcPr>
            <w:tcW w:w="9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93,486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73,289</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56,934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Gain on sale of property and equipment, net</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(176)</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380"/>
              <w:spacing w:after="0"/>
              <w:rPr>
                <w:sz w:val="20"/>
                <w:szCs w:val="20"/>
                <w:color w:val="auto"/>
              </w:rPr>
            </w:pPr>
            <w:r>
              <w:rPr>
                <w:rFonts w:ascii="Arial" w:cs="Arial" w:eastAsia="Arial" w:hAnsi="Arial"/>
                <w:sz w:val="15"/>
                <w:szCs w:val="15"/>
                <w:color w:val="auto"/>
                <w:w w:val="88"/>
              </w:rPr>
              <w:t>Stock-based compensation expense related to employee stock options and employee stock purchases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8,645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7,332</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5,683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Provision for deferred income tax expense</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22,081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28,164</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28,680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380"/>
              <w:spacing w:after="0"/>
              <w:rPr>
                <w:sz w:val="20"/>
                <w:szCs w:val="20"/>
                <w:color w:val="auto"/>
              </w:rPr>
            </w:pPr>
            <w:r>
              <w:rPr>
                <w:rFonts w:ascii="Arial" w:cs="Arial" w:eastAsia="Arial" w:hAnsi="Arial"/>
                <w:sz w:val="15"/>
                <w:szCs w:val="15"/>
                <w:color w:val="auto"/>
              </w:rPr>
              <w:t>Excess tax benefits from stock-based compensation</w:t>
            </w:r>
          </w:p>
        </w:tc>
        <w:tc>
          <w:tcPr>
            <w:tcW w:w="9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(2,566)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(1,668)</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(1,628)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Change in accounts receivable, net</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(10,358)</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14,184</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(49,986)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380"/>
              <w:spacing w:after="0"/>
              <w:rPr>
                <w:sz w:val="20"/>
                <w:szCs w:val="20"/>
                <w:color w:val="auto"/>
              </w:rPr>
            </w:pPr>
            <w:r>
              <w:rPr>
                <w:rFonts w:ascii="Arial" w:cs="Arial" w:eastAsia="Arial" w:hAnsi="Arial"/>
                <w:sz w:val="15"/>
                <w:szCs w:val="15"/>
                <w:color w:val="auto"/>
              </w:rPr>
              <w:t>Change in inventories</w:t>
            </w:r>
          </w:p>
        </w:tc>
        <w:tc>
          <w:tcPr>
            <w:tcW w:w="9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(67,217)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32,579</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(268,178)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Change in prepaid expenses and other, net</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(1,789)</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558</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380"/>
              <w:spacing w:after="0"/>
              <w:rPr>
                <w:sz w:val="20"/>
                <w:szCs w:val="20"/>
                <w:color w:val="auto"/>
              </w:rPr>
            </w:pPr>
            <w:r>
              <w:rPr>
                <w:rFonts w:ascii="Arial" w:cs="Arial" w:eastAsia="Arial" w:hAnsi="Arial"/>
                <w:sz w:val="15"/>
                <w:szCs w:val="15"/>
                <w:color w:val="auto"/>
              </w:rPr>
              <w:t>Change in trade accounts payable</w:t>
            </w:r>
          </w:p>
        </w:tc>
        <w:tc>
          <w:tcPr>
            <w:tcW w:w="9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38,105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(29)</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24,366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Draws on floor plan notes payable – trade, net</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13,044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34,504</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380"/>
              <w:spacing w:after="0"/>
              <w:rPr>
                <w:sz w:val="20"/>
                <w:szCs w:val="20"/>
                <w:color w:val="auto"/>
              </w:rPr>
            </w:pPr>
            <w:r>
              <w:rPr>
                <w:rFonts w:ascii="Arial" w:cs="Arial" w:eastAsia="Arial" w:hAnsi="Arial"/>
                <w:sz w:val="15"/>
                <w:szCs w:val="15"/>
                <w:color w:val="auto"/>
              </w:rPr>
              <w:t>Change in customer deposits</w:t>
            </w:r>
          </w:p>
        </w:tc>
        <w:tc>
          <w:tcPr>
            <w:tcW w:w="9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29,139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(25,347)</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35,297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Change in accrued expenses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(6,509)</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30,669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Net cash provided by (used in) operating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173,488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219,336</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(81,369)</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4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Acquisition of property and equipment</w:t>
            </w:r>
          </w:p>
        </w:tc>
        <w:tc>
          <w:tcPr>
            <w:tcW w:w="9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(191,584)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(170,951)</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(148,543)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Proceeds from the sale of property and equipment</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633</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1,249</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10,692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Business acquisitions</w:t>
            </w:r>
          </w:p>
        </w:tc>
        <w:tc>
          <w:tcPr>
            <w:tcW w:w="9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(72,725)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(104,571)</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(94,630)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(5,992)</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Net cash used in investing activities</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(269,668)</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(274,297)</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(231,826)</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4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Draws (payments) on floor plan notes payable – non-trade, net</w:t>
            </w:r>
          </w:p>
        </w:tc>
        <w:tc>
          <w:tcPr>
            <w:tcW w:w="9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46,085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(20,677)</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282,883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Proceeds from long-term debt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171,166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144,639</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144,457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Principal payments on long-term debt</w:t>
            </w:r>
          </w:p>
        </w:tc>
        <w:tc>
          <w:tcPr>
            <w:tcW w:w="9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(88,048)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(73,151)</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(68,299)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Principal payments on capital lease obligations</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(13,511)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(11,584)</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(14,048)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w w:val="93"/>
              </w:rPr>
              <w:t>Proceeds from issuance of shares relating to employee stock options and employee stock purchases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9,327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5,064</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5,518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Excess tax benefits from stock-based compensation</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1,668</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Debt issuance costs</w:t>
            </w:r>
          </w:p>
        </w:tc>
        <w:tc>
          <w:tcPr>
            <w:tcW w:w="9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Common stock repurchased</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(12,873)</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Net cash provided by financing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114,712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45,959</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351,994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18,532</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(9,002)</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38,799</w:t>
            </w:r>
          </w:p>
        </w:tc>
        <w:tc>
          <w:tcPr>
            <w:tcW w:w="0" w:type="dxa"/>
            <w:vAlign w:val="bottom"/>
          </w:tcPr>
          <w:p>
            <w:pPr>
              <w:spacing w:after="0"/>
              <w:rPr>
                <w:sz w:val="1"/>
                <w:szCs w:val="1"/>
                <w:color w:val="auto"/>
              </w:rPr>
            </w:pPr>
          </w:p>
        </w:tc>
      </w:tr>
      <w:tr>
        <w:trPr>
          <w:trHeight w:val="175"/>
        </w:trPr>
        <w:tc>
          <w:tcPr>
            <w:tcW w:w="646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beginning of year</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198,773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207,775</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168,976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13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end of year</w:t>
            </w:r>
          </w:p>
        </w:tc>
        <w:tc>
          <w:tcPr>
            <w:tcW w:w="920" w:type="dxa"/>
            <w:vAlign w:val="bottom"/>
            <w:shd w:val="clear" w:color="auto" w:fill="CCEEFF"/>
          </w:tcPr>
          <w:p>
            <w:pPr>
              <w:jc w:val="right"/>
              <w:ind w:right="846"/>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217,305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198,773</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207,775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4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Cash paid during the year for:</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Interest</w:t>
            </w:r>
          </w:p>
        </w:tc>
        <w:tc>
          <w:tcPr>
            <w:tcW w:w="920" w:type="dxa"/>
            <w:vAlign w:val="bottom"/>
            <w:shd w:val="clear" w:color="auto" w:fill="CCEEFF"/>
          </w:tcPr>
          <w:p>
            <w:pPr>
              <w:jc w:val="right"/>
              <w:ind w:right="846"/>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24,195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23,275</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240"/>
              <w:spacing w:after="0" w:line="148" w:lineRule="exact"/>
              <w:rPr>
                <w:sz w:val="20"/>
                <w:szCs w:val="20"/>
                <w:color w:val="auto"/>
              </w:rPr>
            </w:pPr>
            <w:r>
              <w:rPr>
                <w:rFonts w:ascii="Arial" w:cs="Arial" w:eastAsia="Arial" w:hAnsi="Arial"/>
                <w:sz w:val="15"/>
                <w:szCs w:val="15"/>
                <w:color w:val="auto"/>
              </w:rPr>
              <w:t>Income taxes, net of refunds</w:t>
            </w:r>
          </w:p>
        </w:tc>
        <w:tc>
          <w:tcPr>
            <w:tcW w:w="920" w:type="dxa"/>
            <w:vAlign w:val="bottom"/>
          </w:tcPr>
          <w:p>
            <w:pPr>
              <w:jc w:val="right"/>
              <w:ind w:right="846"/>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148" w:lineRule="exact"/>
              <w:rPr>
                <w:sz w:val="20"/>
                <w:szCs w:val="20"/>
                <w:color w:val="auto"/>
              </w:rPr>
            </w:pPr>
            <w:r>
              <w:rPr>
                <w:rFonts w:ascii="Arial" w:cs="Arial" w:eastAsia="Arial" w:hAnsi="Arial"/>
                <w:sz w:val="15"/>
                <w:szCs w:val="15"/>
                <w:color w:val="auto"/>
              </w:rPr>
              <w:t>9,314</w:t>
            </w:r>
          </w:p>
        </w:tc>
        <w:tc>
          <w:tcPr>
            <w:tcW w:w="100" w:type="dxa"/>
            <w:vAlign w:val="bottom"/>
          </w:tcPr>
          <w:p>
            <w:pPr>
              <w:spacing w:after="0"/>
              <w:rPr>
                <w:sz w:val="12"/>
                <w:szCs w:val="12"/>
                <w:color w:val="auto"/>
              </w:rPr>
            </w:pPr>
          </w:p>
        </w:tc>
        <w:tc>
          <w:tcPr>
            <w:tcW w:w="460" w:type="dxa"/>
            <w:vAlign w:val="bottom"/>
            <w:gridSpan w:val="2"/>
          </w:tcPr>
          <w:p>
            <w:pPr>
              <w:jc w:val="right"/>
              <w:ind w:right="260"/>
              <w:spacing w:after="0" w:line="148"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20"/>
              <w:spacing w:after="0" w:line="148" w:lineRule="exact"/>
              <w:rPr>
                <w:sz w:val="20"/>
                <w:szCs w:val="20"/>
                <w:color w:val="auto"/>
              </w:rPr>
            </w:pPr>
            <w:r>
              <w:rPr>
                <w:rFonts w:ascii="Arial" w:cs="Arial" w:eastAsia="Arial" w:hAnsi="Arial"/>
                <w:sz w:val="15"/>
                <w:szCs w:val="15"/>
                <w:color w:val="auto"/>
              </w:rPr>
              <w:t>7,122</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5"/>
                <w:szCs w:val="15"/>
                <w:color w:val="auto"/>
              </w:rPr>
              <w:t>2,032</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spacing w:after="0" w:line="148" w:lineRule="exact"/>
              <w:rPr>
                <w:sz w:val="20"/>
                <w:szCs w:val="20"/>
                <w:color w:val="auto"/>
              </w:rPr>
            </w:pPr>
            <w:r>
              <w:rPr>
                <w:rFonts w:ascii="Arial" w:cs="Arial" w:eastAsia="Arial" w:hAnsi="Arial"/>
                <w:sz w:val="15"/>
                <w:szCs w:val="15"/>
                <w:color w:val="auto"/>
              </w:rPr>
              <w:t>Noncash investing and financing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Assets acquired under capital leases</w:t>
            </w:r>
          </w:p>
        </w:tc>
        <w:tc>
          <w:tcPr>
            <w:tcW w:w="920" w:type="dxa"/>
            <w:vAlign w:val="bottom"/>
          </w:tcPr>
          <w:p>
            <w:pPr>
              <w:jc w:val="right"/>
              <w:ind w:right="846"/>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9,005</w:t>
            </w:r>
          </w:p>
        </w:tc>
        <w:tc>
          <w:tcPr>
            <w:tcW w:w="10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15,892</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5"/>
          <w:szCs w:val="15"/>
          <w:u w:val="single" w:color="auto"/>
          <w:color w:val="auto"/>
        </w:rPr>
        <w:t>RUSH ENTERPRISES,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NOTES TO CONSOLIDATED FINANCIAL STATEMENTS</w:t>
      </w:r>
    </w:p>
    <w:p>
      <w:pPr>
        <w:spacing w:after="0" w:line="387" w:lineRule="exact"/>
        <w:rPr>
          <w:sz w:val="20"/>
          <w:szCs w:val="20"/>
          <w:color w:val="auto"/>
        </w:rPr>
      </w:pPr>
    </w:p>
    <w:p>
      <w:pPr>
        <w:ind w:left="880" w:hanging="873"/>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ORGANIZATION AND OPERATIONS</w:t>
      </w:r>
      <w:r>
        <w:rPr>
          <w:rFonts w:ascii="Arial" w:cs="Arial" w:eastAsia="Arial" w:hAnsi="Arial"/>
          <w:sz w:val="15"/>
          <w:szCs w:val="15"/>
          <w:color w:val="auto"/>
        </w:rPr>
        <w:t>:</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Mitsubishi Fuso, IC Bus or Blue Bird. Through its dealership network, the Company provides one-stop service for the needs of its customers, including retail sales of new and used commercial vehicles, aftermarket parts sales, service and repair facilities, financing, leasing and rental, and insurance products. The Company’s Rush Truck Centers are located throughout the United States.</w:t>
      </w:r>
    </w:p>
    <w:p>
      <w:pPr>
        <w:spacing w:after="0" w:line="161" w:lineRule="exact"/>
        <w:rPr>
          <w:sz w:val="20"/>
          <w:szCs w:val="20"/>
          <w:color w:val="auto"/>
        </w:rPr>
      </w:pPr>
    </w:p>
    <w:p>
      <w:pPr>
        <w:ind w:right="7940" w:firstLine="7"/>
        <w:spacing w:after="0" w:line="486" w:lineRule="auto"/>
        <w:tabs>
          <w:tab w:leader="none" w:pos="874"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SIGNIFICANT ACCOUNTING POLICIES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Principles of Consolidation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consolidated financial statements presented herein include the accounts of Rush Enterprises, Inc. together with our consolidated subsidiaries. All significant inter-company balances and transactions have been eliminated in consolidation.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Estimates in Financial Statements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Cash and Cash Equivalents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Cash and cash equivalents generally consist of cash and other money market instruments. The Company considers all highly liquid investments with an original maturity of ninety days or less to be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Allowance for Doubtful Receivables and Repossession Losses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Inventories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Inventories are stated at the lower of cost or market value. Cost is determined by specific identification of new and used commercial vehicle inventory and by the first-in, first-out method for parts and accessories. An allowance is provided when it is anticipated that cost will exceed net realizable value plus a reasonable profit margin.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3" w:name="page54"/>
    <w:bookmarkEnd w:id="53"/>
    <w:p>
      <w:pPr>
        <w:spacing w:after="0"/>
        <w:rPr>
          <w:sz w:val="20"/>
          <w:szCs w:val="20"/>
          <w:color w:val="auto"/>
        </w:rPr>
      </w:pPr>
      <w:r>
        <w:rPr>
          <w:rFonts w:ascii="Arial" w:cs="Arial" w:eastAsia="Arial" w:hAnsi="Arial"/>
          <w:sz w:val="15"/>
          <w:szCs w:val="15"/>
          <w:u w:val="single" w:color="auto"/>
          <w:color w:val="auto"/>
        </w:rPr>
        <w:t>Property and Equipment</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$128,000 related to major capital projects during 2013. The cost, accumulated depreciation and amortization and estimated useful lives are summarized as follows (in thousands):</w:t>
      </w:r>
    </w:p>
    <w:p>
      <w:pPr>
        <w:spacing w:after="0" w:line="162"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80" w:type="dxa"/>
            <w:vAlign w:val="bottom"/>
            <w:gridSpan w:val="2"/>
          </w:tcPr>
          <w:p>
            <w:pPr>
              <w:jc w:val="right"/>
              <w:ind w:right="88"/>
              <w:spacing w:after="0"/>
              <w:rPr>
                <w:sz w:val="20"/>
                <w:szCs w:val="20"/>
                <w:color w:val="auto"/>
              </w:rPr>
            </w:pPr>
            <w:r>
              <w:rPr>
                <w:rFonts w:ascii="Arial" w:cs="Arial" w:eastAsia="Arial" w:hAnsi="Arial"/>
                <w:sz w:val="15"/>
                <w:szCs w:val="15"/>
                <w:color w:val="auto"/>
              </w:rPr>
              <w:t>2013</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2012</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ind w:left="240"/>
              <w:spacing w:after="0"/>
              <w:rPr>
                <w:sz w:val="20"/>
                <w:szCs w:val="20"/>
                <w:color w:val="auto"/>
              </w:rPr>
            </w:pPr>
            <w:r>
              <w:rPr>
                <w:rFonts w:ascii="Arial" w:cs="Arial" w:eastAsia="Arial" w:hAnsi="Arial"/>
                <w:sz w:val="15"/>
                <w:szCs w:val="15"/>
                <w:color w:val="auto"/>
              </w:rPr>
              <w:t>Estimated Life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Land</w:t>
            </w:r>
          </w:p>
        </w:tc>
        <w:tc>
          <w:tcPr>
            <w:tcW w:w="86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81,196</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69,965</w:t>
            </w:r>
          </w:p>
        </w:tc>
        <w:tc>
          <w:tcPr>
            <w:tcW w:w="260" w:type="dxa"/>
            <w:vAlign w:val="bottom"/>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Buildings and improvements</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205,778</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174,953</w:t>
            </w:r>
          </w:p>
        </w:tc>
        <w:tc>
          <w:tcPr>
            <w:tcW w:w="26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31</w:t>
            </w:r>
          </w:p>
        </w:tc>
        <w:tc>
          <w:tcPr>
            <w:tcW w:w="240" w:type="dxa"/>
            <w:vAlign w:val="bottom"/>
          </w:tcPr>
          <w:p>
            <w:pPr>
              <w:ind w:left="100"/>
              <w:spacing w:after="0"/>
              <w:rPr>
                <w:sz w:val="20"/>
                <w:szCs w:val="20"/>
                <w:color w:val="auto"/>
              </w:rPr>
            </w:pPr>
            <w:r>
              <w:rPr>
                <w:rFonts w:ascii="Arial" w:cs="Arial" w:eastAsia="Arial" w:hAnsi="Arial"/>
                <w:sz w:val="15"/>
                <w:szCs w:val="15"/>
                <w:color w:val="auto"/>
              </w:rPr>
              <w:t>–</w:t>
            </w:r>
          </w:p>
        </w:tc>
        <w:tc>
          <w:tcPr>
            <w:tcW w:w="600" w:type="dxa"/>
            <w:vAlign w:val="bottom"/>
          </w:tcPr>
          <w:p>
            <w:pPr>
              <w:ind w:left="80"/>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25,681</w:t>
            </w: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24,710</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Machinery and shop equipment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42,274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40,581</w:t>
            </w:r>
          </w:p>
        </w:tc>
        <w:tc>
          <w:tcPr>
            <w:tcW w:w="26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5</w:t>
            </w:r>
          </w:p>
        </w:tc>
        <w:tc>
          <w:tcPr>
            <w:tcW w:w="240" w:type="dxa"/>
            <w:vAlign w:val="bottom"/>
          </w:tcPr>
          <w:p>
            <w:pPr>
              <w:ind w:left="100"/>
              <w:spacing w:after="0"/>
              <w:rPr>
                <w:sz w:val="20"/>
                <w:szCs w:val="20"/>
                <w:color w:val="auto"/>
              </w:rPr>
            </w:pPr>
            <w:r>
              <w:rPr>
                <w:rFonts w:ascii="Arial" w:cs="Arial" w:eastAsia="Arial" w:hAnsi="Arial"/>
                <w:sz w:val="15"/>
                <w:szCs w:val="15"/>
                <w:color w:val="auto"/>
              </w:rPr>
              <w:t>–</w:t>
            </w:r>
          </w:p>
        </w:tc>
        <w:tc>
          <w:tcPr>
            <w:tcW w:w="600" w:type="dxa"/>
            <w:vAlign w:val="bottom"/>
          </w:tcPr>
          <w:p>
            <w:pPr>
              <w:ind w:left="80"/>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Furniture, fixtures and computers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45,723</w:t>
            </w: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39,993</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w:t>
            </w:r>
          </w:p>
        </w:tc>
        <w:tc>
          <w:tcPr>
            <w:tcW w:w="2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Transportation equipment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45,005</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40,103</w:t>
            </w:r>
          </w:p>
        </w:tc>
        <w:tc>
          <w:tcPr>
            <w:tcW w:w="26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240" w:type="dxa"/>
            <w:vAlign w:val="bottom"/>
          </w:tcPr>
          <w:p>
            <w:pPr>
              <w:ind w:left="100"/>
              <w:spacing w:after="0"/>
              <w:rPr>
                <w:sz w:val="20"/>
                <w:szCs w:val="20"/>
                <w:color w:val="auto"/>
              </w:rPr>
            </w:pPr>
            <w:r>
              <w:rPr>
                <w:rFonts w:ascii="Arial" w:cs="Arial" w:eastAsia="Arial" w:hAnsi="Arial"/>
                <w:sz w:val="15"/>
                <w:szCs w:val="15"/>
                <w:color w:val="auto"/>
              </w:rPr>
              <w:t>–</w:t>
            </w:r>
          </w:p>
        </w:tc>
        <w:tc>
          <w:tcPr>
            <w:tcW w:w="600" w:type="dxa"/>
            <w:vAlign w:val="bottom"/>
          </w:tcPr>
          <w:p>
            <w:pPr>
              <w:ind w:left="80"/>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Lease and rental vehicles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547,557</w:t>
            </w: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443,035</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Construction in progress</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6,605</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 and amortization</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(259,551)</w:t>
            </w:r>
          </w:p>
        </w:tc>
        <w:tc>
          <w:tcPr>
            <w:tcW w:w="6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(217,833)</w:t>
            </w: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36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480" w:type="dxa"/>
            <w:vAlign w:val="bottom"/>
            <w:gridSpan w:val="2"/>
            <w:shd w:val="clear" w:color="auto" w:fill="CCEEFF"/>
          </w:tcPr>
          <w:p>
            <w:pPr>
              <w:jc w:val="right"/>
              <w:ind w:right="508"/>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739,663</w:t>
            </w: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622,112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As of December 31, 2013, the Company had $43.6 million in lease and rental vehicles under various capital leases included in property and equipment, net of accumulated amortization of $21.7 million. The Company recorded depreciation expense of $82.3 million and amortization expense of $11.2 million for the year ended December 31, 2013, and depreciation expense of $62.3 million and amortization expense of $11.0 million for the year ended December 31, 2012. Depreciation and amortization of vehicles related to lease and rental operations is included in lease and rental cost of products sold.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Goodwill</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Goodwill is the excess of the purchase price over the fair value of identifiable net assets acquired in business combinations accounted for under the purchase method. The Company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the Truck Segment, which is the level at which management regularly reviews operating results and makes resource allocation decisions.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No impairment write down was required in the fourth quarter of 2013. However, the Company cannot predict the occurrence of certain events that might adversely affect the reported value of goodwill in the future.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4" w:name="page55"/>
    <w:bookmarkEnd w:id="54"/>
    <w:p>
      <w:pPr>
        <w:spacing w:after="0"/>
        <w:rPr>
          <w:sz w:val="20"/>
          <w:szCs w:val="20"/>
          <w:color w:val="auto"/>
        </w:rPr>
      </w:pPr>
      <w:r>
        <w:rPr>
          <w:rFonts w:ascii="Arial" w:cs="Arial" w:eastAsia="Arial" w:hAnsi="Arial"/>
          <w:sz w:val="15"/>
          <w:szCs w:val="15"/>
          <w:color w:val="auto"/>
        </w:rPr>
        <w:t>The following table sets forth the change in the carrying amount of goodwill for the Company for the period ended December 31, 2013 (in thousands):</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Balance January 1, 2013</w:t>
            </w:r>
          </w:p>
        </w:tc>
        <w:tc>
          <w:tcPr>
            <w:tcW w:w="2600" w:type="dxa"/>
            <w:vAlign w:val="bottom"/>
            <w:gridSpan w:val="2"/>
            <w:shd w:val="clear" w:color="auto" w:fill="CCEEFF"/>
          </w:tcPr>
          <w:p>
            <w:pPr>
              <w:jc w:val="right"/>
              <w:ind w:right="448"/>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198,257</w:t>
            </w:r>
          </w:p>
        </w:tc>
        <w:tc>
          <w:tcPr>
            <w:tcW w:w="100" w:type="dxa"/>
            <w:vAlign w:val="bottom"/>
            <w:shd w:val="clear" w:color="auto" w:fill="CCEEFF"/>
          </w:tcPr>
          <w:p>
            <w:pPr>
              <w:spacing w:after="0"/>
              <w:rPr>
                <w:sz w:val="15"/>
                <w:szCs w:val="15"/>
                <w:color w:val="auto"/>
              </w:rPr>
            </w:pPr>
          </w:p>
        </w:tc>
      </w:tr>
      <w:tr>
        <w:trPr>
          <w:trHeight w:val="175"/>
        </w:trPr>
        <w:tc>
          <w:tcPr>
            <w:tcW w:w="5480" w:type="dxa"/>
            <w:vAlign w:val="bottom"/>
          </w:tcPr>
          <w:p>
            <w:pPr>
              <w:ind w:left="120"/>
              <w:spacing w:after="0"/>
              <w:rPr>
                <w:sz w:val="20"/>
                <w:szCs w:val="20"/>
                <w:color w:val="auto"/>
              </w:rPr>
            </w:pPr>
            <w:r>
              <w:rPr>
                <w:rFonts w:ascii="Arial" w:cs="Arial" w:eastAsia="Arial" w:hAnsi="Arial"/>
                <w:sz w:val="15"/>
                <w:szCs w:val="15"/>
                <w:color w:val="auto"/>
              </w:rPr>
              <w:t>Adjustment to acquisition of MVI Group</w:t>
            </w:r>
          </w:p>
        </w:tc>
        <w:tc>
          <w:tcPr>
            <w:tcW w:w="2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5"/>
                <w:szCs w:val="15"/>
                <w:color w:val="auto"/>
              </w:rPr>
            </w:pPr>
          </w:p>
        </w:tc>
      </w:tr>
      <w:tr>
        <w:trPr>
          <w:trHeight w:val="175"/>
        </w:trPr>
        <w:tc>
          <w:tcPr>
            <w:tcW w:w="5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Acquisition of Larson Group (See Note 15)</w:t>
            </w:r>
          </w:p>
        </w:tc>
        <w:tc>
          <w:tcPr>
            <w:tcW w:w="2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5"/>
                <w:szCs w:val="15"/>
                <w:color w:val="auto"/>
              </w:rPr>
            </w:pPr>
          </w:p>
        </w:tc>
      </w:tr>
      <w:tr>
        <w:trPr>
          <w:trHeight w:val="175"/>
        </w:trPr>
        <w:tc>
          <w:tcPr>
            <w:tcW w:w="5480" w:type="dxa"/>
            <w:vAlign w:val="bottom"/>
          </w:tcPr>
          <w:p>
            <w:pPr>
              <w:ind w:left="120"/>
              <w:spacing w:after="0"/>
              <w:rPr>
                <w:sz w:val="20"/>
                <w:szCs w:val="20"/>
                <w:color w:val="auto"/>
              </w:rPr>
            </w:pPr>
            <w:r>
              <w:rPr>
                <w:rFonts w:ascii="Arial" w:cs="Arial" w:eastAsia="Arial" w:hAnsi="Arial"/>
                <w:sz w:val="15"/>
                <w:szCs w:val="15"/>
                <w:color w:val="auto"/>
              </w:rPr>
              <w:t>Acquisition of Midwest Truck Sales (See Note 15)</w:t>
            </w:r>
          </w:p>
        </w:tc>
        <w:tc>
          <w:tcPr>
            <w:tcW w:w="2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5,624</w:t>
            </w:r>
          </w:p>
        </w:tc>
        <w:tc>
          <w:tcPr>
            <w:tcW w:w="100" w:type="dxa"/>
            <w:vAlign w:val="bottom"/>
          </w:tcPr>
          <w:p>
            <w:pPr>
              <w:spacing w:after="0"/>
              <w:rPr>
                <w:sz w:val="15"/>
                <w:szCs w:val="15"/>
                <w:color w:val="auto"/>
              </w:rPr>
            </w:pPr>
          </w:p>
        </w:tc>
      </w:tr>
      <w:tr>
        <w:trPr>
          <w:trHeight w:val="175"/>
        </w:trPr>
        <w:tc>
          <w:tcPr>
            <w:tcW w:w="5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Acquisition of TransAuthority, Inc. (See Note 15)</w:t>
            </w:r>
          </w:p>
        </w:tc>
        <w:tc>
          <w:tcPr>
            <w:tcW w:w="2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7,727</w:t>
            </w:r>
          </w:p>
        </w:tc>
        <w:tc>
          <w:tcPr>
            <w:tcW w:w="100" w:type="dxa"/>
            <w:vAlign w:val="bottom"/>
            <w:shd w:val="clear" w:color="auto" w:fill="CCEEFF"/>
          </w:tcPr>
          <w:p>
            <w:pPr>
              <w:spacing w:after="0"/>
              <w:rPr>
                <w:sz w:val="15"/>
                <w:szCs w:val="15"/>
                <w:color w:val="auto"/>
              </w:rPr>
            </w:pPr>
          </w:p>
        </w:tc>
      </w:tr>
      <w:tr>
        <w:trPr>
          <w:trHeight w:val="175"/>
        </w:trPr>
        <w:tc>
          <w:tcPr>
            <w:tcW w:w="5480" w:type="dxa"/>
            <w:vAlign w:val="bottom"/>
          </w:tcPr>
          <w:p>
            <w:pPr>
              <w:ind w:left="120"/>
              <w:spacing w:after="0"/>
              <w:rPr>
                <w:sz w:val="20"/>
                <w:szCs w:val="20"/>
                <w:color w:val="auto"/>
              </w:rPr>
            </w:pPr>
            <w:r>
              <w:rPr>
                <w:rFonts w:ascii="Arial" w:cs="Arial" w:eastAsia="Arial" w:hAnsi="Arial"/>
                <w:sz w:val="15"/>
                <w:szCs w:val="15"/>
                <w:color w:val="auto"/>
              </w:rPr>
              <w:t>Acquisition of Prairie International Trucks (See Note 15)</w:t>
            </w:r>
          </w:p>
        </w:tc>
        <w:tc>
          <w:tcPr>
            <w:tcW w:w="20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2,831</w:t>
            </w:r>
          </w:p>
        </w:tc>
        <w:tc>
          <w:tcPr>
            <w:tcW w:w="100" w:type="dxa"/>
            <w:vAlign w:val="bottom"/>
          </w:tcPr>
          <w:p>
            <w:pPr>
              <w:spacing w:after="0"/>
              <w:rPr>
                <w:sz w:val="15"/>
                <w:szCs w:val="15"/>
                <w:color w:val="auto"/>
              </w:rPr>
            </w:pPr>
          </w:p>
        </w:tc>
      </w:tr>
      <w:tr>
        <w:trPr>
          <w:trHeight w:val="206"/>
        </w:trPr>
        <w:tc>
          <w:tcPr>
            <w:tcW w:w="54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Balance December 31, 2013</w:t>
            </w:r>
          </w:p>
        </w:tc>
        <w:tc>
          <w:tcPr>
            <w:tcW w:w="2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215,464</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Other Assets</w:t>
      </w:r>
    </w:p>
    <w:p>
      <w:pPr>
        <w:spacing w:after="0" w:line="177"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total capitalized costs of the SAP enterprise software and SAP dealership management system of $40.8 million, including capitalized interest, are recorded on the Consolidated Balance Sheet in Other Assets, net of accumulated amortization of $7.1 million. The SAP software is being amortized over a period of 15 years. The Company is currently operating 48 Rush Truck Centers and all of its leasing operations on the SAP enterprise software and SAP dealership management system, which represent approximately 65% of total revenue for the year ended December 31, 2013. The Company plans to convert all of its locations to the SAP enterprise software and SAP dealership management system by the end of the first quarter of 2015.</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Amortization expense relating to the SAP software, which is recognized in depreciation and amortization expense in the Consolidated Statement of Income, was $3.0 million for the year ended December 31, 2013, $3.0 million for the year ended December 31, 2012, and $1.3 million for the year ended December 31, 2011. The Company estimates that amortization expense relating to intangible assets will be approximately $3.2 million for each of the next five succeeding years.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$4.5 million at December 31, 2013 and 2012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 The Company does not amortize manufacturer franchise rights.</w:t>
      </w:r>
    </w:p>
    <w:p>
      <w:pPr>
        <w:spacing w:after="0" w:line="150" w:lineRule="exact"/>
        <w:rPr>
          <w:sz w:val="20"/>
          <w:szCs w:val="20"/>
          <w:color w:val="auto"/>
        </w:rPr>
      </w:pPr>
    </w:p>
    <w:p>
      <w:pPr>
        <w:jc w:val="both"/>
        <w:spacing w:after="0" w:line="383" w:lineRule="auto"/>
        <w:rPr>
          <w:sz w:val="20"/>
          <w:szCs w:val="20"/>
          <w:color w:val="auto"/>
        </w:rPr>
      </w:pPr>
      <w:r>
        <w:rPr>
          <w:rFonts w:ascii="Arial" w:cs="Arial" w:eastAsia="Arial" w:hAnsi="Arial"/>
          <w:sz w:val="12"/>
          <w:szCs w:val="12"/>
          <w:color w:val="auto"/>
        </w:rPr>
        <w:t>Management reviews indefinite lived manufacturer franchise rights for impairment annually during the fourth quarter, or more often if events or circumstances indicate that impairment may have occurred. The Company is subject to financial statement risk to the extent that manufacturer franchise rights become impaired due to decreases in fair market value of its individual franchises.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significant estimates and assumptions used by management in assessing the recoverability of manufacturer franchise rights are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No impairment write down was required in the fourth quarter of 2013. However,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5" w:name="page56"/>
    <w:bookmarkEnd w:id="55"/>
    <w:p>
      <w:pPr>
        <w:spacing w:after="0"/>
        <w:rPr>
          <w:sz w:val="20"/>
          <w:szCs w:val="20"/>
          <w:color w:val="auto"/>
        </w:rPr>
      </w:pPr>
      <w:r>
        <w:rPr>
          <w:rFonts w:ascii="Arial" w:cs="Arial" w:eastAsia="Arial" w:hAnsi="Arial"/>
          <w:sz w:val="15"/>
          <w:szCs w:val="15"/>
          <w:u w:val="single" w:color="auto"/>
          <w:color w:val="auto"/>
        </w:rPr>
        <w:t>Income Taxes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47"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In determining our provision for income taxes, the Company uses an annual effective income tax rate based on annual income, permanent differences between book and tax income, and statutory income tax rates. The effective income tax rate also reflects our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income tax returns are periodically audited by U.S. federal, state and local tax authorities. These audits include questions regarding the Company’s tax filing positions, including the timing and amount of deductions. At any time, multiple tax years are subject to audit by the various tax authorities. In evaluating the tax benefits associated with the Company’s various tax filing positions, the Company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 of Income. Unfavorable settlement of any particular issue would require use of the Company’s cash and a charge to income tax expense. Favorable resolution would be recognized as a reduction to income tax expense at the time of resolution.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Additionally, despite the Company’s belief that its tax return positions are consistent with applicable tax law, management expects that certain positions may be challenged by taxing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Settlement of any challenge can result in no change, a complete disallowance, or some partial adjustment reached through negotiations.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Revenue Recognition Policies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Income on the sale of a vehicle is recognized when the Company and a customer execute a purchase contract, delivery has occurred and there are no significant uncertainties related to financing or the purchase price is paid by the customer. The Company generally sells finance contracts it enters into with customers to finance the purchase of commercial vehicles to third parties. These finance contracts are sold both with and without recourse. A majority of the Company’s finance contracts are sold without recourse. Finance income is recognized by the Company upon the sale of such finance contracts to the finance companies, net of a provision for estimated repossession losses and early repayment penalties.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Lease and rental income is recognized over the period of the related lease or rental agreement. Contingent rental income is recognized when it is earned. Parts and services revenue is earned at the time the Company sells the parts to its customers or at the time the Company completes the service work order related to service provided to the customer’s vehicle. Payments received on prepaid maintenance plans are deferred as a component of accrued expenses and recognized as income when the maintenance is performed.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6" w:name="page57"/>
    <w:bookmarkEnd w:id="56"/>
    <w:p>
      <w:pPr>
        <w:spacing w:after="0"/>
        <w:rPr>
          <w:sz w:val="20"/>
          <w:szCs w:val="20"/>
          <w:color w:val="auto"/>
        </w:rPr>
      </w:pPr>
      <w:r>
        <w:rPr>
          <w:rFonts w:ascii="Arial" w:cs="Arial" w:eastAsia="Arial" w:hAnsi="Arial"/>
          <w:sz w:val="15"/>
          <w:szCs w:val="15"/>
          <w:u w:val="single" w:color="auto"/>
          <w:color w:val="auto"/>
        </w:rPr>
        <w:t>Cost of Sales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For the Company’s new and used commercial vehicle operations and its parts operations, cost of sales consists primarily of the Company’s actual purchase price, less manufacturer’s incentives, for new and used commercial vehicles and parts. The Company is subject to a chargeback of manufacturer incentives for commercial vehicles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and amortization,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Taxes Assessed by a Governmental Authority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Company accounts for sales taxes assessed by a governmental authority, that are directly imposed on a revenue-producing transaction, on a net (excluded from revenues) basis.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Selling, General and Administrative Expenses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Selling, general and administrative expenses consist primarily of incentive based compensation for sales, finance and general management personnel, salaries for administrative personnel and expenses for rent, marketing, insurance, utilities, shipping and handling costs and other general operating purposes.</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 and Comprehensive Income. The current portion of the accrual for the unpaid retirement pay and benefits of $1.0 million is a component of accrued liabilities and the long-term portion of the accrual for the unpaid retirement pay and benefits of $2.0 million is a component of other long-term liabilities in the Consolidated Balance Sheet as of December 31, 2013.</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Stock Based Compensation</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5"/>
          <w:szCs w:val="15"/>
          <w:color w:val="auto"/>
        </w:rPr>
        <w:t>The following table reflects the weighted-average fair value of stock options granted during each period using the Black-Scholes option valuation model with the following weighted-average assumptions used:</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0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2013</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rPr>
              <w:t>2012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2011</w:t>
            </w:r>
          </w:p>
        </w:tc>
        <w:tc>
          <w:tcPr>
            <w:tcW w:w="120" w:type="dxa"/>
            <w:vAlign w:val="bottom"/>
          </w:tcPr>
          <w:p>
            <w:pPr>
              <w:spacing w:after="0"/>
              <w:rPr>
                <w:sz w:val="16"/>
                <w:szCs w:val="16"/>
                <w:color w:val="auto"/>
              </w:rPr>
            </w:pPr>
          </w:p>
        </w:tc>
      </w:tr>
      <w:tr>
        <w:trPr>
          <w:trHeight w:val="167"/>
        </w:trPr>
        <w:tc>
          <w:tcPr>
            <w:tcW w:w="5100" w:type="dxa"/>
            <w:vAlign w:val="bottom"/>
            <w:shd w:val="clear" w:color="auto" w:fill="CCEEFF"/>
          </w:tcPr>
          <w:p>
            <w:pPr>
              <w:ind w:left="100"/>
              <w:spacing w:after="0" w:line="167" w:lineRule="exact"/>
              <w:rPr>
                <w:sz w:val="20"/>
                <w:szCs w:val="20"/>
                <w:color w:val="auto"/>
              </w:rPr>
            </w:pPr>
            <w:r>
              <w:rPr>
                <w:rFonts w:ascii="Arial" w:cs="Arial" w:eastAsia="Arial" w:hAnsi="Arial"/>
                <w:sz w:val="15"/>
                <w:szCs w:val="15"/>
                <w:color w:val="auto"/>
              </w:rPr>
              <w:t>Expected stock volatility</w:t>
            </w:r>
          </w:p>
        </w:tc>
        <w:tc>
          <w:tcPr>
            <w:tcW w:w="10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5"/>
                <w:szCs w:val="15"/>
                <w:color w:val="auto"/>
              </w:rPr>
              <w:t>49.59%</w:t>
            </w:r>
          </w:p>
        </w:tc>
        <w:tc>
          <w:tcPr>
            <w:tcW w:w="3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5"/>
                <w:szCs w:val="15"/>
                <w:color w:val="auto"/>
              </w:rPr>
              <w:t>53.64%</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51.5%</w:t>
            </w:r>
          </w:p>
        </w:tc>
      </w:tr>
      <w:tr>
        <w:trPr>
          <w:trHeight w:val="175"/>
        </w:trPr>
        <w:tc>
          <w:tcPr>
            <w:tcW w:w="5100" w:type="dxa"/>
            <w:vAlign w:val="bottom"/>
          </w:tcPr>
          <w:p>
            <w:pPr>
              <w:ind w:left="100"/>
              <w:spacing w:after="0"/>
              <w:rPr>
                <w:sz w:val="20"/>
                <w:szCs w:val="20"/>
                <w:color w:val="auto"/>
              </w:rPr>
            </w:pPr>
            <w:r>
              <w:rPr>
                <w:rFonts w:ascii="Arial" w:cs="Arial" w:eastAsia="Arial" w:hAnsi="Arial"/>
                <w:sz w:val="15"/>
                <w:szCs w:val="15"/>
                <w:color w:val="auto"/>
              </w:rPr>
              <w:t>Weighted-average stock volatility</w:t>
            </w:r>
          </w:p>
        </w:tc>
        <w:tc>
          <w:tcPr>
            <w:tcW w:w="10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49.59%</w:t>
            </w:r>
          </w:p>
        </w:tc>
        <w:tc>
          <w:tcPr>
            <w:tcW w:w="3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5"/>
                <w:szCs w:val="15"/>
                <w:color w:val="auto"/>
              </w:rPr>
              <w:t>53.64%</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51.5%</w:t>
            </w:r>
          </w:p>
        </w:tc>
      </w:tr>
      <w:tr>
        <w:trPr>
          <w:trHeight w:val="175"/>
        </w:trPr>
        <w:tc>
          <w:tcPr>
            <w:tcW w:w="5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Expected dividend yield</w:t>
            </w:r>
          </w:p>
        </w:tc>
        <w:tc>
          <w:tcPr>
            <w:tcW w:w="10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w:t>
            </w:r>
          </w:p>
        </w:tc>
        <w:tc>
          <w:tcPr>
            <w:tcW w:w="3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w:t>
            </w: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w:t>
            </w:r>
          </w:p>
        </w:tc>
      </w:tr>
      <w:tr>
        <w:trPr>
          <w:trHeight w:val="175"/>
        </w:trPr>
        <w:tc>
          <w:tcPr>
            <w:tcW w:w="5100" w:type="dxa"/>
            <w:vAlign w:val="bottom"/>
          </w:tcPr>
          <w:p>
            <w:pPr>
              <w:ind w:left="100"/>
              <w:spacing w:after="0"/>
              <w:rPr>
                <w:sz w:val="20"/>
                <w:szCs w:val="20"/>
                <w:color w:val="auto"/>
              </w:rPr>
            </w:pPr>
            <w:r>
              <w:rPr>
                <w:rFonts w:ascii="Arial" w:cs="Arial" w:eastAsia="Arial" w:hAnsi="Arial"/>
                <w:sz w:val="15"/>
                <w:szCs w:val="15"/>
                <w:color w:val="auto"/>
              </w:rPr>
              <w:t>Risk-free interest rate</w:t>
            </w:r>
          </w:p>
        </w:tc>
        <w:tc>
          <w:tcPr>
            <w:tcW w:w="10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1.22%</w:t>
            </w:r>
          </w:p>
        </w:tc>
        <w:tc>
          <w:tcPr>
            <w:tcW w:w="3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5"/>
                <w:szCs w:val="15"/>
                <w:color w:val="auto"/>
              </w:rPr>
              <w:t>1.11%</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2.00%</w:t>
            </w:r>
          </w:p>
        </w:tc>
      </w:tr>
      <w:tr>
        <w:trPr>
          <w:trHeight w:val="175"/>
        </w:trPr>
        <w:tc>
          <w:tcPr>
            <w:tcW w:w="5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Expected life (years)</w:t>
            </w:r>
          </w:p>
        </w:tc>
        <w:tc>
          <w:tcPr>
            <w:tcW w:w="10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w:t>
            </w:r>
          </w:p>
        </w:tc>
        <w:tc>
          <w:tcPr>
            <w:tcW w:w="3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w:t>
            </w: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w:t>
            </w:r>
          </w:p>
        </w:tc>
      </w:tr>
      <w:tr>
        <w:trPr>
          <w:trHeight w:val="184"/>
        </w:trPr>
        <w:tc>
          <w:tcPr>
            <w:tcW w:w="5100" w:type="dxa"/>
            <w:vAlign w:val="bottom"/>
          </w:tcPr>
          <w:p>
            <w:pPr>
              <w:ind w:left="100"/>
              <w:spacing w:after="0"/>
              <w:rPr>
                <w:sz w:val="20"/>
                <w:szCs w:val="20"/>
                <w:color w:val="auto"/>
              </w:rPr>
            </w:pPr>
            <w:r>
              <w:rPr>
                <w:rFonts w:ascii="Arial" w:cs="Arial" w:eastAsia="Arial" w:hAnsi="Arial"/>
                <w:sz w:val="15"/>
                <w:szCs w:val="15"/>
                <w:color w:val="auto"/>
              </w:rPr>
              <w:t>Weighted-average fair value of stock options granted</w:t>
            </w:r>
          </w:p>
        </w:tc>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12.69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10.95</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5"/>
                <w:szCs w:val="15"/>
                <w:color w:val="auto"/>
              </w:rPr>
              <w:t>8.68</w:t>
            </w:r>
          </w:p>
        </w:tc>
      </w:tr>
    </w:tbl>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Advertising Costs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Advertising costs are expensed as incurred. Advertising and marketing expense was $6.8 million for 2013, $4.4 million for 2012 and $3.7 million for 2011. Advertising and marketing expense is included in selling, general and administrative expense.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Accounting for Internal Use Software</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$40.8 million at December 31, 2013, net of accumulated amortization of $7.1 million, and $40.9 million, net of accumulated amortization of $4.1 million at December 31, 2012.</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Insurance</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Derivative Instruments and Hedging Activities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utilizes derivative financial instruments to manage its interest rate risk. The types of risks hedged are those relating to the variability of cash flows and changes in the fair value of the Company’s financial instruments caused by fluctuations in interest rates. The Company assesses hedge effectiveness at the inception and during the term of each hedge. Derivatives are reported at fair value on the accompanying Consolidated Balance Sheets.</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At December 31, 2013, the Company had an aggregate $38.4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8" w:name="page59"/>
    <w:bookmarkEnd w:id="58"/>
    <w:p>
      <w:pPr>
        <w:spacing w:after="0"/>
        <w:rPr>
          <w:sz w:val="20"/>
          <w:szCs w:val="20"/>
          <w:color w:val="auto"/>
        </w:rPr>
      </w:pPr>
      <w:r>
        <w:rPr>
          <w:rFonts w:ascii="Arial" w:cs="Arial" w:eastAsia="Arial" w:hAnsi="Arial"/>
          <w:sz w:val="15"/>
          <w:szCs w:val="15"/>
          <w:u w:val="single" w:color="auto"/>
          <w:color w:val="auto"/>
        </w:rPr>
        <w:t>Fair Value Measurements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has various financial instruments that it must measure at fair value on a recurring basis, including certain available for sale securities and derivatives.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Level 1 inputs are unadjusted quoted prices in active markets for identical assets or liabilities that the Company has the ability to access at the measurement date.</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Acquisitions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uses the acquisition method of accounting for the recognition of assets acquired and liabilities assumed with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our consolidated statements of income.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New Accounting Pronouncements</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 July 2013, the FASB issued Accounting Standards Update No. 2013-11, "Presentation of an Unrecognized Tax Benefit When a Net Operating Loss Carryforward, a Similar Tax Loss, or a Tax Credit Carryforward Exists" ("ASU No. 2013-11"). ASU No. 2013-11 requires an entity to present an unrecognized tax benefit, or a portion of an unrecognized tax benefit, in the financial statements as a reduction to a deferred tax asset for a net operating loss carryforward, a similar tax loss, or a tax credit carryforward, with limited exceptions. ASU No. 2013-11 is effective for interim and annual periods beginning after December 15, 2013, and may be applied retrospectively. The adoption of the provisions of ASU No. 2013-11 is not expected to have a material impact on the company's financial position or results of operations.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9" w:name="page60"/>
    <w:bookmarkEnd w:id="59"/>
    <w:p>
      <w:pPr>
        <w:ind w:right="7420" w:firstLine="7"/>
        <w:spacing w:after="0" w:line="608" w:lineRule="auto"/>
        <w:tabs>
          <w:tab w:leader="none" w:pos="874" w:val="left"/>
        </w:tabs>
        <w:numPr>
          <w:ilvl w:val="0"/>
          <w:numId w:val="12"/>
        </w:numPr>
        <w:rPr>
          <w:rFonts w:ascii="Arial" w:cs="Arial" w:eastAsia="Arial" w:hAnsi="Arial"/>
          <w:sz w:val="12"/>
          <w:szCs w:val="12"/>
          <w:color w:val="auto"/>
        </w:rPr>
      </w:pPr>
      <w:r>
        <w:rPr>
          <w:rFonts w:ascii="Arial" w:cs="Arial" w:eastAsia="Arial" w:hAnsi="Arial"/>
          <w:sz w:val="12"/>
          <w:szCs w:val="12"/>
          <w:u w:val="single" w:color="auto"/>
          <w:color w:val="auto"/>
        </w:rPr>
        <w:t>SUPPLIER AND CUSTOMER CONCENTRATION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Major Suppliers and Dealership Agreements</w:t>
      </w:r>
    </w:p>
    <w:p>
      <w:pPr>
        <w:jc w:val="both"/>
        <w:spacing w:after="0" w:line="251" w:lineRule="auto"/>
        <w:rPr>
          <w:sz w:val="20"/>
          <w:szCs w:val="20"/>
          <w:color w:val="auto"/>
        </w:rPr>
      </w:pPr>
      <w:r>
        <w:rPr>
          <w:rFonts w:ascii="Arial" w:cs="Arial" w:eastAsia="Arial" w:hAnsi="Arial"/>
          <w:sz w:val="15"/>
          <w:szCs w:val="15"/>
          <w:color w:val="auto"/>
        </w:rPr>
        <w:t>The Company has entered into dealership agreements with various manufacturers of commercial vehicles and buses (“Manufacturers”). These agreements are nonexclusive agreements that allow the Company to stock, sell at retail and service commercial vehicles and products of the Manufacturers in the Company’s defined market. The agreements allow the Company to use the Manufacturers’ names, trade symbols and intellectual property and expire as follows:</w:t>
      </w:r>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85"/>
        </w:trPr>
        <w:tc>
          <w:tcPr>
            <w:tcW w:w="3360" w:type="dxa"/>
            <w:vAlign w:val="bottom"/>
            <w:tcBorders>
              <w:bottom w:val="single" w:sz="8" w:color="auto"/>
            </w:tcBorders>
          </w:tcPr>
          <w:p>
            <w:pPr>
              <w:ind w:left="1280"/>
              <w:spacing w:after="0"/>
              <w:rPr>
                <w:sz w:val="20"/>
                <w:szCs w:val="20"/>
                <w:color w:val="auto"/>
              </w:rPr>
            </w:pPr>
            <w:r>
              <w:rPr>
                <w:rFonts w:ascii="Arial" w:cs="Arial" w:eastAsia="Arial" w:hAnsi="Arial"/>
                <w:sz w:val="15"/>
                <w:szCs w:val="15"/>
                <w:color w:val="auto"/>
              </w:rPr>
              <w:t>Manufacturer</w:t>
            </w:r>
          </w:p>
        </w:tc>
        <w:tc>
          <w:tcPr>
            <w:tcW w:w="280" w:type="dxa"/>
            <w:vAlign w:val="bottom"/>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Expiration Dates</w:t>
            </w:r>
          </w:p>
        </w:tc>
      </w:tr>
      <w:tr>
        <w:trPr>
          <w:trHeight w:val="167"/>
        </w:trPr>
        <w:tc>
          <w:tcPr>
            <w:tcW w:w="3360" w:type="dxa"/>
            <w:vAlign w:val="bottom"/>
            <w:shd w:val="clear" w:color="auto" w:fill="CCEEFF"/>
          </w:tcPr>
          <w:p>
            <w:pPr>
              <w:jc w:val="center"/>
              <w:ind w:left="27"/>
              <w:spacing w:after="0" w:line="167" w:lineRule="exact"/>
              <w:rPr>
                <w:sz w:val="20"/>
                <w:szCs w:val="20"/>
                <w:color w:val="auto"/>
              </w:rPr>
            </w:pPr>
            <w:r>
              <w:rPr>
                <w:rFonts w:ascii="Arial" w:cs="Arial" w:eastAsia="Arial" w:hAnsi="Arial"/>
                <w:sz w:val="15"/>
                <w:szCs w:val="15"/>
                <w:color w:val="auto"/>
                <w:w w:val="90"/>
              </w:rPr>
              <w:t>Peterbilt</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89"/>
              </w:rPr>
              <w:t>May 2014 through March 2016</w:t>
            </w:r>
          </w:p>
        </w:tc>
      </w:tr>
      <w:tr>
        <w:trPr>
          <w:trHeight w:val="175"/>
        </w:trPr>
        <w:tc>
          <w:tcPr>
            <w:tcW w:w="3360" w:type="dxa"/>
            <w:vAlign w:val="bottom"/>
          </w:tcPr>
          <w:p>
            <w:pPr>
              <w:jc w:val="center"/>
              <w:ind w:left="27"/>
              <w:spacing w:after="0"/>
              <w:rPr>
                <w:sz w:val="20"/>
                <w:szCs w:val="20"/>
                <w:color w:val="auto"/>
              </w:rPr>
            </w:pPr>
            <w:r>
              <w:rPr>
                <w:rFonts w:ascii="Arial" w:cs="Arial" w:eastAsia="Arial" w:hAnsi="Arial"/>
                <w:sz w:val="15"/>
                <w:szCs w:val="15"/>
                <w:color w:val="auto"/>
                <w:w w:val="89"/>
              </w:rPr>
              <w:t>International</w:t>
            </w:r>
          </w:p>
        </w:tc>
        <w:tc>
          <w:tcPr>
            <w:tcW w:w="280" w:type="dxa"/>
            <w:vAlign w:val="bottom"/>
          </w:tcPr>
          <w:p>
            <w:pPr>
              <w:spacing w:after="0"/>
              <w:rPr>
                <w:sz w:val="15"/>
                <w:szCs w:val="15"/>
                <w:color w:val="auto"/>
              </w:rPr>
            </w:pPr>
          </w:p>
        </w:tc>
        <w:tc>
          <w:tcPr>
            <w:tcW w:w="3880" w:type="dxa"/>
            <w:vAlign w:val="bottom"/>
          </w:tcPr>
          <w:p>
            <w:pPr>
              <w:jc w:val="center"/>
              <w:spacing w:after="0"/>
              <w:rPr>
                <w:sz w:val="20"/>
                <w:szCs w:val="20"/>
                <w:color w:val="auto"/>
              </w:rPr>
            </w:pPr>
            <w:r>
              <w:rPr>
                <w:rFonts w:ascii="Arial" w:cs="Arial" w:eastAsia="Arial" w:hAnsi="Arial"/>
                <w:sz w:val="15"/>
                <w:szCs w:val="15"/>
                <w:color w:val="auto"/>
                <w:w w:val="87"/>
              </w:rPr>
              <w:t>May 2015 through September 2018</w:t>
            </w:r>
          </w:p>
        </w:tc>
      </w:tr>
      <w:tr>
        <w:trPr>
          <w:trHeight w:val="175"/>
        </w:trPr>
        <w:tc>
          <w:tcPr>
            <w:tcW w:w="336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9"/>
              </w:rPr>
              <w:t>Isuzu</w:t>
            </w:r>
          </w:p>
        </w:tc>
        <w:tc>
          <w:tcPr>
            <w:tcW w:w="280" w:type="dxa"/>
            <w:vAlign w:val="bottom"/>
            <w:shd w:val="clear" w:color="auto" w:fill="CCEEFF"/>
          </w:tcPr>
          <w:p>
            <w:pPr>
              <w:spacing w:after="0"/>
              <w:rPr>
                <w:sz w:val="15"/>
                <w:szCs w:val="15"/>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Indefinite</w:t>
            </w:r>
          </w:p>
        </w:tc>
      </w:tr>
      <w:tr>
        <w:trPr>
          <w:trHeight w:val="175"/>
        </w:trPr>
        <w:tc>
          <w:tcPr>
            <w:tcW w:w="3360" w:type="dxa"/>
            <w:vAlign w:val="bottom"/>
          </w:tcPr>
          <w:p>
            <w:pPr>
              <w:jc w:val="center"/>
              <w:ind w:left="27"/>
              <w:spacing w:after="0"/>
              <w:rPr>
                <w:sz w:val="20"/>
                <w:szCs w:val="20"/>
                <w:color w:val="auto"/>
              </w:rPr>
            </w:pPr>
            <w:r>
              <w:rPr>
                <w:rFonts w:ascii="Arial" w:cs="Arial" w:eastAsia="Arial" w:hAnsi="Arial"/>
                <w:sz w:val="15"/>
                <w:szCs w:val="15"/>
                <w:color w:val="auto"/>
                <w:w w:val="97"/>
              </w:rPr>
              <w:t>Hino</w:t>
            </w:r>
          </w:p>
        </w:tc>
        <w:tc>
          <w:tcPr>
            <w:tcW w:w="280" w:type="dxa"/>
            <w:vAlign w:val="bottom"/>
          </w:tcPr>
          <w:p>
            <w:pPr>
              <w:spacing w:after="0"/>
              <w:rPr>
                <w:sz w:val="15"/>
                <w:szCs w:val="15"/>
                <w:color w:val="auto"/>
              </w:rPr>
            </w:pPr>
          </w:p>
        </w:tc>
        <w:tc>
          <w:tcPr>
            <w:tcW w:w="3880" w:type="dxa"/>
            <w:vAlign w:val="bottom"/>
          </w:tcPr>
          <w:p>
            <w:pPr>
              <w:jc w:val="center"/>
              <w:spacing w:after="0"/>
              <w:rPr>
                <w:sz w:val="20"/>
                <w:szCs w:val="20"/>
                <w:color w:val="auto"/>
              </w:rPr>
            </w:pPr>
            <w:r>
              <w:rPr>
                <w:rFonts w:ascii="Arial" w:cs="Arial" w:eastAsia="Arial" w:hAnsi="Arial"/>
                <w:sz w:val="15"/>
                <w:szCs w:val="15"/>
                <w:color w:val="auto"/>
                <w:w w:val="91"/>
              </w:rPr>
              <w:t>Indefinite</w:t>
            </w:r>
          </w:p>
        </w:tc>
      </w:tr>
      <w:tr>
        <w:trPr>
          <w:trHeight w:val="175"/>
        </w:trPr>
        <w:tc>
          <w:tcPr>
            <w:tcW w:w="336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90"/>
              </w:rPr>
              <w:t>Ford</w:t>
            </w:r>
          </w:p>
        </w:tc>
        <w:tc>
          <w:tcPr>
            <w:tcW w:w="280" w:type="dxa"/>
            <w:vAlign w:val="bottom"/>
            <w:shd w:val="clear" w:color="auto" w:fill="CCEEFF"/>
          </w:tcPr>
          <w:p>
            <w:pPr>
              <w:spacing w:after="0"/>
              <w:rPr>
                <w:sz w:val="15"/>
                <w:szCs w:val="15"/>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Indefinite</w:t>
            </w:r>
          </w:p>
        </w:tc>
      </w:tr>
      <w:tr>
        <w:trPr>
          <w:trHeight w:val="175"/>
        </w:trPr>
        <w:tc>
          <w:tcPr>
            <w:tcW w:w="3360" w:type="dxa"/>
            <w:vAlign w:val="bottom"/>
          </w:tcPr>
          <w:p>
            <w:pPr>
              <w:jc w:val="center"/>
              <w:ind w:left="7"/>
              <w:spacing w:after="0"/>
              <w:rPr>
                <w:sz w:val="20"/>
                <w:szCs w:val="20"/>
                <w:color w:val="auto"/>
              </w:rPr>
            </w:pPr>
            <w:r>
              <w:rPr>
                <w:rFonts w:ascii="Arial" w:cs="Arial" w:eastAsia="Arial" w:hAnsi="Arial"/>
                <w:sz w:val="15"/>
                <w:szCs w:val="15"/>
                <w:color w:val="auto"/>
                <w:w w:val="91"/>
              </w:rPr>
              <w:t>Blue Bird</w:t>
            </w:r>
          </w:p>
        </w:tc>
        <w:tc>
          <w:tcPr>
            <w:tcW w:w="280" w:type="dxa"/>
            <w:vAlign w:val="bottom"/>
          </w:tcPr>
          <w:p>
            <w:pPr>
              <w:spacing w:after="0"/>
              <w:rPr>
                <w:sz w:val="15"/>
                <w:szCs w:val="15"/>
                <w:color w:val="auto"/>
              </w:rPr>
            </w:pPr>
          </w:p>
        </w:tc>
        <w:tc>
          <w:tcPr>
            <w:tcW w:w="3880" w:type="dxa"/>
            <w:vAlign w:val="bottom"/>
          </w:tcPr>
          <w:p>
            <w:pPr>
              <w:jc w:val="center"/>
              <w:spacing w:after="0"/>
              <w:rPr>
                <w:sz w:val="20"/>
                <w:szCs w:val="20"/>
                <w:color w:val="auto"/>
              </w:rPr>
            </w:pPr>
            <w:r>
              <w:rPr>
                <w:rFonts w:ascii="Arial" w:cs="Arial" w:eastAsia="Arial" w:hAnsi="Arial"/>
                <w:sz w:val="15"/>
                <w:szCs w:val="15"/>
                <w:color w:val="auto"/>
                <w:w w:val="87"/>
              </w:rPr>
              <w:t>August 2014</w:t>
            </w:r>
          </w:p>
        </w:tc>
      </w:tr>
      <w:tr>
        <w:trPr>
          <w:trHeight w:val="175"/>
        </w:trPr>
        <w:tc>
          <w:tcPr>
            <w:tcW w:w="3360" w:type="dxa"/>
            <w:vAlign w:val="bottom"/>
            <w:shd w:val="clear" w:color="auto" w:fill="CCEEFF"/>
          </w:tcPr>
          <w:p>
            <w:pPr>
              <w:jc w:val="center"/>
              <w:ind w:left="7"/>
              <w:spacing w:after="0"/>
              <w:rPr>
                <w:sz w:val="20"/>
                <w:szCs w:val="20"/>
                <w:color w:val="auto"/>
              </w:rPr>
            </w:pPr>
            <w:r>
              <w:rPr>
                <w:rFonts w:ascii="Arial" w:cs="Arial" w:eastAsia="Arial" w:hAnsi="Arial"/>
                <w:sz w:val="15"/>
                <w:szCs w:val="15"/>
                <w:color w:val="auto"/>
                <w:w w:val="88"/>
              </w:rPr>
              <w:t>IC Bus</w:t>
            </w:r>
          </w:p>
        </w:tc>
        <w:tc>
          <w:tcPr>
            <w:tcW w:w="280" w:type="dxa"/>
            <w:vAlign w:val="bottom"/>
            <w:shd w:val="clear" w:color="auto" w:fill="CCEEFF"/>
          </w:tcPr>
          <w:p>
            <w:pPr>
              <w:spacing w:after="0"/>
              <w:rPr>
                <w:sz w:val="15"/>
                <w:szCs w:val="15"/>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May 2015 through December 2017</w:t>
            </w:r>
          </w:p>
        </w:tc>
      </w:tr>
    </w:tbl>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purchases its new Peterbilt vehicles from Peterbilt and most of its parts from PACCAR, Inc., the parent company of Peterbilt, at prevailing prices charged to all franchised dealers. Sales of new Peterbilt trucks accounted for approximately 65.5% of the Company’s new vehicle sales for the year ended December 31, 2013, 75.1% of the Company’s new vehicle sales for the year ended December 31, 2012, and 74.1% of the Company’s new vehicle sales for the year ended December 31, 2011.</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Primary Lenders</w:t>
      </w:r>
    </w:p>
    <w:p>
      <w:pPr>
        <w:spacing w:after="0" w:line="182"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The Company purchases its new and used commercial vehicle inventories with the assistance of floor plan financing programs. The Company’s floor plan financing agreements provide that the occurrence of certain events will be considered events of default. There were no known events of default as of December 31, 2013.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also acquires lease and rental vehicles with the assistance of financing agreements with PACCAR Leasing Company and Wells Fargo. The financing agreements are secured by a lien on the acquired vehicle. The terms of the financing agreements are similar to the corresponding lease agreements with the Company’s customers.</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Company’s long-term real estate debt agreements and floor plan financing arrangements require the Company to satisfy various financial ratios such as the debt to worth ratio, leverage ratio, the fixed charge coverage ratio and certain requirements for tangible net worth and GAAP net worth. As of December 31, 2013, the Company was in compliance with all debt covenants. The Company does not anticipate any breach of the covenants in the foreseeable future.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Concentrations of Credit Risks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Our cash and cash equivalents may be uninsured or in deposit accounts that exceed the Federal Deposit Insurance Corporation insurance limit.</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generally sells finance contracts it enters into with customers to finance the purchase of commercial vehicles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 and reserve have covered losses inherent in these receivables.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0" w:name="page61"/>
    <w:bookmarkEnd w:id="60"/>
    <w:p>
      <w:pPr>
        <w:ind w:left="880" w:hanging="873"/>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ACCOUNTS RECEIVABLE</w:t>
      </w:r>
      <w:r>
        <w:rPr>
          <w:rFonts w:ascii="Arial" w:cs="Arial" w:eastAsia="Arial" w:hAnsi="Arial"/>
          <w:sz w:val="15"/>
          <w:szCs w:val="15"/>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Company’s accounts receivable, net, consisted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5"/>
                <w:szCs w:val="15"/>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7"/>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2013</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color w:val="auto"/>
              </w:rPr>
              <w:t>2012</w:t>
            </w:r>
          </w:p>
        </w:tc>
        <w:tc>
          <w:tcPr>
            <w:tcW w:w="100" w:type="dxa"/>
            <w:vAlign w:val="bottom"/>
          </w:tcPr>
          <w:p>
            <w:pPr>
              <w:spacing w:after="0"/>
              <w:rPr>
                <w:sz w:val="14"/>
                <w:szCs w:val="14"/>
                <w:color w:val="auto"/>
              </w:rPr>
            </w:pPr>
          </w:p>
        </w:tc>
      </w:tr>
      <w:tr>
        <w:trPr>
          <w:trHeight w:val="166"/>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Trade accounts receivable from sale of vehicles</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42,830</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40,840</w:t>
            </w:r>
          </w:p>
        </w:tc>
      </w:tr>
      <w:tr>
        <w:trPr>
          <w:trHeight w:val="175"/>
        </w:trPr>
        <w:tc>
          <w:tcPr>
            <w:tcW w:w="58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Trade receivables other than vehicles</w:t>
            </w:r>
          </w:p>
        </w:tc>
        <w:tc>
          <w:tcPr>
            <w:tcW w:w="10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27,387</w:t>
            </w: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18,893</w:t>
            </w:r>
          </w:p>
        </w:tc>
      </w:tr>
      <w:tr>
        <w:trPr>
          <w:trHeight w:val="175"/>
        </w:trPr>
        <w:tc>
          <w:tcPr>
            <w:tcW w:w="58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Warranty claims</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10,616</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8,762</w:t>
            </w:r>
          </w:p>
        </w:tc>
      </w:tr>
      <w:tr>
        <w:trPr>
          <w:trHeight w:val="175"/>
        </w:trPr>
        <w:tc>
          <w:tcPr>
            <w:tcW w:w="58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Other accounts receivable</w:t>
            </w:r>
          </w:p>
        </w:tc>
        <w:tc>
          <w:tcPr>
            <w:tcW w:w="10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23,700</w:t>
            </w: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22,104</w:t>
            </w:r>
          </w:p>
        </w:tc>
      </w:tr>
      <w:tr>
        <w:trPr>
          <w:trHeight w:val="175"/>
        </w:trPr>
        <w:tc>
          <w:tcPr>
            <w:tcW w:w="58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Less allowance for bad debt and warranty receivable</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(1,240)</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(984)</w:t>
            </w:r>
          </w:p>
        </w:tc>
      </w:tr>
      <w:tr>
        <w:trPr>
          <w:trHeight w:val="166"/>
        </w:trPr>
        <w:tc>
          <w:tcPr>
            <w:tcW w:w="580" w:type="dxa"/>
            <w:vAlign w:val="bottom"/>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566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5"/>
        </w:trPr>
        <w:tc>
          <w:tcPr>
            <w:tcW w:w="58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103,293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89,615</w:t>
            </w:r>
          </w:p>
        </w:tc>
      </w:tr>
      <w:tr>
        <w:trPr>
          <w:trHeight w:val="290"/>
        </w:trPr>
        <w:tc>
          <w:tcPr>
            <w:tcW w:w="580" w:type="dxa"/>
            <w:vAlign w:val="bottom"/>
          </w:tcPr>
          <w:p>
            <w:pPr>
              <w:spacing w:after="0"/>
              <w:rPr>
                <w:sz w:val="20"/>
                <w:szCs w:val="20"/>
                <w:color w:val="auto"/>
              </w:rPr>
            </w:pPr>
            <w:r>
              <w:rPr>
                <w:rFonts w:ascii="Arial" w:cs="Arial" w:eastAsia="Arial" w:hAnsi="Arial"/>
                <w:sz w:val="15"/>
                <w:szCs w:val="15"/>
                <w:color w:val="auto"/>
              </w:rPr>
              <w:t>5.</w:t>
            </w:r>
          </w:p>
        </w:tc>
        <w:tc>
          <w:tcPr>
            <w:tcW w:w="300" w:type="dxa"/>
            <w:vAlign w:val="bottom"/>
            <w:tcBorders>
              <w:top w:val="single" w:sz="8" w:color="CCEEFF"/>
            </w:tcBorders>
          </w:tcPr>
          <w:p>
            <w:pPr>
              <w:spacing w:after="0"/>
              <w:rPr>
                <w:sz w:val="24"/>
                <w:szCs w:val="24"/>
                <w:color w:val="auto"/>
              </w:rPr>
            </w:pPr>
          </w:p>
        </w:tc>
        <w:tc>
          <w:tcPr>
            <w:tcW w:w="66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INVENTORIES:</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88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7500" w:type="dxa"/>
            <w:vAlign w:val="bottom"/>
            <w:gridSpan w:val="4"/>
          </w:tcPr>
          <w:p>
            <w:pPr>
              <w:spacing w:after="0"/>
              <w:rPr>
                <w:sz w:val="20"/>
                <w:szCs w:val="20"/>
                <w:color w:val="auto"/>
              </w:rPr>
            </w:pPr>
            <w:r>
              <w:rPr>
                <w:rFonts w:ascii="Arial" w:cs="Arial" w:eastAsia="Arial" w:hAnsi="Arial"/>
                <w:sz w:val="15"/>
                <w:szCs w:val="15"/>
                <w:color w:val="auto"/>
              </w:rPr>
              <w:t>The Company’s inventories, net, consisted of the following (in thousands):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5"/>
                <w:szCs w:val="15"/>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2013</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color w:val="auto"/>
              </w:rPr>
              <w:t>2012</w:t>
            </w:r>
          </w:p>
        </w:tc>
        <w:tc>
          <w:tcPr>
            <w:tcW w:w="100" w:type="dxa"/>
            <w:vAlign w:val="bottom"/>
          </w:tcPr>
          <w:p>
            <w:pPr>
              <w:spacing w:after="0"/>
              <w:rPr>
                <w:sz w:val="14"/>
                <w:szCs w:val="14"/>
                <w:color w:val="auto"/>
              </w:rPr>
            </w:pPr>
          </w:p>
        </w:tc>
      </w:tr>
      <w:tr>
        <w:trPr>
          <w:trHeight w:val="166"/>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New commercial vehicles</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566,396</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494,496</w:t>
            </w:r>
          </w:p>
        </w:tc>
      </w:tr>
      <w:tr>
        <w:trPr>
          <w:trHeight w:val="175"/>
        </w:trPr>
        <w:tc>
          <w:tcPr>
            <w:tcW w:w="58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Used commercial vehicles</w:t>
            </w:r>
          </w:p>
        </w:tc>
        <w:tc>
          <w:tcPr>
            <w:tcW w:w="10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75,731</w:t>
            </w: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53,630</w:t>
            </w:r>
          </w:p>
        </w:tc>
      </w:tr>
      <w:tr>
        <w:trPr>
          <w:trHeight w:val="175"/>
        </w:trPr>
        <w:tc>
          <w:tcPr>
            <w:tcW w:w="58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Parts and accessories</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157,873</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142,186</w:t>
            </w:r>
          </w:p>
        </w:tc>
      </w:tr>
      <w:tr>
        <w:trPr>
          <w:trHeight w:val="175"/>
        </w:trPr>
        <w:tc>
          <w:tcPr>
            <w:tcW w:w="58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Other</w:t>
            </w:r>
          </w:p>
        </w:tc>
        <w:tc>
          <w:tcPr>
            <w:tcW w:w="10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14,031</w:t>
            </w: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11,073</w:t>
            </w:r>
          </w:p>
        </w:tc>
      </w:tr>
      <w:tr>
        <w:trPr>
          <w:trHeight w:val="175"/>
        </w:trPr>
        <w:tc>
          <w:tcPr>
            <w:tcW w:w="58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Less allowance</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(11,811)</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(10,432)</w:t>
            </w:r>
          </w:p>
        </w:tc>
      </w:tr>
      <w:tr>
        <w:trPr>
          <w:trHeight w:val="166"/>
        </w:trPr>
        <w:tc>
          <w:tcPr>
            <w:tcW w:w="580" w:type="dxa"/>
            <w:vAlign w:val="bottom"/>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566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95"/>
        </w:trPr>
        <w:tc>
          <w:tcPr>
            <w:tcW w:w="580" w:type="dxa"/>
            <w:vAlign w:val="bottom"/>
          </w:tcPr>
          <w:p>
            <w:pPr>
              <w:spacing w:after="0"/>
              <w:rPr>
                <w:sz w:val="16"/>
                <w:szCs w:val="16"/>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802,220</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690,953</w:t>
            </w:r>
          </w:p>
        </w:tc>
      </w:tr>
      <w:tr>
        <w:trPr>
          <w:trHeight w:val="20"/>
        </w:trPr>
        <w:tc>
          <w:tcPr>
            <w:tcW w:w="58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ind w:left="880" w:hanging="87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VALUATION ACCOUNTS: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Valuation and allowance accounts include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color w:val="auto"/>
                <w:w w:val="88"/>
              </w:rPr>
              <w:t>Balance</w:t>
            </w: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40" w:type="dxa"/>
            <w:vAlign w:val="bottom"/>
            <w:gridSpan w:val="2"/>
          </w:tcPr>
          <w:p>
            <w:pPr>
              <w:jc w:val="right"/>
              <w:ind w:right="67"/>
              <w:spacing w:after="0"/>
              <w:rPr>
                <w:sz w:val="20"/>
                <w:szCs w:val="20"/>
                <w:color w:val="auto"/>
              </w:rPr>
            </w:pPr>
            <w:r>
              <w:rPr>
                <w:rFonts w:ascii="Arial" w:cs="Arial" w:eastAsia="Arial" w:hAnsi="Arial"/>
                <w:sz w:val="15"/>
                <w:szCs w:val="15"/>
                <w:color w:val="auto"/>
              </w:rPr>
              <w:t>Balance Beginning</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Net Charged to</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End</w:t>
            </w:r>
          </w:p>
        </w:tc>
        <w:tc>
          <w:tcPr>
            <w:tcW w:w="320" w:type="dxa"/>
            <w:vAlign w:val="bottom"/>
          </w:tcPr>
          <w:p>
            <w:pPr>
              <w:spacing w:after="0"/>
              <w:rPr>
                <w:sz w:val="15"/>
                <w:szCs w:val="15"/>
                <w:color w:val="auto"/>
              </w:rPr>
            </w:pPr>
          </w:p>
        </w:tc>
      </w:tr>
      <w:tr>
        <w:trPr>
          <w:trHeight w:val="185"/>
        </w:trPr>
        <w:tc>
          <w:tcPr>
            <w:tcW w:w="3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jc w:val="right"/>
              <w:ind w:right="407"/>
              <w:spacing w:after="0"/>
              <w:rPr>
                <w:sz w:val="20"/>
                <w:szCs w:val="20"/>
                <w:color w:val="auto"/>
              </w:rPr>
            </w:pPr>
            <w:r>
              <w:rPr>
                <w:rFonts w:ascii="Arial" w:cs="Arial" w:eastAsia="Arial" w:hAnsi="Arial"/>
                <w:sz w:val="15"/>
                <w:szCs w:val="15"/>
                <w:color w:val="auto"/>
              </w:rPr>
              <w:t>of Year</w:t>
            </w:r>
          </w:p>
        </w:tc>
        <w:tc>
          <w:tcPr>
            <w:tcW w:w="1420" w:type="dxa"/>
            <w:vAlign w:val="bottom"/>
            <w:gridSpan w:val="2"/>
          </w:tcPr>
          <w:p>
            <w:pPr>
              <w:ind w:left="140"/>
              <w:spacing w:after="0"/>
              <w:rPr>
                <w:sz w:val="20"/>
                <w:szCs w:val="20"/>
                <w:color w:val="auto"/>
              </w:rPr>
            </w:pPr>
            <w:r>
              <w:rPr>
                <w:rFonts w:ascii="Arial" w:cs="Arial" w:eastAsia="Arial" w:hAnsi="Arial"/>
                <w:sz w:val="15"/>
                <w:szCs w:val="15"/>
                <w:color w:val="auto"/>
                <w:w w:val="91"/>
              </w:rPr>
              <w:t>Costs and Expenses</w:t>
            </w:r>
          </w:p>
        </w:tc>
        <w:tc>
          <w:tcPr>
            <w:tcW w:w="280" w:type="dxa"/>
            <w:vAlign w:val="bottom"/>
          </w:tcPr>
          <w:p>
            <w:pPr>
              <w:spacing w:after="0"/>
              <w:rPr>
                <w:sz w:val="16"/>
                <w:szCs w:val="16"/>
                <w:color w:val="auto"/>
              </w:rPr>
            </w:pPr>
          </w:p>
        </w:tc>
        <w:tc>
          <w:tcPr>
            <w:tcW w:w="1140" w:type="dxa"/>
            <w:vAlign w:val="bottom"/>
          </w:tcPr>
          <w:p>
            <w:pPr>
              <w:jc w:val="right"/>
              <w:ind w:right="267"/>
              <w:spacing w:after="0"/>
              <w:rPr>
                <w:sz w:val="20"/>
                <w:szCs w:val="20"/>
                <w:color w:val="auto"/>
              </w:rPr>
            </w:pPr>
            <w:r>
              <w:rPr>
                <w:rFonts w:ascii="Arial" w:cs="Arial" w:eastAsia="Arial" w:hAnsi="Arial"/>
                <w:sz w:val="15"/>
                <w:szCs w:val="15"/>
                <w:color w:val="auto"/>
                <w:w w:val="97"/>
              </w:rPr>
              <w:t>Acquisitions</w:t>
            </w:r>
          </w:p>
        </w:tc>
        <w:tc>
          <w:tcPr>
            <w:tcW w:w="240" w:type="dxa"/>
            <w:vAlign w:val="bottom"/>
          </w:tcPr>
          <w:p>
            <w:pPr>
              <w:spacing w:after="0"/>
              <w:rPr>
                <w:sz w:val="16"/>
                <w:szCs w:val="16"/>
                <w:color w:val="auto"/>
              </w:rPr>
            </w:pPr>
          </w:p>
        </w:tc>
        <w:tc>
          <w:tcPr>
            <w:tcW w:w="1200" w:type="dxa"/>
            <w:vAlign w:val="bottom"/>
          </w:tcPr>
          <w:p>
            <w:pPr>
              <w:jc w:val="right"/>
              <w:ind w:right="207"/>
              <w:spacing w:after="0"/>
              <w:rPr>
                <w:sz w:val="20"/>
                <w:szCs w:val="20"/>
                <w:color w:val="auto"/>
              </w:rPr>
            </w:pPr>
            <w:r>
              <w:rPr>
                <w:rFonts w:ascii="Arial" w:cs="Arial" w:eastAsia="Arial" w:hAnsi="Arial"/>
                <w:sz w:val="15"/>
                <w:szCs w:val="15"/>
                <w:color w:val="auto"/>
                <w:w w:val="94"/>
              </w:rPr>
              <w:t>Net Write-Offs</w:t>
            </w:r>
          </w:p>
        </w:tc>
        <w:tc>
          <w:tcPr>
            <w:tcW w:w="3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color w:val="auto"/>
                <w:w w:val="90"/>
              </w:rPr>
              <w:t>of Year</w:t>
            </w:r>
          </w:p>
        </w:tc>
        <w:tc>
          <w:tcPr>
            <w:tcW w:w="320" w:type="dxa"/>
            <w:vAlign w:val="bottom"/>
          </w:tcPr>
          <w:p>
            <w:pPr>
              <w:spacing w:after="0"/>
              <w:rPr>
                <w:sz w:val="16"/>
                <w:szCs w:val="16"/>
                <w:color w:val="auto"/>
              </w:rPr>
            </w:pPr>
          </w:p>
        </w:tc>
      </w:tr>
      <w:tr>
        <w:trPr>
          <w:trHeight w:val="167"/>
        </w:trPr>
        <w:tc>
          <w:tcPr>
            <w:tcW w:w="300" w:type="dxa"/>
            <w:vAlign w:val="bottom"/>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30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2013</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Reserve for accounts receivable</w:t>
            </w:r>
          </w:p>
        </w:tc>
        <w:tc>
          <w:tcPr>
            <w:tcW w:w="9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540</w:t>
            </w:r>
          </w:p>
        </w:tc>
        <w:tc>
          <w:tcPr>
            <w:tcW w:w="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1,163</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(882)</w:t>
            </w:r>
          </w:p>
        </w:tc>
        <w:tc>
          <w:tcPr>
            <w:tcW w:w="3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821</w:t>
            </w: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Reserve for warranty receivable</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444</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626</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(651)</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419</w:t>
            </w: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Reserve for parts inventory</w:t>
            </w:r>
          </w:p>
        </w:tc>
        <w:tc>
          <w:tcPr>
            <w:tcW w:w="960" w:type="dxa"/>
            <w:vAlign w:val="bottom"/>
          </w:tcPr>
          <w:p>
            <w:pPr>
              <w:spacing w:after="0"/>
              <w:rPr>
                <w:sz w:val="15"/>
                <w:szCs w:val="15"/>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3,593</w:t>
            </w:r>
          </w:p>
        </w:tc>
        <w:tc>
          <w:tcPr>
            <w:tcW w:w="600" w:type="dxa"/>
            <w:vAlign w:val="bottom"/>
          </w:tcPr>
          <w:p>
            <w:pPr>
              <w:spacing w:after="0"/>
              <w:rPr>
                <w:sz w:val="15"/>
                <w:szCs w:val="15"/>
                <w:color w:val="auto"/>
              </w:rPr>
            </w:pP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2,560</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(1,737)</w:t>
            </w:r>
          </w:p>
        </w:tc>
        <w:tc>
          <w:tcPr>
            <w:tcW w:w="3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4,416</w:t>
            </w:r>
          </w:p>
        </w:tc>
        <w:tc>
          <w:tcPr>
            <w:tcW w:w="320" w:type="dxa"/>
            <w:vAlign w:val="bottom"/>
          </w:tcPr>
          <w:p>
            <w:pPr>
              <w:spacing w:after="0"/>
              <w:rPr>
                <w:sz w:val="15"/>
                <w:szCs w:val="15"/>
                <w:color w:val="auto"/>
              </w:rPr>
            </w:pPr>
          </w:p>
        </w:tc>
      </w:tr>
      <w:tr>
        <w:trPr>
          <w:trHeight w:val="185"/>
        </w:trPr>
        <w:tc>
          <w:tcPr>
            <w:tcW w:w="30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Reserve for commercial vehicle inventory</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6,839</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13,020</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(12,464)</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7,395</w:t>
            </w:r>
          </w:p>
        </w:tc>
        <w:tc>
          <w:tcPr>
            <w:tcW w:w="320" w:type="dxa"/>
            <w:vAlign w:val="bottom"/>
          </w:tcPr>
          <w:p>
            <w:pPr>
              <w:spacing w:after="0"/>
              <w:rPr>
                <w:sz w:val="16"/>
                <w:szCs w:val="16"/>
                <w:color w:val="auto"/>
              </w:rPr>
            </w:pPr>
          </w:p>
        </w:tc>
      </w:tr>
      <w:tr>
        <w:trPr>
          <w:trHeight w:val="167"/>
        </w:trPr>
        <w:tc>
          <w:tcPr>
            <w:tcW w:w="300" w:type="dxa"/>
            <w:vAlign w:val="bottom"/>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30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2012</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Reserve for accounts receivable</w:t>
            </w:r>
          </w:p>
        </w:tc>
        <w:tc>
          <w:tcPr>
            <w:tcW w:w="9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480</w:t>
            </w:r>
          </w:p>
        </w:tc>
        <w:tc>
          <w:tcPr>
            <w:tcW w:w="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922</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(862)</w:t>
            </w:r>
          </w:p>
        </w:tc>
        <w:tc>
          <w:tcPr>
            <w:tcW w:w="3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540</w:t>
            </w: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Reserve for warranty receivable</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480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334</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(370)</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444</w:t>
            </w: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Reserve for parts inventory</w:t>
            </w:r>
          </w:p>
        </w:tc>
        <w:tc>
          <w:tcPr>
            <w:tcW w:w="960" w:type="dxa"/>
            <w:vAlign w:val="bottom"/>
          </w:tcPr>
          <w:p>
            <w:pPr>
              <w:spacing w:after="0"/>
              <w:rPr>
                <w:sz w:val="15"/>
                <w:szCs w:val="15"/>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3,406</w:t>
            </w:r>
          </w:p>
        </w:tc>
        <w:tc>
          <w:tcPr>
            <w:tcW w:w="600" w:type="dxa"/>
            <w:vAlign w:val="bottom"/>
          </w:tcPr>
          <w:p>
            <w:pPr>
              <w:spacing w:after="0"/>
              <w:rPr>
                <w:sz w:val="15"/>
                <w:szCs w:val="15"/>
                <w:color w:val="auto"/>
              </w:rPr>
            </w:pP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1,796</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(1,609)</w:t>
            </w:r>
          </w:p>
        </w:tc>
        <w:tc>
          <w:tcPr>
            <w:tcW w:w="3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3,593</w:t>
            </w:r>
          </w:p>
        </w:tc>
        <w:tc>
          <w:tcPr>
            <w:tcW w:w="320" w:type="dxa"/>
            <w:vAlign w:val="bottom"/>
          </w:tcPr>
          <w:p>
            <w:pPr>
              <w:spacing w:after="0"/>
              <w:rPr>
                <w:sz w:val="15"/>
                <w:szCs w:val="15"/>
                <w:color w:val="auto"/>
              </w:rPr>
            </w:pPr>
          </w:p>
        </w:tc>
      </w:tr>
      <w:tr>
        <w:trPr>
          <w:trHeight w:val="185"/>
        </w:trPr>
        <w:tc>
          <w:tcPr>
            <w:tcW w:w="30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Reserve for commercial vehicle inventory</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1,624</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12,944</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(7,729)</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6,839</w:t>
            </w:r>
          </w:p>
        </w:tc>
        <w:tc>
          <w:tcPr>
            <w:tcW w:w="320" w:type="dxa"/>
            <w:vAlign w:val="bottom"/>
          </w:tcPr>
          <w:p>
            <w:pPr>
              <w:spacing w:after="0"/>
              <w:rPr>
                <w:sz w:val="16"/>
                <w:szCs w:val="16"/>
                <w:color w:val="auto"/>
              </w:rPr>
            </w:pPr>
          </w:p>
        </w:tc>
      </w:tr>
      <w:tr>
        <w:trPr>
          <w:trHeight w:val="167"/>
        </w:trPr>
        <w:tc>
          <w:tcPr>
            <w:tcW w:w="300" w:type="dxa"/>
            <w:vAlign w:val="bottom"/>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Pr>
          <w:p>
            <w:pPr>
              <w:spacing w:after="0"/>
              <w:rPr>
                <w:sz w:val="14"/>
                <w:szCs w:val="14"/>
                <w:color w:val="auto"/>
              </w:rPr>
            </w:pPr>
          </w:p>
        </w:tc>
      </w:tr>
      <w:tr>
        <w:trPr>
          <w:trHeight w:val="175"/>
        </w:trPr>
        <w:tc>
          <w:tcPr>
            <w:tcW w:w="30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2011</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Reserve for accounts receivable</w:t>
            </w:r>
          </w:p>
        </w:tc>
        <w:tc>
          <w:tcPr>
            <w:tcW w:w="9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1,040</w:t>
            </w:r>
          </w:p>
        </w:tc>
        <w:tc>
          <w:tcPr>
            <w:tcW w:w="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627</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(1,187)</w:t>
            </w:r>
          </w:p>
        </w:tc>
        <w:tc>
          <w:tcPr>
            <w:tcW w:w="3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480</w:t>
            </w: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Reserve for warranty receivable</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279</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336</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(135)</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480</w:t>
            </w:r>
          </w:p>
        </w:tc>
        <w:tc>
          <w:tcPr>
            <w:tcW w:w="32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Reserve for parts inventory</w:t>
            </w:r>
          </w:p>
        </w:tc>
        <w:tc>
          <w:tcPr>
            <w:tcW w:w="960" w:type="dxa"/>
            <w:vAlign w:val="bottom"/>
          </w:tcPr>
          <w:p>
            <w:pPr>
              <w:spacing w:after="0"/>
              <w:rPr>
                <w:sz w:val="15"/>
                <w:szCs w:val="15"/>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2,055</w:t>
            </w:r>
          </w:p>
        </w:tc>
        <w:tc>
          <w:tcPr>
            <w:tcW w:w="600" w:type="dxa"/>
            <w:vAlign w:val="bottom"/>
          </w:tcPr>
          <w:p>
            <w:pPr>
              <w:spacing w:after="0"/>
              <w:rPr>
                <w:sz w:val="15"/>
                <w:szCs w:val="15"/>
                <w:color w:val="auto"/>
              </w:rPr>
            </w:pP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1,909</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650</w:t>
            </w:r>
          </w:p>
        </w:tc>
        <w:tc>
          <w:tcPr>
            <w:tcW w:w="240" w:type="dxa"/>
            <w:vAlign w:val="bottom"/>
          </w:tcPr>
          <w:p>
            <w:pPr>
              <w:spacing w:after="0"/>
              <w:rPr>
                <w:sz w:val="15"/>
                <w:szCs w:val="15"/>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(1,208)</w:t>
            </w:r>
          </w:p>
        </w:tc>
        <w:tc>
          <w:tcPr>
            <w:tcW w:w="3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3,406</w:t>
            </w:r>
          </w:p>
        </w:tc>
        <w:tc>
          <w:tcPr>
            <w:tcW w:w="320" w:type="dxa"/>
            <w:vAlign w:val="bottom"/>
          </w:tcPr>
          <w:p>
            <w:pPr>
              <w:spacing w:after="0"/>
              <w:rPr>
                <w:sz w:val="15"/>
                <w:szCs w:val="15"/>
                <w:color w:val="auto"/>
              </w:rPr>
            </w:pPr>
          </w:p>
        </w:tc>
      </w:tr>
      <w:tr>
        <w:trPr>
          <w:trHeight w:val="185"/>
        </w:trPr>
        <w:tc>
          <w:tcPr>
            <w:tcW w:w="30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Reserve for commercial vehicle inventory</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1,275</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5,807</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(5,458)</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1,624</w:t>
            </w:r>
          </w:p>
        </w:tc>
        <w:tc>
          <w:tcPr>
            <w:tcW w:w="320" w:type="dxa"/>
            <w:vAlign w:val="bottom"/>
          </w:tcPr>
          <w:p>
            <w:pPr>
              <w:spacing w:after="0"/>
              <w:rPr>
                <w:sz w:val="16"/>
                <w:szCs w:val="16"/>
                <w:color w:val="auto"/>
              </w:rPr>
            </w:pPr>
          </w:p>
        </w:tc>
      </w:tr>
      <w:tr>
        <w:trPr>
          <w:trHeight w:val="537"/>
        </w:trPr>
        <w:tc>
          <w:tcPr>
            <w:tcW w:w="30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ind w:left="140"/>
              <w:spacing w:after="0"/>
              <w:rPr>
                <w:sz w:val="20"/>
                <w:szCs w:val="20"/>
                <w:color w:val="auto"/>
              </w:rPr>
            </w:pPr>
            <w:r>
              <w:rPr>
                <w:rFonts w:ascii="Arial" w:cs="Arial" w:eastAsia="Arial" w:hAnsi="Arial"/>
                <w:sz w:val="15"/>
                <w:szCs w:val="15"/>
                <w:color w:val="auto"/>
              </w:rPr>
              <w:t>58</w:t>
            </w: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Pr>
          <w:p>
            <w:pPr>
              <w:spacing w:after="0"/>
              <w:rPr>
                <w:sz w:val="24"/>
                <w:szCs w:val="24"/>
                <w:color w:val="auto"/>
              </w:rPr>
            </w:pPr>
          </w:p>
        </w:tc>
      </w:tr>
      <w:tr>
        <w:trPr>
          <w:trHeight w:val="117"/>
        </w:trPr>
        <w:tc>
          <w:tcPr>
            <w:tcW w:w="30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61" w:name="page62"/>
    <w:bookmarkEnd w:id="61"/>
    <w:p>
      <w:pPr>
        <w:spacing w:after="0"/>
        <w:rPr>
          <w:sz w:val="20"/>
          <w:szCs w:val="20"/>
          <w:color w:val="auto"/>
        </w:rPr>
      </w:pPr>
      <w:r>
        <w:rPr>
          <w:rFonts w:ascii="Arial" w:cs="Arial" w:eastAsia="Arial" w:hAnsi="Arial"/>
          <w:sz w:val="15"/>
          <w:szCs w:val="15"/>
          <w:i w:val="1"/>
          <w:iCs w:val="1"/>
          <w:color w:val="auto"/>
        </w:rPr>
        <w:t>Allowance for Doubtful Receivables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The Company sells a majority of its customer accounts receivable on a non-recourse basis to a third-party that is responsible for qualifying the customer for credit at the point of sale. If the third-</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party approves the customer for credit, then the third-party assumes all credit risk related to the transaction. The Company provides an allowance for doubtful receivables after considering</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historical loss experience and other factors that might affect the collection of accounts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receivable.</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Inventory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52" w:lineRule="exact"/>
        <w:rPr>
          <w:sz w:val="20"/>
          <w:szCs w:val="20"/>
          <w:color w:val="auto"/>
        </w:rPr>
      </w:pPr>
    </w:p>
    <w:p>
      <w:pPr>
        <w:ind w:right="6880" w:firstLine="7"/>
        <w:spacing w:after="0" w:line="486" w:lineRule="auto"/>
        <w:tabs>
          <w:tab w:leader="none" w:pos="874"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FLOOR PLAN NOTES PAYABLE AND LINES OF 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Floor Plan Notes Payable</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Floor plan notes are financing agreements to facilitate the Company’s purchase of new and used commercial vehicles. These notes are collateralized by the inventory purchased and accounts receivable arising from the sale thereof. The Company’s credit agreement with GE Capital provides for a loan commitment of up to $750.0 million and has the interest rate benchmarked to LIBOR, as defined in the agreement.</w:t>
      </w:r>
    </w:p>
    <w:p>
      <w:pPr>
        <w:spacing w:after="0" w:line="158"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interest rate under the credit agreement is the three month LIBOR rate plus 2.03%. The interest rate applicable to the GE Capital credit agreement was approximately 2.27% at December 31, 2013. The Company utilizes its excess cash on hand to pay down its outstanding borrowings under its credit agreement with GE Capital, and the resulting interest earned is recognized as an offset to the Company’s gross interest expense under the floor plan credit agreement. The Company is required to pay the lenders a monthly working capital fee equal to 0.35% per annum multiplied by the amount of voluntary prepayments of new and used inventory loans. GE Capital may terminate this credit agreement without cause upon 120 days written notice.</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 finances substantially all of the purchase price of its new commercial vehicle inventory, and the loan value of its used commercial vehicle inventory under the credit agreement with GE Capital, under which GE Capital pays the manufacturer directly with respect to new commercial vehicles. Amounts borrowed under the agreement are due when the related commercial vehicle inventory (collateral) is sold and the sales proceeds are collected by the Company. Pursuant to the third amendment, the credit agreement expires July 11, 2016, although GE Capital has the right to terminate the credit agreement at any time upon 120 days’ written notice. We may terminate the credit agreement at any time, although, if we do so, we must pay the lenders a prepayment processing fee of (i) $15,000,000 if it terminates on or prior to January 11, 2015; (ii) $7,500,000 if it terminates after January 11, 2015, but on or prior to July 11, 2015; and (iii) $300,000 if it terminates thereafter, subject in each case to specified limited exceptions. On December 31, 2013, the Company had approximately $546.1 million outstanding under its credit agreement with GE Capital.</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December 31, 2013, the interest rate on the wholesale financing agreement was 5.25% before considering the applicable incentives. On December 31, 2013, the Company had an outstanding balance of $47.5 million under the Ford Motor Credit Company wholesale financing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5"/>
          <w:szCs w:val="15"/>
          <w:color w:val="auto"/>
        </w:rPr>
        <w:t>The Company’s weighted average interest rate for floor plan notes payable was 1.26% for the year ended December 31, 2013, and 1.42% for the year ended December 31, 2012, which is net of interest related to prepayments of new and used inventory loans.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gridSpan w:val="2"/>
          </w:tcPr>
          <w:p>
            <w:pPr>
              <w:spacing w:after="0"/>
              <w:rPr>
                <w:sz w:val="20"/>
                <w:szCs w:val="20"/>
                <w:color w:val="auto"/>
              </w:rPr>
            </w:pPr>
            <w:r>
              <w:rPr>
                <w:rFonts w:ascii="Arial" w:cs="Arial" w:eastAsia="Arial" w:hAnsi="Arial"/>
                <w:sz w:val="15"/>
                <w:szCs w:val="15"/>
                <w:color w:val="auto"/>
              </w:rPr>
              <w:t>Assets pledged as collateral were as follows (in thousands):</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5"/>
                <w:szCs w:val="15"/>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jc w:val="right"/>
              <w:ind w:right="31"/>
              <w:spacing w:after="0" w:line="167" w:lineRule="exact"/>
              <w:rPr>
                <w:sz w:val="20"/>
                <w:szCs w:val="20"/>
                <w:color w:val="auto"/>
              </w:rPr>
            </w:pPr>
            <w:r>
              <w:rPr>
                <w:rFonts w:ascii="Arial" w:cs="Arial" w:eastAsia="Arial" w:hAnsi="Arial"/>
                <w:sz w:val="15"/>
                <w:szCs w:val="15"/>
                <w:color w:val="auto"/>
              </w:rPr>
              <w:t>2013</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57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w w:val="95"/>
              </w:rPr>
              <w:t>Inventories, new and used vehicles at cost based on specific identification, net of allowance</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1"/>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634,732</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541,287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Vehicle sale related accounts receivable</w:t>
            </w:r>
          </w:p>
        </w:tc>
        <w:tc>
          <w:tcPr>
            <w:tcW w:w="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42,830</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vMerge w:val="restart"/>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vMerge w:val="continue"/>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Total</w:t>
            </w:r>
          </w:p>
        </w:tc>
        <w:tc>
          <w:tcPr>
            <w:tcW w:w="1000" w:type="dxa"/>
            <w:vAlign w:val="bottom"/>
            <w:gridSpan w:val="2"/>
          </w:tcPr>
          <w:p>
            <w:pPr>
              <w:jc w:val="right"/>
              <w:ind w:right="89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677,562</w:t>
            </w:r>
          </w:p>
        </w:tc>
        <w:tc>
          <w:tcPr>
            <w:tcW w:w="640" w:type="dxa"/>
            <w:vAlign w:val="bottom"/>
            <w:gridSpan w:val="2"/>
          </w:tcPr>
          <w:p>
            <w:pPr>
              <w:jc w:val="right"/>
              <w:ind w:right="348"/>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582,127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vMerge w:val="continue"/>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Floor plan notes payable related to vehicles</w:t>
            </w:r>
          </w:p>
        </w:tc>
        <w:tc>
          <w:tcPr>
            <w:tcW w:w="1000" w:type="dxa"/>
            <w:vAlign w:val="bottom"/>
            <w:gridSpan w:val="2"/>
          </w:tcPr>
          <w:p>
            <w:pPr>
              <w:jc w:val="right"/>
              <w:ind w:right="89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593,649</w:t>
            </w:r>
          </w:p>
        </w:tc>
        <w:tc>
          <w:tcPr>
            <w:tcW w:w="640" w:type="dxa"/>
            <w:vAlign w:val="bottom"/>
            <w:gridSpan w:val="2"/>
          </w:tcPr>
          <w:p>
            <w:pPr>
              <w:jc w:val="right"/>
              <w:ind w:right="348"/>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534,520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Lines of Credit</w:t>
      </w:r>
    </w:p>
    <w:p>
      <w:pPr>
        <w:spacing w:after="0" w:line="177" w:lineRule="exact"/>
        <w:rPr>
          <w:sz w:val="20"/>
          <w:szCs w:val="20"/>
          <w:color w:val="auto"/>
        </w:rPr>
      </w:pPr>
    </w:p>
    <w:p>
      <w:pPr>
        <w:spacing w:after="0" w:line="383" w:lineRule="auto"/>
        <w:rPr>
          <w:sz w:val="20"/>
          <w:szCs w:val="20"/>
          <w:color w:val="auto"/>
        </w:rPr>
      </w:pPr>
      <w:r>
        <w:rPr>
          <w:rFonts w:ascii="Arial" w:cs="Arial" w:eastAsia="Arial" w:hAnsi="Arial"/>
          <w:sz w:val="12"/>
          <w:szCs w:val="12"/>
          <w:color w:val="auto"/>
        </w:rPr>
        <w:t>The Company has a secured line of credit that provides for a maximum borrowing of $15.0 million. There were no advances outstanding under this secured line of credit at December 31, 2013; however, $8.0 million was pledged to secure various letters of credit related to self-insurance products, leaving $7.0 million available for future borrowings as of December 31, 2013.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Arial" w:cs="Arial" w:eastAsia="Arial" w:hAnsi="Arial"/>
                <w:sz w:val="15"/>
                <w:szCs w:val="15"/>
                <w:color w:val="auto"/>
              </w:rPr>
              <w:t>8.</w:t>
            </w:r>
          </w:p>
        </w:tc>
        <w:tc>
          <w:tcPr>
            <w:tcW w:w="4740" w:type="dxa"/>
            <w:vAlign w:val="bottom"/>
            <w:gridSpan w:val="3"/>
          </w:tcPr>
          <w:p>
            <w:pPr>
              <w:spacing w:after="0"/>
              <w:rPr>
                <w:sz w:val="20"/>
                <w:szCs w:val="20"/>
                <w:color w:val="auto"/>
              </w:rPr>
            </w:pPr>
            <w:r>
              <w:rPr>
                <w:rFonts w:ascii="Arial" w:cs="Arial" w:eastAsia="Arial" w:hAnsi="Arial"/>
                <w:sz w:val="15"/>
                <w:szCs w:val="15"/>
                <w:color w:val="auto"/>
              </w:rPr>
              <w:t>LONG-TERM DEBT:</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620" w:type="dxa"/>
            <w:vAlign w:val="bottom"/>
            <w:gridSpan w:val="4"/>
          </w:tcPr>
          <w:p>
            <w:pPr>
              <w:spacing w:after="0"/>
              <w:rPr>
                <w:sz w:val="20"/>
                <w:szCs w:val="20"/>
                <w:color w:val="auto"/>
              </w:rPr>
            </w:pPr>
            <w:r>
              <w:rPr>
                <w:rFonts w:ascii="Arial" w:cs="Arial" w:eastAsia="Arial" w:hAnsi="Arial"/>
                <w:sz w:val="15"/>
                <w:szCs w:val="15"/>
                <w:color w:val="auto"/>
              </w:rPr>
              <w:t>Long-term debt was comprised of the following (in thousands):</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5"/>
                <w:szCs w:val="15"/>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2013</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2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Variable interest rate term notes</w:t>
            </w:r>
          </w:p>
        </w:tc>
        <w:tc>
          <w:tcPr>
            <w:tcW w:w="2320" w:type="dxa"/>
            <w:vAlign w:val="bottom"/>
            <w:gridSpan w:val="2"/>
            <w:shd w:val="clear" w:color="auto" w:fill="CCEEFF"/>
          </w:tcPr>
          <w:p>
            <w:pPr>
              <w:jc w:val="right"/>
              <w:ind w:right="867"/>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76,162</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80,463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Fixed interest rate term notes</w:t>
            </w:r>
          </w:p>
        </w:tc>
        <w:tc>
          <w:tcPr>
            <w:tcW w:w="13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406,619</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319,201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Total debt</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482,781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399,664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Less: current maturities</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(97,243)</w:t>
            </w:r>
          </w:p>
        </w:tc>
        <w:tc>
          <w:tcPr>
            <w:tcW w:w="46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5"/>
                <w:szCs w:val="15"/>
                <w:color w:val="auto"/>
              </w:rPr>
              <w:t>(80,030)</w:t>
            </w: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Total long-term debt, net of current maturities</w:t>
            </w:r>
          </w:p>
        </w:tc>
        <w:tc>
          <w:tcPr>
            <w:tcW w:w="2320" w:type="dxa"/>
            <w:vAlign w:val="bottom"/>
            <w:gridSpan w:val="2"/>
          </w:tcPr>
          <w:p>
            <w:pPr>
              <w:jc w:val="right"/>
              <w:ind w:right="867"/>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385,538</w:t>
            </w:r>
          </w:p>
        </w:tc>
        <w:tc>
          <w:tcPr>
            <w:tcW w:w="180" w:type="dxa"/>
            <w:vAlign w:val="bottom"/>
          </w:tcPr>
          <w:p>
            <w:pPr>
              <w:spacing w:after="0"/>
              <w:rPr>
                <w:sz w:val="15"/>
                <w:szCs w:val="15"/>
                <w:color w:val="auto"/>
              </w:rPr>
            </w:pP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319,634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spacing w:after="0"/>
              <w:rPr>
                <w:sz w:val="20"/>
                <w:szCs w:val="20"/>
                <w:color w:val="auto"/>
              </w:rPr>
            </w:pPr>
            <w:r>
              <w:rPr>
                <w:rFonts w:ascii="Arial" w:cs="Arial" w:eastAsia="Arial" w:hAnsi="Arial"/>
                <w:sz w:val="15"/>
                <w:szCs w:val="15"/>
                <w:color w:val="auto"/>
              </w:rPr>
              <w:t>As of December 31, 2013, debt maturities were as follows (in thousands):</w:t>
            </w:r>
          </w:p>
        </w:tc>
        <w:tc>
          <w:tcPr>
            <w:tcW w:w="1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62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10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2014</w:t>
            </w:r>
          </w:p>
        </w:tc>
        <w:tc>
          <w:tcPr>
            <w:tcW w:w="3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Arial" w:cs="Arial" w:eastAsia="Arial" w:hAnsi="Arial"/>
                <w:sz w:val="15"/>
                <w:szCs w:val="15"/>
                <w:color w:val="auto"/>
              </w:rPr>
              <w:t>2015</w:t>
            </w:r>
          </w:p>
        </w:tc>
        <w:tc>
          <w:tcPr>
            <w:tcW w:w="3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110,185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2016</w:t>
            </w:r>
          </w:p>
        </w:tc>
        <w:tc>
          <w:tcPr>
            <w:tcW w:w="3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Arial" w:cs="Arial" w:eastAsia="Arial" w:hAnsi="Arial"/>
                <w:sz w:val="15"/>
                <w:szCs w:val="15"/>
                <w:color w:val="auto"/>
              </w:rPr>
              <w:t>2017</w:t>
            </w:r>
          </w:p>
        </w:tc>
        <w:tc>
          <w:tcPr>
            <w:tcW w:w="3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75,756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2018</w:t>
            </w:r>
          </w:p>
        </w:tc>
        <w:tc>
          <w:tcPr>
            <w:tcW w:w="3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51,503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gridSpan w:val="2"/>
          </w:tcPr>
          <w:p>
            <w:pPr>
              <w:ind w:left="140"/>
              <w:spacing w:after="0"/>
              <w:rPr>
                <w:sz w:val="20"/>
                <w:szCs w:val="20"/>
                <w:color w:val="auto"/>
              </w:rPr>
            </w:pPr>
            <w:r>
              <w:rPr>
                <w:rFonts w:ascii="Arial" w:cs="Arial" w:eastAsia="Arial" w:hAnsi="Arial"/>
                <w:sz w:val="15"/>
                <w:szCs w:val="15"/>
                <w:color w:val="auto"/>
              </w:rPr>
              <w:t>Thereafter</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482,781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The interest rates on the Company’s variable interest rate notes are based on LIBOR. The interest rates on the notes range from approximately 1.6% to 3.0% on December 31, 2013. Payments on the notes range from approximately $1,910 to $80,000 per month, plus interest. Maturities of these notes range from August 2014, to December 2018.</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5"/>
          <w:szCs w:val="15"/>
          <w:color w:val="auto"/>
        </w:rPr>
        <w:t>The Company’s fixed interest rate notes are with financial institutions and had interest rates that ranged from approximately 2.5% to 8.5% on December 31, 2013. Payments on the notes range from $152 to $32,840 per month, plus interest. Maturities of these notes range from January 2014, to December 2023.</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proceeds from the issuance of the notes were used primarily to acquire land, buildings and improvements, transportation equipment and leasing vehicles. The notes are secured by the assets acquired with the proceeds of such notes.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Company’s long-term real estate debt agreements and floor plan arrangement require the Company to satisfy various financial ratios such as the debt to worth ratio, leverage ratio, the fixed charge coverage ratio and certain requirements for tangible net worth and GAAP net worth. As of December 31, 2013, the Company was in compliance with all debt covenants related to debt secured by real estate. The Company does not anticipate any breach of the covenants in the foreseeable future.</w:t>
      </w:r>
    </w:p>
    <w:p>
      <w:pPr>
        <w:spacing w:after="0" w:line="158" w:lineRule="exact"/>
        <w:rPr>
          <w:sz w:val="20"/>
          <w:szCs w:val="20"/>
          <w:color w:val="auto"/>
        </w:rPr>
      </w:pPr>
    </w:p>
    <w:p>
      <w:pPr>
        <w:ind w:left="880" w:hanging="873"/>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FINANCIAL INSTRUMENTS AND FAIR VALUE</w:t>
      </w:r>
      <w:r>
        <w:rPr>
          <w:rFonts w:ascii="Arial" w:cs="Arial" w:eastAsia="Arial" w:hAnsi="Arial"/>
          <w:sz w:val="15"/>
          <w:szCs w:val="15"/>
          <w:color w:val="auto"/>
        </w:rPr>
        <w:t>:</w:t>
      </w:r>
    </w:p>
    <w:p>
      <w:pPr>
        <w:spacing w:after="0" w:line="35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2013, and 2012. The carrying value of current assets and current liabilities approximates the fair value due to the short maturity of these items.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58"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of December 31, 2013 and 2012, the Company held auction rate securities with underlying tax-exempt municipal bonds that mature in 2030 that have a fair value of $6.6 million and a cost basis of $7.6 million. These bonds have credit wrap insurance and a credit rating of A2 by a major credit rating agency.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4" w:name="page65"/>
    <w:bookmarkEnd w:id="64"/>
    <w:p>
      <w:pPr>
        <w:jc w:val="both"/>
        <w:spacing w:after="0" w:line="245" w:lineRule="auto"/>
        <w:rPr>
          <w:sz w:val="20"/>
          <w:szCs w:val="20"/>
          <w:color w:val="auto"/>
        </w:rPr>
      </w:pPr>
      <w:r>
        <w:rPr>
          <w:rFonts w:ascii="Arial" w:cs="Arial" w:eastAsia="Arial" w:hAnsi="Arial"/>
          <w:sz w:val="15"/>
          <w:szCs w:val="15"/>
          <w:color w:val="auto"/>
        </w:rPr>
        <w:t>The Company valued the auction rate securities at December 31, 2013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Company recorded a pre-tax impairment charge of $1.0 million on these investments in 2011. The Company believes that the impairment is temporary and has included the impairment in accumulated other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disclosures about the auction rate securities measured at fair value on a recurring basis in the Company’s financial statements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left="67"/>
              <w:spacing w:after="0"/>
              <w:rPr>
                <w:sz w:val="20"/>
                <w:szCs w:val="20"/>
                <w:color w:val="auto"/>
              </w:rPr>
            </w:pPr>
            <w:r>
              <w:rPr>
                <w:rFonts w:ascii="Arial" w:cs="Arial" w:eastAsia="Arial" w:hAnsi="Arial"/>
                <w:sz w:val="15"/>
                <w:szCs w:val="15"/>
                <w:b w:val="1"/>
                <w:bCs w:val="1"/>
                <w:color w:val="auto"/>
                <w:w w:val="88"/>
              </w:rPr>
              <w:t>At December 31, 2013</w:t>
            </w:r>
          </w:p>
        </w:tc>
        <w:tc>
          <w:tcPr>
            <w:tcW w:w="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left="87"/>
              <w:spacing w:after="0"/>
              <w:rPr>
                <w:sz w:val="20"/>
                <w:szCs w:val="20"/>
                <w:color w:val="auto"/>
              </w:rPr>
            </w:pPr>
            <w:r>
              <w:rPr>
                <w:rFonts w:ascii="Arial" w:cs="Arial" w:eastAsia="Arial" w:hAnsi="Arial"/>
                <w:sz w:val="15"/>
                <w:szCs w:val="15"/>
                <w:b w:val="1"/>
                <w:bCs w:val="1"/>
                <w:color w:val="auto"/>
                <w:w w:val="87"/>
              </w:rPr>
              <w:t>At December 31, 2012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jc w:val="center"/>
              <w:ind w:left="187"/>
              <w:spacing w:after="0" w:line="153" w:lineRule="exact"/>
              <w:rPr>
                <w:sz w:val="20"/>
                <w:szCs w:val="20"/>
                <w:color w:val="auto"/>
              </w:rPr>
            </w:pPr>
            <w:r>
              <w:rPr>
                <w:rFonts w:ascii="Arial" w:cs="Arial" w:eastAsia="Arial" w:hAnsi="Arial"/>
                <w:sz w:val="15"/>
                <w:szCs w:val="15"/>
                <w:b w:val="1"/>
                <w:bCs w:val="1"/>
                <w:color w:val="auto"/>
                <w:w w:val="86"/>
              </w:rPr>
              <w:t>Level 1</w:t>
            </w:r>
          </w:p>
        </w:tc>
        <w:tc>
          <w:tcPr>
            <w:tcW w:w="720" w:type="dxa"/>
            <w:vAlign w:val="bottom"/>
          </w:tcPr>
          <w:p>
            <w:pPr>
              <w:spacing w:after="0"/>
              <w:rPr>
                <w:sz w:val="13"/>
                <w:szCs w:val="13"/>
                <w:color w:val="auto"/>
              </w:rPr>
            </w:pPr>
          </w:p>
        </w:tc>
        <w:tc>
          <w:tcPr>
            <w:tcW w:w="1360" w:type="dxa"/>
            <w:vAlign w:val="bottom"/>
          </w:tcPr>
          <w:p>
            <w:pPr>
              <w:jc w:val="center"/>
              <w:ind w:right="507"/>
              <w:spacing w:after="0" w:line="153" w:lineRule="exact"/>
              <w:rPr>
                <w:sz w:val="20"/>
                <w:szCs w:val="20"/>
                <w:color w:val="auto"/>
              </w:rPr>
            </w:pPr>
            <w:r>
              <w:rPr>
                <w:rFonts w:ascii="Arial" w:cs="Arial" w:eastAsia="Arial" w:hAnsi="Arial"/>
                <w:sz w:val="15"/>
                <w:szCs w:val="15"/>
                <w:b w:val="1"/>
                <w:bCs w:val="1"/>
                <w:color w:val="auto"/>
                <w:w w:val="90"/>
              </w:rPr>
              <w:t>Level 2</w:t>
            </w:r>
          </w:p>
        </w:tc>
        <w:tc>
          <w:tcPr>
            <w:tcW w:w="40" w:type="dxa"/>
            <w:vAlign w:val="bottom"/>
          </w:tcPr>
          <w:p>
            <w:pPr>
              <w:spacing w:after="0"/>
              <w:rPr>
                <w:sz w:val="13"/>
                <w:szCs w:val="13"/>
                <w:color w:val="auto"/>
              </w:rPr>
            </w:pPr>
          </w:p>
        </w:tc>
        <w:tc>
          <w:tcPr>
            <w:tcW w:w="1060" w:type="dxa"/>
            <w:vAlign w:val="bottom"/>
          </w:tcPr>
          <w:p>
            <w:pPr>
              <w:jc w:val="center"/>
              <w:ind w:right="87"/>
              <w:spacing w:after="0" w:line="153" w:lineRule="exact"/>
              <w:rPr>
                <w:sz w:val="20"/>
                <w:szCs w:val="20"/>
                <w:color w:val="auto"/>
              </w:rPr>
            </w:pPr>
            <w:r>
              <w:rPr>
                <w:rFonts w:ascii="Arial" w:cs="Arial" w:eastAsia="Arial" w:hAnsi="Arial"/>
                <w:sz w:val="15"/>
                <w:szCs w:val="15"/>
                <w:b w:val="1"/>
                <w:bCs w:val="1"/>
                <w:color w:val="auto"/>
                <w:w w:val="90"/>
              </w:rPr>
              <w:t>Level 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spacing w:after="0" w:line="153" w:lineRule="exact"/>
              <w:rPr>
                <w:sz w:val="20"/>
                <w:szCs w:val="20"/>
                <w:color w:val="auto"/>
              </w:rPr>
            </w:pPr>
            <w:r>
              <w:rPr>
                <w:rFonts w:ascii="Arial" w:cs="Arial" w:eastAsia="Arial" w:hAnsi="Arial"/>
                <w:sz w:val="15"/>
                <w:szCs w:val="15"/>
                <w:b w:val="1"/>
                <w:bCs w:val="1"/>
                <w:color w:val="auto"/>
              </w:rPr>
              <w:t>Level 1</w:t>
            </w:r>
          </w:p>
        </w:tc>
        <w:tc>
          <w:tcPr>
            <w:tcW w:w="1560" w:type="dxa"/>
            <w:vAlign w:val="bottom"/>
            <w:gridSpan w:val="3"/>
          </w:tcPr>
          <w:p>
            <w:pPr>
              <w:ind w:left="980"/>
              <w:spacing w:after="0" w:line="153" w:lineRule="exact"/>
              <w:rPr>
                <w:sz w:val="20"/>
                <w:szCs w:val="20"/>
                <w:color w:val="auto"/>
              </w:rPr>
            </w:pPr>
            <w:r>
              <w:rPr>
                <w:rFonts w:ascii="Arial" w:cs="Arial" w:eastAsia="Arial" w:hAnsi="Arial"/>
                <w:sz w:val="15"/>
                <w:szCs w:val="15"/>
                <w:b w:val="1"/>
                <w:bCs w:val="1"/>
                <w:color w:val="auto"/>
              </w:rPr>
              <w:t>Level 2</w:t>
            </w:r>
          </w:p>
        </w:tc>
        <w:tc>
          <w:tcPr>
            <w:tcW w:w="680" w:type="dxa"/>
            <w:vAlign w:val="bottom"/>
          </w:tcPr>
          <w:p>
            <w:pPr>
              <w:spacing w:after="0"/>
              <w:rPr>
                <w:sz w:val="13"/>
                <w:szCs w:val="13"/>
                <w:color w:val="auto"/>
              </w:rPr>
            </w:pPr>
          </w:p>
        </w:tc>
        <w:tc>
          <w:tcPr>
            <w:tcW w:w="980" w:type="dxa"/>
            <w:vAlign w:val="bottom"/>
            <w:gridSpan w:val="3"/>
          </w:tcPr>
          <w:p>
            <w:pPr>
              <w:jc w:val="center"/>
              <w:ind w:right="220"/>
              <w:spacing w:after="0" w:line="153" w:lineRule="exact"/>
              <w:rPr>
                <w:sz w:val="20"/>
                <w:szCs w:val="20"/>
                <w:color w:val="auto"/>
              </w:rPr>
            </w:pPr>
            <w:r>
              <w:rPr>
                <w:rFonts w:ascii="Arial" w:cs="Arial" w:eastAsia="Arial" w:hAnsi="Arial"/>
                <w:sz w:val="15"/>
                <w:szCs w:val="15"/>
                <w:b w:val="1"/>
                <w:bCs w:val="1"/>
                <w:color w:val="auto"/>
                <w:w w:val="86"/>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jc w:val="center"/>
              <w:ind w:left="187"/>
              <w:spacing w:after="0"/>
              <w:rPr>
                <w:sz w:val="20"/>
                <w:szCs w:val="20"/>
                <w:color w:val="auto"/>
              </w:rPr>
            </w:pPr>
            <w:r>
              <w:rPr>
                <w:rFonts w:ascii="Arial" w:cs="Arial" w:eastAsia="Arial" w:hAnsi="Arial"/>
                <w:sz w:val="15"/>
                <w:szCs w:val="15"/>
                <w:b w:val="1"/>
                <w:bCs w:val="1"/>
                <w:color w:val="auto"/>
                <w:w w:val="88"/>
              </w:rPr>
              <w:t>Inputs</w:t>
            </w:r>
          </w:p>
        </w:tc>
        <w:tc>
          <w:tcPr>
            <w:tcW w:w="720" w:type="dxa"/>
            <w:vAlign w:val="bottom"/>
          </w:tcPr>
          <w:p>
            <w:pPr>
              <w:spacing w:after="0"/>
              <w:rPr>
                <w:sz w:val="16"/>
                <w:szCs w:val="16"/>
                <w:color w:val="auto"/>
              </w:rPr>
            </w:pPr>
          </w:p>
        </w:tc>
        <w:tc>
          <w:tcPr>
            <w:tcW w:w="1360" w:type="dxa"/>
            <w:vAlign w:val="bottom"/>
          </w:tcPr>
          <w:p>
            <w:pPr>
              <w:jc w:val="center"/>
              <w:ind w:right="527"/>
              <w:spacing w:after="0"/>
              <w:rPr>
                <w:sz w:val="20"/>
                <w:szCs w:val="20"/>
                <w:color w:val="auto"/>
              </w:rPr>
            </w:pPr>
            <w:r>
              <w:rPr>
                <w:rFonts w:ascii="Arial" w:cs="Arial" w:eastAsia="Arial" w:hAnsi="Arial"/>
                <w:sz w:val="15"/>
                <w:szCs w:val="15"/>
                <w:b w:val="1"/>
                <w:bCs w:val="1"/>
                <w:color w:val="auto"/>
                <w:w w:val="88"/>
              </w:rPr>
              <w:t>Inputs</w:t>
            </w:r>
          </w:p>
        </w:tc>
        <w:tc>
          <w:tcPr>
            <w:tcW w:w="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Inputs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b w:val="1"/>
                <w:bCs w:val="1"/>
                <w:color w:val="auto"/>
              </w:rPr>
              <w:t>Inputs</w:t>
            </w:r>
          </w:p>
        </w:tc>
        <w:tc>
          <w:tcPr>
            <w:tcW w:w="1400" w:type="dxa"/>
            <w:vAlign w:val="bottom"/>
            <w:gridSpan w:val="2"/>
          </w:tcPr>
          <w:p>
            <w:pPr>
              <w:jc w:val="center"/>
              <w:ind w:left="927"/>
              <w:spacing w:after="0"/>
              <w:rPr>
                <w:sz w:val="20"/>
                <w:szCs w:val="20"/>
                <w:color w:val="auto"/>
              </w:rPr>
            </w:pPr>
            <w:r>
              <w:rPr>
                <w:rFonts w:ascii="Arial" w:cs="Arial" w:eastAsia="Arial" w:hAnsi="Arial"/>
                <w:sz w:val="15"/>
                <w:szCs w:val="15"/>
                <w:b w:val="1"/>
                <w:bCs w:val="1"/>
                <w:color w:val="auto"/>
                <w:w w:val="88"/>
              </w:rPr>
              <w:t>Inputs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5"/>
                <w:szCs w:val="15"/>
                <w:b w:val="1"/>
                <w:bCs w:val="1"/>
                <w:color w:val="auto"/>
                <w:w w:val="88"/>
              </w:rPr>
              <w:t>Inputs</w:t>
            </w:r>
          </w:p>
        </w:tc>
        <w:tc>
          <w:tcPr>
            <w:tcW w:w="0" w:type="dxa"/>
            <w:vAlign w:val="bottom"/>
          </w:tcPr>
          <w:p>
            <w:pPr>
              <w:spacing w:after="0"/>
              <w:rPr>
                <w:sz w:val="1"/>
                <w:szCs w:val="1"/>
                <w:color w:val="auto"/>
              </w:rPr>
            </w:pPr>
          </w:p>
        </w:tc>
      </w:tr>
      <w:tr>
        <w:trPr>
          <w:trHeight w:val="156"/>
        </w:trPr>
        <w:tc>
          <w:tcPr>
            <w:tcW w:w="176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Investment in auction rate</w:t>
            </w:r>
          </w:p>
        </w:tc>
        <w:tc>
          <w:tcPr>
            <w:tcW w:w="9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securities</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   $</w:t>
            </w:r>
          </w:p>
        </w:tc>
        <w:tc>
          <w:tcPr>
            <w:tcW w:w="1360" w:type="dxa"/>
            <w:vAlign w:val="bottom"/>
            <w:shd w:val="clear" w:color="auto" w:fill="CCEEFF"/>
          </w:tcPr>
          <w:p>
            <w:pPr>
              <w:ind w:left="860"/>
              <w:spacing w:after="0"/>
              <w:rPr>
                <w:sz w:val="20"/>
                <w:szCs w:val="20"/>
                <w:color w:val="auto"/>
              </w:rPr>
            </w:pPr>
            <w:r>
              <w:rPr>
                <w:rFonts w:ascii="Arial" w:cs="Arial" w:eastAsia="Arial" w:hAnsi="Arial"/>
                <w:sz w:val="15"/>
                <w:szCs w:val="15"/>
                <w:color w:val="auto"/>
              </w:rPr>
              <w:t>—   $</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6,628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   $</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6,628</w:t>
            </w:r>
          </w:p>
        </w:tc>
        <w:tc>
          <w:tcPr>
            <w:tcW w:w="0" w:type="dxa"/>
            <w:vAlign w:val="bottom"/>
          </w:tcPr>
          <w:p>
            <w:pPr>
              <w:spacing w:after="0"/>
              <w:rPr>
                <w:sz w:val="1"/>
                <w:szCs w:val="1"/>
                <w:color w:val="auto"/>
              </w:rPr>
            </w:pPr>
          </w:p>
        </w:tc>
      </w:tr>
      <w:tr>
        <w:trPr>
          <w:trHeight w:val="510"/>
        </w:trPr>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7"/>
              </w:rPr>
              <w:t>Gross Unrealized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87"/>
              </w:rPr>
              <w:t>Loss In</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jc w:val="center"/>
              <w:ind w:left="307"/>
              <w:spacing w:after="0"/>
              <w:rPr>
                <w:sz w:val="20"/>
                <w:szCs w:val="20"/>
                <w:color w:val="auto"/>
              </w:rPr>
            </w:pPr>
            <w:r>
              <w:rPr>
                <w:rFonts w:ascii="Arial" w:cs="Arial" w:eastAsia="Arial" w:hAnsi="Arial"/>
                <w:sz w:val="15"/>
                <w:szCs w:val="15"/>
                <w:b w:val="1"/>
                <w:bCs w:val="1"/>
                <w:color w:val="auto"/>
                <w:w w:val="82"/>
              </w:rPr>
              <w:t>Cost Basis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87"/>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jc w:val="center"/>
              <w:ind w:left="327"/>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5"/>
                <w:szCs w:val="15"/>
                <w:b w:val="1"/>
                <w:bCs w:val="1"/>
                <w:color w:val="auto"/>
              </w:rPr>
              <w:t>OCI</w:t>
            </w:r>
          </w:p>
        </w:tc>
        <w:tc>
          <w:tcPr>
            <w:tcW w:w="160" w:type="dxa"/>
            <w:vAlign w:val="bottom"/>
          </w:tcPr>
          <w:p>
            <w:pPr>
              <w:spacing w:after="0"/>
              <w:rPr>
                <w:sz w:val="16"/>
                <w:szCs w:val="16"/>
                <w:color w:val="auto"/>
              </w:rPr>
            </w:pPr>
          </w:p>
        </w:tc>
        <w:tc>
          <w:tcPr>
            <w:tcW w:w="1760" w:type="dxa"/>
            <w:vAlign w:val="bottom"/>
            <w:gridSpan w:val="5"/>
          </w:tcPr>
          <w:p>
            <w:pPr>
              <w:jc w:val="right"/>
              <w:ind w:right="82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46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December 31, 2013</w:t>
            </w: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gridSpan w:val="3"/>
          </w:tcPr>
          <w:p>
            <w:pPr>
              <w:ind w:left="280"/>
              <w:spacing w:after="0"/>
              <w:rPr>
                <w:sz w:val="20"/>
                <w:szCs w:val="20"/>
                <w:color w:val="auto"/>
              </w:rPr>
            </w:pPr>
            <w:r>
              <w:rPr>
                <w:rFonts w:ascii="Arial" w:cs="Arial" w:eastAsia="Arial" w:hAnsi="Arial"/>
                <w:sz w:val="15"/>
                <w:szCs w:val="15"/>
                <w:color w:val="auto"/>
              </w:rPr>
              <w:t>Investment in auction rate securities</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gridSpan w:val="2"/>
          </w:tcPr>
          <w:p>
            <w:pPr>
              <w:jc w:val="right"/>
              <w:ind w:right="90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7,575</w:t>
            </w:r>
          </w:p>
        </w:tc>
        <w:tc>
          <w:tcPr>
            <w:tcW w:w="540" w:type="dxa"/>
            <w:vAlign w:val="bottom"/>
            <w:gridSpan w:val="2"/>
          </w:tcPr>
          <w:p>
            <w:pPr>
              <w:jc w:val="right"/>
              <w:ind w:right="207"/>
              <w:spacing w:after="0"/>
              <w:rPr>
                <w:sz w:val="20"/>
                <w:szCs w:val="20"/>
                <w:color w:val="auto"/>
              </w:rPr>
            </w:pPr>
            <w:r>
              <w:rPr>
                <w:rFonts w:ascii="Arial" w:cs="Arial" w:eastAsia="Arial" w:hAnsi="Arial"/>
                <w:sz w:val="15"/>
                <w:szCs w:val="15"/>
                <w:color w:val="auto"/>
              </w:rPr>
              <w:t>$</w:t>
            </w:r>
          </w:p>
        </w:tc>
        <w:tc>
          <w:tcPr>
            <w:tcW w:w="1220" w:type="dxa"/>
            <w:vAlign w:val="bottom"/>
          </w:tcPr>
          <w:p>
            <w:pPr>
              <w:ind w:left="980"/>
              <w:spacing w:after="0"/>
              <w:rPr>
                <w:sz w:val="20"/>
                <w:szCs w:val="20"/>
                <w:color w:val="auto"/>
              </w:rPr>
            </w:pPr>
            <w:r>
              <w:rPr>
                <w:rFonts w:ascii="Arial" w:cs="Arial" w:eastAsia="Arial" w:hAnsi="Arial"/>
                <w:sz w:val="15"/>
                <w:szCs w:val="15"/>
                <w:color w:val="auto"/>
                <w:w w:val="87"/>
              </w:rPr>
              <w:t>947</w:t>
            </w:r>
          </w:p>
        </w:tc>
        <w:tc>
          <w:tcPr>
            <w:tcW w:w="18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00" w:type="dxa"/>
            <w:vAlign w:val="bottom"/>
            <w:vMerge w:val="restart"/>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 w:type="dxa"/>
            <w:vAlign w:val="bottom"/>
            <w:vMerge w:val="continue"/>
          </w:tcPr>
          <w:p>
            <w:pPr>
              <w:spacing w:after="0"/>
              <w:rPr>
                <w:sz w:val="15"/>
                <w:szCs w:val="15"/>
                <w:color w:val="auto"/>
              </w:rPr>
            </w:pPr>
          </w:p>
        </w:tc>
        <w:tc>
          <w:tcPr>
            <w:tcW w:w="1460" w:type="dxa"/>
            <w:vAlign w:val="bottom"/>
          </w:tcPr>
          <w:p>
            <w:pPr>
              <w:spacing w:after="0"/>
              <w:rPr>
                <w:sz w:val="20"/>
                <w:szCs w:val="20"/>
                <w:color w:val="auto"/>
              </w:rPr>
            </w:pPr>
            <w:r>
              <w:rPr>
                <w:rFonts w:ascii="Arial" w:cs="Arial" w:eastAsia="Arial" w:hAnsi="Arial"/>
                <w:sz w:val="15"/>
                <w:szCs w:val="15"/>
                <w:b w:val="1"/>
                <w:bCs w:val="1"/>
                <w:color w:val="auto"/>
              </w:rPr>
              <w:t>December 31, 2012</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Investment in auction rate securities</w:t>
            </w:r>
          </w:p>
        </w:tc>
        <w:tc>
          <w:tcPr>
            <w:tcW w:w="7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7,575</w:t>
            </w:r>
          </w:p>
        </w:tc>
        <w:tc>
          <w:tcPr>
            <w:tcW w:w="1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w w:val="87"/>
              </w:rPr>
              <w:t>947</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Swap Agreements</w:t>
      </w:r>
    </w:p>
    <w:p>
      <w:pPr>
        <w:spacing w:after="0" w:line="177"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At December 31, 2013, the Company had an aggregate $38.4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years ended December 31, 2013 and December 31, 2012.</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$1.0 million as of December 31, 2013. The carrying value of these swaps is included in Other Long-Term Liabilities on the accompanying Consolidated Balance Sheet as of December 31, 2013.</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5" w:name="page66"/>
    <w:bookmarkEnd w:id="65"/>
    <w:p>
      <w:pPr>
        <w:spacing w:after="0"/>
        <w:rPr>
          <w:sz w:val="20"/>
          <w:szCs w:val="20"/>
          <w:color w:val="auto"/>
        </w:rPr>
      </w:pPr>
      <w:r>
        <w:rPr>
          <w:rFonts w:ascii="Arial" w:cs="Arial" w:eastAsia="Arial" w:hAnsi="Arial"/>
          <w:sz w:val="15"/>
          <w:szCs w:val="15"/>
          <w:color w:val="auto"/>
        </w:rPr>
        <w:t>As of December 31, 2013 the Company was party to derivative financial instruments, as described in the following table (in thousands):</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89"/>
              </w:rPr>
              <w:t>Underlying</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86"/>
              </w:rPr>
              <w:t>Agreement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0"/>
              </w:rPr>
              <w:t>Current Notional Amount</w:t>
            </w:r>
          </w:p>
        </w:tc>
        <w:tc>
          <w:tcPr>
            <w:tcW w:w="2260" w:type="dxa"/>
            <w:vAlign w:val="bottom"/>
          </w:tcPr>
          <w:p>
            <w:pPr>
              <w:jc w:val="right"/>
              <w:ind w:right="447"/>
              <w:spacing w:after="0"/>
              <w:rPr>
                <w:sz w:val="20"/>
                <w:szCs w:val="20"/>
                <w:color w:val="auto"/>
              </w:rPr>
            </w:pPr>
            <w:r>
              <w:rPr>
                <w:rFonts w:ascii="Arial" w:cs="Arial" w:eastAsia="Arial" w:hAnsi="Arial"/>
                <w:sz w:val="15"/>
                <w:szCs w:val="15"/>
                <w:b w:val="1"/>
                <w:bCs w:val="1"/>
                <w:color w:val="auto"/>
              </w:rPr>
              <w:t>Fixed Interest Rate</w:t>
            </w: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c>
          <w:tcPr>
            <w:tcW w:w="1540" w:type="dxa"/>
            <w:vAlign w:val="bottom"/>
          </w:tcPr>
          <w:p>
            <w:pPr>
              <w:jc w:val="center"/>
              <w:spacing w:after="0"/>
              <w:rPr>
                <w:sz w:val="20"/>
                <w:szCs w:val="20"/>
                <w:color w:val="auto"/>
              </w:rPr>
            </w:pPr>
            <w:r>
              <w:rPr>
                <w:rFonts w:ascii="Arial" w:cs="Arial" w:eastAsia="Arial" w:hAnsi="Arial"/>
                <w:sz w:val="15"/>
                <w:szCs w:val="15"/>
                <w:b w:val="1"/>
                <w:bCs w:val="1"/>
                <w:color w:val="auto"/>
                <w:w w:val="90"/>
              </w:rPr>
              <w:t>Expiration Date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Fair Value</w:t>
            </w:r>
          </w:p>
        </w:tc>
      </w:tr>
      <w:tr>
        <w:trPr>
          <w:trHeight w:val="167"/>
        </w:trPr>
        <w:tc>
          <w:tcPr>
            <w:tcW w:w="1420" w:type="dxa"/>
            <w:vAlign w:val="bottom"/>
            <w:tcBorders>
              <w:top w:val="single" w:sz="8" w:color="auto"/>
            </w:tcBorders>
            <w:shd w:val="clear" w:color="auto" w:fill="CCEEFF"/>
          </w:tcPr>
          <w:p>
            <w:pPr>
              <w:jc w:val="center"/>
              <w:spacing w:after="0" w:line="167" w:lineRule="exact"/>
              <w:rPr>
                <w:sz w:val="20"/>
                <w:szCs w:val="20"/>
                <w:color w:val="auto"/>
              </w:rPr>
            </w:pPr>
            <w:r>
              <w:rPr>
                <w:rFonts w:ascii="Arial" w:cs="Arial" w:eastAsia="Arial" w:hAnsi="Arial"/>
                <w:sz w:val="15"/>
                <w:szCs w:val="15"/>
                <w:color w:val="auto"/>
                <w:w w:val="86"/>
              </w:rPr>
              <w:t>Interest Rate Swap</w:t>
            </w: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1,871</w:t>
            </w:r>
          </w:p>
        </w:tc>
        <w:tc>
          <w:tcPr>
            <w:tcW w:w="200" w:type="dxa"/>
            <w:vAlign w:val="bottom"/>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right"/>
              <w:ind w:right="347"/>
              <w:spacing w:after="0" w:line="167" w:lineRule="exact"/>
              <w:rPr>
                <w:sz w:val="20"/>
                <w:szCs w:val="20"/>
                <w:color w:val="auto"/>
              </w:rPr>
            </w:pPr>
            <w:r>
              <w:rPr>
                <w:rFonts w:ascii="Arial" w:cs="Arial" w:eastAsia="Arial" w:hAnsi="Arial"/>
                <w:sz w:val="15"/>
                <w:szCs w:val="15"/>
                <w:color w:val="auto"/>
              </w:rPr>
              <w:t>5.075</w:t>
            </w: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4"/>
              </w:rPr>
              <w:t>%</w:t>
            </w:r>
          </w:p>
        </w:tc>
        <w:tc>
          <w:tcPr>
            <w:tcW w:w="1400" w:type="dxa"/>
            <w:vAlign w:val="bottom"/>
            <w:tcBorders>
              <w:top w:val="single" w:sz="8" w:color="auto"/>
            </w:tcBorders>
            <w:shd w:val="clear" w:color="auto" w:fill="CCEEFF"/>
          </w:tcPr>
          <w:p>
            <w:pPr>
              <w:jc w:val="center"/>
              <w:spacing w:after="0" w:line="167" w:lineRule="exact"/>
              <w:rPr>
                <w:sz w:val="20"/>
                <w:szCs w:val="20"/>
                <w:color w:val="auto"/>
              </w:rPr>
            </w:pPr>
            <w:r>
              <w:rPr>
                <w:rFonts w:ascii="Arial" w:cs="Arial" w:eastAsia="Arial" w:hAnsi="Arial"/>
                <w:sz w:val="15"/>
                <w:szCs w:val="15"/>
                <w:color w:val="auto"/>
                <w:w w:val="92"/>
              </w:rPr>
              <w:t>3 month LIBOR</w:t>
            </w:r>
          </w:p>
        </w:tc>
        <w:tc>
          <w:tcPr>
            <w:tcW w:w="1540" w:type="dxa"/>
            <w:vAlign w:val="bottom"/>
            <w:tcBorders>
              <w:top w:val="single" w:sz="8" w:color="auto"/>
            </w:tcBorders>
            <w:shd w:val="clear" w:color="auto" w:fill="CCEEFF"/>
          </w:tcPr>
          <w:p>
            <w:pPr>
              <w:jc w:val="center"/>
              <w:spacing w:after="0" w:line="167" w:lineRule="exact"/>
              <w:rPr>
                <w:sz w:val="20"/>
                <w:szCs w:val="20"/>
                <w:color w:val="auto"/>
              </w:rPr>
            </w:pPr>
            <w:r>
              <w:rPr>
                <w:rFonts w:ascii="Arial" w:cs="Arial" w:eastAsia="Arial" w:hAnsi="Arial"/>
                <w:sz w:val="15"/>
                <w:szCs w:val="15"/>
                <w:color w:val="auto"/>
                <w:w w:val="88"/>
              </w:rPr>
              <w:t>July 1, 2015</w:t>
            </w:r>
          </w:p>
        </w:tc>
        <w:tc>
          <w:tcPr>
            <w:tcW w:w="10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(53)</w:t>
            </w:r>
          </w:p>
        </w:tc>
        <w:tc>
          <w:tcPr>
            <w:tcW w:w="40" w:type="dxa"/>
            <w:vAlign w:val="bottom"/>
            <w:shd w:val="clear" w:color="auto" w:fill="CCEEFF"/>
          </w:tcPr>
          <w:p>
            <w:pPr>
              <w:spacing w:after="0"/>
              <w:rPr>
                <w:sz w:val="14"/>
                <w:szCs w:val="14"/>
                <w:color w:val="auto"/>
              </w:rPr>
            </w:pPr>
          </w:p>
        </w:tc>
      </w:tr>
      <w:tr>
        <w:trPr>
          <w:trHeight w:val="175"/>
        </w:trPr>
        <w:tc>
          <w:tcPr>
            <w:tcW w:w="1420" w:type="dxa"/>
            <w:vAlign w:val="bottom"/>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5"/>
                <w:szCs w:val="15"/>
                <w:color w:val="auto"/>
              </w:rPr>
              <w:t>3,864</w:t>
            </w:r>
          </w:p>
        </w:tc>
        <w:tc>
          <w:tcPr>
            <w:tcW w:w="2260" w:type="dxa"/>
            <w:vAlign w:val="bottom"/>
          </w:tcPr>
          <w:p>
            <w:pPr>
              <w:jc w:val="right"/>
              <w:ind w:right="347"/>
              <w:spacing w:after="0"/>
              <w:rPr>
                <w:sz w:val="20"/>
                <w:szCs w:val="20"/>
                <w:color w:val="auto"/>
              </w:rPr>
            </w:pPr>
            <w:r>
              <w:rPr>
                <w:rFonts w:ascii="Arial" w:cs="Arial" w:eastAsia="Arial" w:hAnsi="Arial"/>
                <w:sz w:val="15"/>
                <w:szCs w:val="15"/>
                <w:color w:val="auto"/>
              </w:rPr>
              <w:t>5.075</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3 month LIBOR</w:t>
            </w:r>
          </w:p>
        </w:tc>
        <w:tc>
          <w:tcPr>
            <w:tcW w:w="1540" w:type="dxa"/>
            <w:vAlign w:val="bottom"/>
          </w:tcPr>
          <w:p>
            <w:pPr>
              <w:jc w:val="center"/>
              <w:spacing w:after="0"/>
              <w:rPr>
                <w:sz w:val="20"/>
                <w:szCs w:val="20"/>
                <w:color w:val="auto"/>
              </w:rPr>
            </w:pPr>
            <w:r>
              <w:rPr>
                <w:rFonts w:ascii="Arial" w:cs="Arial" w:eastAsia="Arial" w:hAnsi="Arial"/>
                <w:sz w:val="15"/>
                <w:szCs w:val="15"/>
                <w:color w:val="auto"/>
                <w:w w:val="88"/>
              </w:rPr>
              <w:t>July 1, 2015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(108)</w:t>
            </w:r>
          </w:p>
        </w:tc>
      </w:tr>
      <w:tr>
        <w:trPr>
          <w:trHeight w:val="175"/>
        </w:trPr>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6,690</w:t>
            </w:r>
          </w:p>
        </w:tc>
        <w:tc>
          <w:tcPr>
            <w:tcW w:w="226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5.39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December 31, 2014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175"/>
        </w:trPr>
        <w:tc>
          <w:tcPr>
            <w:tcW w:w="1420" w:type="dxa"/>
            <w:vAlign w:val="bottom"/>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5"/>
                <w:szCs w:val="15"/>
                <w:color w:val="auto"/>
              </w:rPr>
              <w:t>1,293</w:t>
            </w:r>
          </w:p>
        </w:tc>
        <w:tc>
          <w:tcPr>
            <w:tcW w:w="2260" w:type="dxa"/>
            <w:vAlign w:val="bottom"/>
          </w:tcPr>
          <w:p>
            <w:pPr>
              <w:jc w:val="right"/>
              <w:ind w:right="347"/>
              <w:spacing w:after="0"/>
              <w:rPr>
                <w:sz w:val="20"/>
                <w:szCs w:val="20"/>
                <w:color w:val="auto"/>
              </w:rPr>
            </w:pPr>
            <w:r>
              <w:rPr>
                <w:rFonts w:ascii="Arial" w:cs="Arial" w:eastAsia="Arial" w:hAnsi="Arial"/>
                <w:sz w:val="15"/>
                <w:szCs w:val="15"/>
                <w:color w:val="auto"/>
              </w:rPr>
              <w:t>5.39</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tcPr>
          <w:p>
            <w:pPr>
              <w:jc w:val="center"/>
              <w:spacing w:after="0"/>
              <w:rPr>
                <w:sz w:val="20"/>
                <w:szCs w:val="20"/>
                <w:color w:val="auto"/>
              </w:rPr>
            </w:pPr>
            <w:r>
              <w:rPr>
                <w:rFonts w:ascii="Arial" w:cs="Arial" w:eastAsia="Arial" w:hAnsi="Arial"/>
                <w:sz w:val="15"/>
                <w:szCs w:val="15"/>
                <w:color w:val="auto"/>
                <w:w w:val="88"/>
              </w:rPr>
              <w:t>December 31, 2014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175"/>
        </w:trPr>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2,302</w:t>
            </w:r>
          </w:p>
        </w:tc>
        <w:tc>
          <w:tcPr>
            <w:tcW w:w="226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5.39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December 31, 2014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175"/>
        </w:trPr>
        <w:tc>
          <w:tcPr>
            <w:tcW w:w="1420" w:type="dxa"/>
            <w:vAlign w:val="bottom"/>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5"/>
                <w:szCs w:val="15"/>
                <w:color w:val="auto"/>
              </w:rPr>
              <w:t>5,208</w:t>
            </w:r>
          </w:p>
        </w:tc>
        <w:tc>
          <w:tcPr>
            <w:tcW w:w="2260" w:type="dxa"/>
            <w:vAlign w:val="bottom"/>
          </w:tcPr>
          <w:p>
            <w:pPr>
              <w:jc w:val="right"/>
              <w:ind w:right="347"/>
              <w:spacing w:after="0"/>
              <w:rPr>
                <w:sz w:val="20"/>
                <w:szCs w:val="20"/>
                <w:color w:val="auto"/>
              </w:rPr>
            </w:pPr>
            <w:r>
              <w:rPr>
                <w:rFonts w:ascii="Arial" w:cs="Arial" w:eastAsia="Arial" w:hAnsi="Arial"/>
                <w:sz w:val="15"/>
                <w:szCs w:val="15"/>
                <w:color w:val="auto"/>
              </w:rPr>
              <w:t>5.39</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tcPr>
          <w:p>
            <w:pPr>
              <w:jc w:val="center"/>
              <w:spacing w:after="0"/>
              <w:rPr>
                <w:sz w:val="20"/>
                <w:szCs w:val="20"/>
                <w:color w:val="auto"/>
              </w:rPr>
            </w:pPr>
            <w:r>
              <w:rPr>
                <w:rFonts w:ascii="Arial" w:cs="Arial" w:eastAsia="Arial" w:hAnsi="Arial"/>
                <w:sz w:val="15"/>
                <w:szCs w:val="15"/>
                <w:color w:val="auto"/>
                <w:w w:val="88"/>
              </w:rPr>
              <w:t>December 31, 2014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(105)</w:t>
            </w:r>
          </w:p>
        </w:tc>
      </w:tr>
      <w:tr>
        <w:trPr>
          <w:trHeight w:val="175"/>
        </w:trPr>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4,784</w:t>
            </w:r>
          </w:p>
        </w:tc>
        <w:tc>
          <w:tcPr>
            <w:tcW w:w="226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5.38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June 29, 2015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(158)</w:t>
            </w:r>
          </w:p>
        </w:tc>
      </w:tr>
      <w:tr>
        <w:trPr>
          <w:trHeight w:val="175"/>
        </w:trPr>
        <w:tc>
          <w:tcPr>
            <w:tcW w:w="1420" w:type="dxa"/>
            <w:vAlign w:val="bottom"/>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5"/>
                <w:szCs w:val="15"/>
                <w:color w:val="auto"/>
              </w:rPr>
              <w:t>736</w:t>
            </w:r>
          </w:p>
        </w:tc>
        <w:tc>
          <w:tcPr>
            <w:tcW w:w="2260" w:type="dxa"/>
            <w:vAlign w:val="bottom"/>
          </w:tcPr>
          <w:p>
            <w:pPr>
              <w:jc w:val="right"/>
              <w:ind w:right="347"/>
              <w:spacing w:after="0"/>
              <w:rPr>
                <w:sz w:val="20"/>
                <w:szCs w:val="20"/>
                <w:color w:val="auto"/>
              </w:rPr>
            </w:pPr>
            <w:r>
              <w:rPr>
                <w:rFonts w:ascii="Arial" w:cs="Arial" w:eastAsia="Arial" w:hAnsi="Arial"/>
                <w:sz w:val="15"/>
                <w:szCs w:val="15"/>
                <w:color w:val="auto"/>
              </w:rPr>
              <w:t>5.29</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tcPr>
          <w:p>
            <w:pPr>
              <w:jc w:val="center"/>
              <w:spacing w:after="0"/>
              <w:rPr>
                <w:sz w:val="20"/>
                <w:szCs w:val="20"/>
                <w:color w:val="auto"/>
              </w:rPr>
            </w:pPr>
            <w:r>
              <w:rPr>
                <w:rFonts w:ascii="Arial" w:cs="Arial" w:eastAsia="Arial" w:hAnsi="Arial"/>
                <w:sz w:val="15"/>
                <w:szCs w:val="15"/>
                <w:color w:val="auto"/>
                <w:w w:val="84"/>
              </w:rPr>
              <w:t>June 30, 2015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175"/>
        </w:trPr>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1,411</w:t>
            </w:r>
          </w:p>
        </w:tc>
        <w:tc>
          <w:tcPr>
            <w:tcW w:w="226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5.29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June 30, 2015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175"/>
        </w:trPr>
        <w:tc>
          <w:tcPr>
            <w:tcW w:w="1420" w:type="dxa"/>
            <w:vAlign w:val="bottom"/>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5"/>
                <w:szCs w:val="15"/>
                <w:color w:val="auto"/>
              </w:rPr>
              <w:t>7,114</w:t>
            </w:r>
          </w:p>
        </w:tc>
        <w:tc>
          <w:tcPr>
            <w:tcW w:w="2260" w:type="dxa"/>
            <w:vAlign w:val="bottom"/>
          </w:tcPr>
          <w:p>
            <w:pPr>
              <w:jc w:val="right"/>
              <w:ind w:right="347"/>
              <w:spacing w:after="0"/>
              <w:rPr>
                <w:sz w:val="20"/>
                <w:szCs w:val="20"/>
                <w:color w:val="auto"/>
              </w:rPr>
            </w:pPr>
            <w:r>
              <w:rPr>
                <w:rFonts w:ascii="Arial" w:cs="Arial" w:eastAsia="Arial" w:hAnsi="Arial"/>
                <w:sz w:val="15"/>
                <w:szCs w:val="15"/>
                <w:color w:val="auto"/>
              </w:rPr>
              <w:t>5.29</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tcPr>
          <w:p>
            <w:pPr>
              <w:jc w:val="center"/>
              <w:spacing w:after="0"/>
              <w:rPr>
                <w:sz w:val="20"/>
                <w:szCs w:val="20"/>
                <w:color w:val="auto"/>
              </w:rPr>
            </w:pPr>
            <w:r>
              <w:rPr>
                <w:rFonts w:ascii="Arial" w:cs="Arial" w:eastAsia="Arial" w:hAnsi="Arial"/>
                <w:sz w:val="15"/>
                <w:szCs w:val="15"/>
                <w:color w:val="auto"/>
                <w:w w:val="84"/>
              </w:rPr>
              <w:t>June 30, 2015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(226)</w:t>
            </w:r>
          </w:p>
        </w:tc>
      </w:tr>
      <w:tr>
        <w:trPr>
          <w:trHeight w:val="175"/>
        </w:trPr>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614</w:t>
            </w:r>
          </w:p>
        </w:tc>
        <w:tc>
          <w:tcPr>
            <w:tcW w:w="226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5.29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June 30, 2015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84"/>
        </w:trPr>
        <w:tc>
          <w:tcPr>
            <w:tcW w:w="1420" w:type="dxa"/>
            <w:vAlign w:val="bottom"/>
          </w:tcPr>
          <w:p>
            <w:pPr>
              <w:jc w:val="center"/>
              <w:spacing w:after="0"/>
              <w:rPr>
                <w:sz w:val="20"/>
                <w:szCs w:val="20"/>
                <w:color w:val="auto"/>
              </w:rPr>
            </w:pPr>
            <w:r>
              <w:rPr>
                <w:rFonts w:ascii="Arial" w:cs="Arial" w:eastAsia="Arial" w:hAnsi="Arial"/>
                <w:sz w:val="15"/>
                <w:szCs w:val="15"/>
                <w:color w:val="auto"/>
                <w:w w:val="86"/>
              </w:rPr>
              <w:t>Interest Rate Swap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5"/>
                <w:szCs w:val="15"/>
                <w:color w:val="auto"/>
              </w:rPr>
              <w:t>2,465</w:t>
            </w:r>
          </w:p>
        </w:tc>
        <w:tc>
          <w:tcPr>
            <w:tcW w:w="2260" w:type="dxa"/>
            <w:vAlign w:val="bottom"/>
          </w:tcPr>
          <w:p>
            <w:pPr>
              <w:jc w:val="right"/>
              <w:ind w:right="347"/>
              <w:spacing w:after="0"/>
              <w:rPr>
                <w:sz w:val="20"/>
                <w:szCs w:val="20"/>
                <w:color w:val="auto"/>
              </w:rPr>
            </w:pPr>
            <w:r>
              <w:rPr>
                <w:rFonts w:ascii="Arial" w:cs="Arial" w:eastAsia="Arial" w:hAnsi="Arial"/>
                <w:sz w:val="15"/>
                <w:szCs w:val="15"/>
                <w:color w:val="auto"/>
              </w:rPr>
              <w:t>5.29</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1 month LIBOR</w:t>
            </w:r>
          </w:p>
        </w:tc>
        <w:tc>
          <w:tcPr>
            <w:tcW w:w="1540" w:type="dxa"/>
            <w:vAlign w:val="bottom"/>
          </w:tcPr>
          <w:p>
            <w:pPr>
              <w:jc w:val="center"/>
              <w:spacing w:after="0"/>
              <w:rPr>
                <w:sz w:val="20"/>
                <w:szCs w:val="20"/>
                <w:color w:val="auto"/>
              </w:rPr>
            </w:pPr>
            <w:r>
              <w:rPr>
                <w:rFonts w:ascii="Arial" w:cs="Arial" w:eastAsia="Arial" w:hAnsi="Arial"/>
                <w:sz w:val="15"/>
                <w:szCs w:val="15"/>
                <w:color w:val="auto"/>
                <w:w w:val="84"/>
              </w:rPr>
              <w:t>June 30, 2015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(78)</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Fair values of derivative instruments are on the accompanying Consolidated Balance Sheet as follows (in thousands):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Fair Value at</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370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Derivative Liabilities Designated as Hedging Instruments</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gridSpan w:val="3"/>
          </w:tcPr>
          <w:p>
            <w:pPr>
              <w:ind w:left="580"/>
              <w:spacing w:after="0"/>
              <w:rPr>
                <w:sz w:val="20"/>
                <w:szCs w:val="20"/>
                <w:color w:val="auto"/>
              </w:rPr>
            </w:pPr>
            <w:r>
              <w:rPr>
                <w:rFonts w:ascii="Arial" w:cs="Arial" w:eastAsia="Arial" w:hAnsi="Arial"/>
                <w:sz w:val="15"/>
                <w:szCs w:val="15"/>
                <w:b w:val="1"/>
                <w:bCs w:val="1"/>
                <w:color w:val="auto"/>
              </w:rPr>
              <w:t>Balance Sheet Location</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5"/>
                <w:szCs w:val="15"/>
                <w:b w:val="1"/>
                <w:bCs w:val="1"/>
                <w:color w:val="auto"/>
                <w:w w:val="99"/>
              </w:rPr>
              <w:t>December 31, 2013</w:t>
            </w:r>
          </w:p>
        </w:tc>
        <w:tc>
          <w:tcPr>
            <w:tcW w:w="16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5"/>
                <w:szCs w:val="15"/>
                <w:b w:val="1"/>
                <w:bCs w:val="1"/>
                <w:color w:val="auto"/>
              </w:rPr>
              <w:t>December 31, 2012</w:t>
            </w:r>
          </w:p>
        </w:tc>
        <w:tc>
          <w:tcPr>
            <w:tcW w:w="100" w:type="dxa"/>
            <w:vAlign w:val="bottom"/>
          </w:tcPr>
          <w:p>
            <w:pPr>
              <w:spacing w:after="0"/>
              <w:rPr>
                <w:sz w:val="15"/>
                <w:szCs w:val="15"/>
                <w:color w:val="auto"/>
              </w:rPr>
            </w:pPr>
          </w:p>
        </w:tc>
      </w:tr>
      <w:tr>
        <w:trPr>
          <w:trHeight w:val="166"/>
        </w:trPr>
        <w:tc>
          <w:tcPr>
            <w:tcW w:w="23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Interest Rate Swaps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gridSpan w:val="3"/>
            <w:shd w:val="clear" w:color="auto" w:fill="CCEEFF"/>
          </w:tcPr>
          <w:p>
            <w:pPr>
              <w:spacing w:after="0" w:line="166" w:lineRule="exact"/>
              <w:rPr>
                <w:sz w:val="20"/>
                <w:szCs w:val="20"/>
                <w:color w:val="auto"/>
              </w:rPr>
            </w:pPr>
            <w:r>
              <w:rPr>
                <w:rFonts w:ascii="Arial" w:cs="Arial" w:eastAsia="Arial" w:hAnsi="Arial"/>
                <w:sz w:val="15"/>
                <w:szCs w:val="15"/>
                <w:color w:val="auto"/>
              </w:rPr>
              <w:t>Other Long-Term 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27"/>
              <w:spacing w:after="0" w:line="166"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4"/>
              <w:spacing w:after="0" w:line="166" w:lineRule="exact"/>
              <w:rPr>
                <w:sz w:val="20"/>
                <w:szCs w:val="20"/>
                <w:color w:val="auto"/>
              </w:rPr>
            </w:pPr>
            <w:r>
              <w:rPr>
                <w:rFonts w:ascii="Arial" w:cs="Arial" w:eastAsia="Arial" w:hAnsi="Arial"/>
                <w:sz w:val="15"/>
                <w:szCs w:val="15"/>
                <w:color w:val="auto"/>
              </w:rPr>
              <w:t>1,024</w:t>
            </w:r>
          </w:p>
        </w:tc>
        <w:tc>
          <w:tcPr>
            <w:tcW w:w="780" w:type="dxa"/>
            <w:vAlign w:val="bottom"/>
            <w:shd w:val="clear" w:color="auto" w:fill="CCEEFF"/>
          </w:tcPr>
          <w:p>
            <w:pPr>
              <w:jc w:val="right"/>
              <w:ind w:right="527"/>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1,915</w:t>
            </w:r>
          </w:p>
        </w:tc>
        <w:tc>
          <w:tcPr>
            <w:tcW w:w="100" w:type="dxa"/>
            <w:vAlign w:val="bottom"/>
            <w:shd w:val="clear" w:color="auto" w:fill="CCEEFF"/>
          </w:tcPr>
          <w:p>
            <w:pPr>
              <w:spacing w:after="0"/>
              <w:rPr>
                <w:sz w:val="14"/>
                <w:szCs w:val="14"/>
                <w:color w:val="auto"/>
              </w:rPr>
            </w:pPr>
          </w:p>
        </w:tc>
      </w:tr>
      <w:tr>
        <w:trPr>
          <w:trHeight w:val="335"/>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4"/>
          </w:tcPr>
          <w:p>
            <w:pPr>
              <w:jc w:val="center"/>
              <w:ind w:left="427"/>
              <w:spacing w:after="0"/>
              <w:rPr>
                <w:sz w:val="20"/>
                <w:szCs w:val="20"/>
                <w:color w:val="auto"/>
              </w:rPr>
            </w:pPr>
            <w:r>
              <w:rPr>
                <w:rFonts w:ascii="Arial" w:cs="Arial" w:eastAsia="Arial" w:hAnsi="Arial"/>
                <w:sz w:val="15"/>
                <w:szCs w:val="15"/>
                <w:b w:val="1"/>
                <w:bCs w:val="1"/>
                <w:color w:val="auto"/>
                <w:w w:val="83"/>
              </w:rPr>
              <w:t>Loss Reclassified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5"/>
          </w:tcPr>
          <w:p>
            <w:pPr>
              <w:jc w:val="center"/>
              <w:ind w:left="627"/>
              <w:spacing w:after="0"/>
              <w:rPr>
                <w:sz w:val="20"/>
                <w:szCs w:val="20"/>
                <w:color w:val="auto"/>
              </w:rPr>
            </w:pPr>
            <w:r>
              <w:rPr>
                <w:rFonts w:ascii="Arial" w:cs="Arial" w:eastAsia="Arial" w:hAnsi="Arial"/>
                <w:sz w:val="15"/>
                <w:szCs w:val="15"/>
                <w:b w:val="1"/>
                <w:bCs w:val="1"/>
                <w:color w:val="auto"/>
                <w:w w:val="85"/>
              </w:rPr>
              <w:t>Gain (Loss) Recognized in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center"/>
              <w:ind w:right="380"/>
              <w:spacing w:after="0"/>
              <w:rPr>
                <w:sz w:val="20"/>
                <w:szCs w:val="20"/>
                <w:color w:val="auto"/>
              </w:rPr>
            </w:pPr>
            <w:r>
              <w:rPr>
                <w:rFonts w:ascii="Arial" w:cs="Arial" w:eastAsia="Arial" w:hAnsi="Arial"/>
                <w:sz w:val="15"/>
                <w:szCs w:val="15"/>
                <w:b w:val="1"/>
                <w:bCs w:val="1"/>
                <w:color w:val="auto"/>
                <w:w w:val="89"/>
              </w:rPr>
              <w:t>from Accumulated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89"/>
              </w:rPr>
              <w:t>OCI on Derivatives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center"/>
              <w:ind w:left="427"/>
              <w:spacing w:after="0"/>
              <w:rPr>
                <w:sz w:val="20"/>
                <w:szCs w:val="20"/>
                <w:color w:val="auto"/>
              </w:rPr>
            </w:pPr>
            <w:r>
              <w:rPr>
                <w:rFonts w:ascii="Arial" w:cs="Arial" w:eastAsia="Arial" w:hAnsi="Arial"/>
                <w:sz w:val="15"/>
                <w:szCs w:val="15"/>
                <w:b w:val="1"/>
                <w:bCs w:val="1"/>
                <w:color w:val="auto"/>
                <w:w w:val="92"/>
              </w:rPr>
              <w:t>OCI into Income</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89"/>
              </w:rPr>
              <w:t>(Effective Portion)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center"/>
              <w:ind w:left="427"/>
              <w:spacing w:after="0"/>
              <w:rPr>
                <w:sz w:val="20"/>
                <w:szCs w:val="20"/>
                <w:color w:val="auto"/>
              </w:rPr>
            </w:pPr>
            <w:r>
              <w:rPr>
                <w:rFonts w:ascii="Arial" w:cs="Arial" w:eastAsia="Arial" w:hAnsi="Arial"/>
                <w:sz w:val="15"/>
                <w:szCs w:val="15"/>
                <w:b w:val="1"/>
                <w:bCs w:val="1"/>
                <w:color w:val="auto"/>
                <w:w w:val="88"/>
              </w:rPr>
              <w:t>(Effective Portion)</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89"/>
              </w:rPr>
              <w:t>during the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center"/>
              <w:ind w:left="427"/>
              <w:spacing w:after="0"/>
              <w:rPr>
                <w:sz w:val="20"/>
                <w:szCs w:val="20"/>
                <w:color w:val="auto"/>
              </w:rPr>
            </w:pPr>
            <w:r>
              <w:rPr>
                <w:rFonts w:ascii="Arial" w:cs="Arial" w:eastAsia="Arial" w:hAnsi="Arial"/>
                <w:sz w:val="15"/>
                <w:szCs w:val="15"/>
                <w:b w:val="1"/>
                <w:bCs w:val="1"/>
                <w:color w:val="auto"/>
                <w:w w:val="89"/>
              </w:rPr>
              <w:t>during the</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2340" w:type="dxa"/>
            <w:vAlign w:val="bottom"/>
            <w:gridSpan w:val="2"/>
          </w:tcPr>
          <w:p>
            <w:pPr>
              <w:ind w:left="860"/>
              <w:spacing w:after="0"/>
              <w:rPr>
                <w:sz w:val="20"/>
                <w:szCs w:val="20"/>
                <w:color w:val="auto"/>
              </w:rPr>
            </w:pPr>
            <w:r>
              <w:rPr>
                <w:rFonts w:ascii="Arial" w:cs="Arial" w:eastAsia="Arial" w:hAnsi="Arial"/>
                <w:sz w:val="15"/>
                <w:szCs w:val="15"/>
                <w:color w:val="auto"/>
              </w:rPr>
              <w:t>(in thousands)</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5"/>
                <w:szCs w:val="15"/>
                <w:b w:val="1"/>
                <w:bCs w:val="1"/>
                <w:color w:val="auto"/>
                <w:w w:val="89"/>
              </w:rPr>
              <w:t>Year Ended</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86"/>
              </w:rPr>
              <w:t>Location of Loss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427"/>
              <w:spacing w:after="0"/>
              <w:rPr>
                <w:sz w:val="20"/>
                <w:szCs w:val="20"/>
                <w:color w:val="auto"/>
              </w:rPr>
            </w:pPr>
            <w:r>
              <w:rPr>
                <w:rFonts w:ascii="Arial" w:cs="Arial" w:eastAsia="Arial" w:hAnsi="Arial"/>
                <w:sz w:val="15"/>
                <w:szCs w:val="15"/>
                <w:b w:val="1"/>
                <w:bCs w:val="1"/>
                <w:color w:val="auto"/>
                <w:w w:val="89"/>
              </w:rPr>
              <w:t>Year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1"/>
        </w:trPr>
        <w:tc>
          <w:tcPr>
            <w:tcW w:w="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86"/>
              </w:rPr>
              <w:t>December 31,</w:t>
            </w:r>
          </w:p>
        </w:tc>
        <w:tc>
          <w:tcPr>
            <w:tcW w:w="80" w:type="dxa"/>
            <w:vAlign w:val="bottom"/>
          </w:tcPr>
          <w:p>
            <w:pPr>
              <w:spacing w:after="0"/>
              <w:rPr>
                <w:sz w:val="13"/>
                <w:szCs w:val="13"/>
                <w:color w:val="auto"/>
              </w:rPr>
            </w:pPr>
          </w:p>
        </w:tc>
        <w:tc>
          <w:tcPr>
            <w:tcW w:w="1680" w:type="dxa"/>
            <w:vAlign w:val="bottom"/>
            <w:gridSpan w:val="3"/>
          </w:tcPr>
          <w:p>
            <w:pPr>
              <w:jc w:val="center"/>
              <w:spacing w:after="0" w:line="151" w:lineRule="exact"/>
              <w:rPr>
                <w:sz w:val="20"/>
                <w:szCs w:val="20"/>
                <w:color w:val="auto"/>
              </w:rPr>
            </w:pPr>
            <w:r>
              <w:rPr>
                <w:rFonts w:ascii="Arial" w:cs="Arial" w:eastAsia="Arial" w:hAnsi="Arial"/>
                <w:sz w:val="15"/>
                <w:szCs w:val="15"/>
                <w:b w:val="1"/>
                <w:bCs w:val="1"/>
                <w:color w:val="auto"/>
                <w:w w:val="86"/>
              </w:rPr>
              <w:t>December 31,</w:t>
            </w:r>
          </w:p>
        </w:tc>
        <w:tc>
          <w:tcPr>
            <w:tcW w:w="100" w:type="dxa"/>
            <w:vAlign w:val="bottom"/>
          </w:tcPr>
          <w:p>
            <w:pPr>
              <w:spacing w:after="0"/>
              <w:rPr>
                <w:sz w:val="13"/>
                <w:szCs w:val="13"/>
                <w:color w:val="auto"/>
              </w:rPr>
            </w:pPr>
          </w:p>
        </w:tc>
        <w:tc>
          <w:tcPr>
            <w:tcW w:w="15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83"/>
              </w:rPr>
              <w:t>Reclassified into</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260"/>
              <w:spacing w:after="0" w:line="151" w:lineRule="exact"/>
              <w:rPr>
                <w:sz w:val="20"/>
                <w:szCs w:val="20"/>
                <w:color w:val="auto"/>
              </w:rPr>
            </w:pPr>
            <w:r>
              <w:rPr>
                <w:rFonts w:ascii="Arial" w:cs="Arial" w:eastAsia="Arial" w:hAnsi="Arial"/>
                <w:sz w:val="15"/>
                <w:szCs w:val="15"/>
                <w:b w:val="1"/>
                <w:bCs w:val="1"/>
                <w:color w:val="auto"/>
                <w:w w:val="88"/>
              </w:rPr>
              <w:t>December 31,</w:t>
            </w:r>
          </w:p>
        </w:tc>
        <w:tc>
          <w:tcPr>
            <w:tcW w:w="60" w:type="dxa"/>
            <w:vAlign w:val="bottom"/>
          </w:tcPr>
          <w:p>
            <w:pPr>
              <w:spacing w:after="0"/>
              <w:rPr>
                <w:sz w:val="13"/>
                <w:szCs w:val="13"/>
                <w:color w:val="auto"/>
              </w:rPr>
            </w:pPr>
          </w:p>
        </w:tc>
        <w:tc>
          <w:tcPr>
            <w:tcW w:w="1360" w:type="dxa"/>
            <w:vAlign w:val="bottom"/>
            <w:gridSpan w:val="3"/>
          </w:tcPr>
          <w:p>
            <w:pPr>
              <w:ind w:left="200"/>
              <w:spacing w:after="0" w:line="151" w:lineRule="exact"/>
              <w:rPr>
                <w:sz w:val="20"/>
                <w:szCs w:val="20"/>
                <w:color w:val="auto"/>
              </w:rPr>
            </w:pPr>
            <w:r>
              <w:rPr>
                <w:rFonts w:ascii="Arial" w:cs="Arial" w:eastAsia="Arial" w:hAnsi="Arial"/>
                <w:sz w:val="15"/>
                <w:szCs w:val="15"/>
                <w:b w:val="1"/>
                <w:bCs w:val="1"/>
                <w:color w:val="auto"/>
              </w:rPr>
              <w:t>December 31,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rPr>
              <w:t>2013</w:t>
            </w:r>
          </w:p>
        </w:tc>
        <w:tc>
          <w:tcPr>
            <w:tcW w:w="42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2012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87"/>
              </w:rPr>
              <w:t>Income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07"/>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407"/>
              <w:spacing w:after="0"/>
              <w:rPr>
                <w:sz w:val="20"/>
                <w:szCs w:val="20"/>
                <w:color w:val="auto"/>
              </w:rPr>
            </w:pPr>
            <w:r>
              <w:rPr>
                <w:rFonts w:ascii="Arial" w:cs="Arial" w:eastAsia="Arial" w:hAnsi="Arial"/>
                <w:sz w:val="15"/>
                <w:szCs w:val="15"/>
                <w:b w:val="1"/>
                <w:bCs w:val="1"/>
                <w:color w:val="auto"/>
                <w:w w:val="83"/>
              </w:rPr>
              <w:t>2012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7"/>
        </w:trPr>
        <w:tc>
          <w:tcPr>
            <w:tcW w:w="860" w:type="dxa"/>
            <w:vAlign w:val="bottom"/>
          </w:tcPr>
          <w:p>
            <w:pPr>
              <w:spacing w:after="0"/>
              <w:rPr>
                <w:sz w:val="14"/>
                <w:szCs w:val="14"/>
                <w:color w:val="auto"/>
              </w:rPr>
            </w:pPr>
          </w:p>
        </w:tc>
        <w:tc>
          <w:tcPr>
            <w:tcW w:w="14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Interest rate swaps</w:t>
            </w:r>
          </w:p>
        </w:tc>
        <w:tc>
          <w:tcPr>
            <w:tcW w:w="8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7"/>
              <w:spacing w:after="0" w:line="167" w:lineRule="exact"/>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892</w:t>
            </w:r>
          </w:p>
        </w:tc>
        <w:tc>
          <w:tcPr>
            <w:tcW w:w="8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347"/>
              <w:spacing w:after="0" w:line="167"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317</w:t>
            </w:r>
          </w:p>
        </w:tc>
        <w:tc>
          <w:tcPr>
            <w:tcW w:w="100" w:type="dxa"/>
            <w:vAlign w:val="bottom"/>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(290)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(393)</w:t>
            </w:r>
          </w:p>
        </w:tc>
        <w:tc>
          <w:tcPr>
            <w:tcW w:w="100" w:type="dxa"/>
            <w:vAlign w:val="bottom"/>
            <w:shd w:val="clear" w:color="auto" w:fill="CCEEFF"/>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64" w:lineRule="exact"/>
        <w:rPr>
          <w:sz w:val="20"/>
          <w:szCs w:val="20"/>
          <w:color w:val="auto"/>
        </w:rPr>
      </w:pPr>
    </w:p>
    <w:p>
      <w:pPr>
        <w:ind w:right="9080" w:firstLine="7"/>
        <w:spacing w:after="0" w:line="521" w:lineRule="auto"/>
        <w:tabs>
          <w:tab w:leader="none" w:pos="874"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LEASING ACTIVITIES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Vehicle Leases as Lessee</w:t>
      </w:r>
    </w:p>
    <w:p>
      <w:pPr>
        <w:jc w:val="both"/>
        <w:spacing w:after="0" w:line="324" w:lineRule="auto"/>
        <w:rPr>
          <w:sz w:val="20"/>
          <w:szCs w:val="20"/>
          <w:color w:val="auto"/>
        </w:rPr>
      </w:pPr>
      <w:r>
        <w:rPr>
          <w:rFonts w:ascii="Arial" w:cs="Arial" w:eastAsia="Arial" w:hAnsi="Arial"/>
          <w:sz w:val="12"/>
          <w:szCs w:val="12"/>
          <w:color w:val="auto"/>
        </w:rPr>
        <w:t>The Company leases vehicles, as lessee, primarily over periods ranging from one to ten years under operating lease and capital lease arrangements. Generally, the Company is required to incur all operating costs and pay a minimum rental. The Company guarantees the residual value of vehicles under operating lease and capital lease arrangements. At December 31, 2013, the Company guaranteed vehicle residual values of $3.5 million under operating lease arrangements and $18.0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$2.3 million for the year ended December 31, 2013, $2.8 million for the year ended December 31, 2012, and $2.8 million for the year ended December 31, 2011.</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discussed below, these vehicles are then subleased by the Company to customers under various agreements. Future minimum sublease rentals to be received by the Company under non-cancelable subleases, as described below, are $43.5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Future minimum lease payments under capital and non-cancelable vehicle leases as of December 31, 2013, are as follows (in thousands):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5"/>
                <w:szCs w:val="15"/>
                <w:color w:val="auto"/>
                <w:w w:val="98"/>
              </w:rPr>
              <w:t>Capital Leases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87"/>
              <w:spacing w:after="0"/>
              <w:rPr>
                <w:sz w:val="20"/>
                <w:szCs w:val="20"/>
                <w:color w:val="auto"/>
              </w:rPr>
            </w:pPr>
            <w:r>
              <w:rPr>
                <w:rFonts w:ascii="Arial" w:cs="Arial" w:eastAsia="Arial" w:hAnsi="Arial"/>
                <w:sz w:val="15"/>
                <w:szCs w:val="15"/>
                <w:color w:val="auto"/>
                <w:w w:val="92"/>
              </w:rPr>
              <w:t>Operating Leases</w:t>
            </w:r>
          </w:p>
        </w:tc>
        <w:tc>
          <w:tcPr>
            <w:tcW w:w="10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5760" w:type="dxa"/>
            <w:vAlign w:val="bottom"/>
            <w:shd w:val="clear" w:color="auto" w:fill="CCEEFF"/>
          </w:tcPr>
          <w:p>
            <w:pPr>
              <w:jc w:val="right"/>
              <w:ind w:right="5267"/>
              <w:spacing w:after="0" w:line="167" w:lineRule="exact"/>
              <w:rPr>
                <w:sz w:val="20"/>
                <w:szCs w:val="20"/>
                <w:color w:val="auto"/>
              </w:rPr>
            </w:pPr>
            <w:r>
              <w:rPr>
                <w:rFonts w:ascii="Arial" w:cs="Arial" w:eastAsia="Arial" w:hAnsi="Arial"/>
                <w:sz w:val="15"/>
                <w:szCs w:val="15"/>
                <w:color w:val="auto"/>
              </w:rPr>
              <w:t>2014</w:t>
            </w: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11,600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801</w:t>
            </w:r>
          </w:p>
        </w:tc>
        <w:tc>
          <w:tcPr>
            <w:tcW w:w="10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760" w:type="dxa"/>
            <w:vAlign w:val="bottom"/>
          </w:tcPr>
          <w:p>
            <w:pPr>
              <w:jc w:val="right"/>
              <w:ind w:right="5267"/>
              <w:spacing w:after="0"/>
              <w:rPr>
                <w:sz w:val="20"/>
                <w:szCs w:val="20"/>
                <w:color w:val="auto"/>
              </w:rPr>
            </w:pPr>
            <w:r>
              <w:rPr>
                <w:rFonts w:ascii="Arial" w:cs="Arial" w:eastAsia="Arial" w:hAnsi="Arial"/>
                <w:sz w:val="15"/>
                <w:szCs w:val="15"/>
                <w:color w:val="auto"/>
              </w:rPr>
              <w:t>2015</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9,946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760" w:type="dxa"/>
            <w:vAlign w:val="bottom"/>
            <w:shd w:val="clear" w:color="auto" w:fill="CCEEFF"/>
          </w:tcPr>
          <w:p>
            <w:pPr>
              <w:jc w:val="right"/>
              <w:ind w:right="5267"/>
              <w:spacing w:after="0"/>
              <w:rPr>
                <w:sz w:val="20"/>
                <w:szCs w:val="20"/>
                <w:color w:val="auto"/>
              </w:rPr>
            </w:pPr>
            <w:r>
              <w:rPr>
                <w:rFonts w:ascii="Arial" w:cs="Arial" w:eastAsia="Arial" w:hAnsi="Arial"/>
                <w:sz w:val="15"/>
                <w:szCs w:val="15"/>
                <w:color w:val="auto"/>
              </w:rPr>
              <w:t>2016</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760" w:type="dxa"/>
            <w:vAlign w:val="bottom"/>
          </w:tcPr>
          <w:p>
            <w:pPr>
              <w:jc w:val="right"/>
              <w:ind w:right="5267"/>
              <w:spacing w:after="0"/>
              <w:rPr>
                <w:sz w:val="20"/>
                <w:szCs w:val="20"/>
                <w:color w:val="auto"/>
              </w:rPr>
            </w:pPr>
            <w:r>
              <w:rPr>
                <w:rFonts w:ascii="Arial" w:cs="Arial" w:eastAsia="Arial" w:hAnsi="Arial"/>
                <w:sz w:val="15"/>
                <w:szCs w:val="15"/>
                <w:color w:val="auto"/>
              </w:rPr>
              <w:t>2017</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6,141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760" w:type="dxa"/>
            <w:vAlign w:val="bottom"/>
            <w:shd w:val="clear" w:color="auto" w:fill="CCEEFF"/>
          </w:tcPr>
          <w:p>
            <w:pPr>
              <w:jc w:val="right"/>
              <w:ind w:right="5267"/>
              <w:spacing w:after="0"/>
              <w:rPr>
                <w:sz w:val="20"/>
                <w:szCs w:val="20"/>
                <w:color w:val="auto"/>
              </w:rPr>
            </w:pPr>
            <w:r>
              <w:rPr>
                <w:rFonts w:ascii="Arial" w:cs="Arial" w:eastAsia="Arial" w:hAnsi="Arial"/>
                <w:sz w:val="15"/>
                <w:szCs w:val="15"/>
                <w:color w:val="auto"/>
              </w:rPr>
              <w:t>2018</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578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5780" w:type="dxa"/>
            <w:vAlign w:val="bottom"/>
            <w:gridSpan w:val="2"/>
          </w:tcPr>
          <w:p>
            <w:pPr>
              <w:spacing w:after="0"/>
              <w:rPr>
                <w:sz w:val="20"/>
                <w:szCs w:val="20"/>
                <w:color w:val="auto"/>
              </w:rPr>
            </w:pPr>
            <w:r>
              <w:rPr>
                <w:rFonts w:ascii="Arial" w:cs="Arial" w:eastAsia="Arial" w:hAnsi="Arial"/>
                <w:sz w:val="15"/>
                <w:szCs w:val="15"/>
                <w:color w:val="auto"/>
              </w:rPr>
              <w:t>Total minimum lease payments</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49,546</w:t>
            </w:r>
          </w:p>
        </w:tc>
        <w:tc>
          <w:tcPr>
            <w:tcW w:w="100" w:type="dxa"/>
            <w:vAlign w:val="bottom"/>
          </w:tcPr>
          <w:p>
            <w:pPr>
              <w:spacing w:after="0"/>
              <w:rPr>
                <w:sz w:val="15"/>
                <w:szCs w:val="15"/>
                <w:color w:val="auto"/>
              </w:rPr>
            </w:pPr>
          </w:p>
        </w:tc>
        <w:tc>
          <w:tcPr>
            <w:tcW w:w="240" w:type="dxa"/>
            <w:vAlign w:val="bottom"/>
            <w:gridSpan w:val="2"/>
          </w:tcPr>
          <w:p>
            <w:pPr>
              <w:jc w:val="right"/>
              <w:ind w:right="48"/>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1,220</w:t>
            </w:r>
          </w:p>
        </w:tc>
        <w:tc>
          <w:tcPr>
            <w:tcW w:w="100" w:type="dxa"/>
            <w:vAlign w:val="bottom"/>
          </w:tcPr>
          <w:p>
            <w:pPr>
              <w:spacing w:after="0"/>
              <w:rPr>
                <w:sz w:val="15"/>
                <w:szCs w:val="15"/>
                <w:color w:val="auto"/>
              </w:rPr>
            </w:pPr>
          </w:p>
        </w:tc>
      </w:tr>
      <w:tr>
        <w:trPr>
          <w:trHeight w:val="20"/>
        </w:trPr>
        <w:tc>
          <w:tcPr>
            <w:tcW w:w="5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spacing w:after="0" w:line="148" w:lineRule="exact"/>
              <w:rPr>
                <w:sz w:val="20"/>
                <w:szCs w:val="20"/>
                <w:color w:val="auto"/>
              </w:rPr>
            </w:pPr>
            <w:r>
              <w:rPr>
                <w:rFonts w:ascii="Arial" w:cs="Arial" w:eastAsia="Arial" w:hAnsi="Arial"/>
                <w:sz w:val="15"/>
                <w:szCs w:val="15"/>
                <w:color w:val="auto"/>
              </w:rPr>
              <w:t>Less amount representing interest</w:t>
            </w: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5"/>
                <w:szCs w:val="15"/>
                <w:color w:val="auto"/>
              </w:rPr>
              <w:t>(4,079)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line="166" w:lineRule="exact"/>
              <w:rPr>
                <w:sz w:val="20"/>
                <w:szCs w:val="20"/>
                <w:color w:val="auto"/>
              </w:rPr>
            </w:pPr>
            <w:r>
              <w:rPr>
                <w:rFonts w:ascii="Arial" w:cs="Arial" w:eastAsia="Arial" w:hAnsi="Arial"/>
                <w:sz w:val="15"/>
                <w:szCs w:val="15"/>
                <w:color w:val="auto"/>
              </w:rPr>
              <w:t>Present value of net minimum capital lease payments</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45,467</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(10,268)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6"/>
        </w:trPr>
        <w:tc>
          <w:tcPr>
            <w:tcW w:w="5780" w:type="dxa"/>
            <w:vAlign w:val="bottom"/>
            <w:gridSpan w:val="2"/>
          </w:tcPr>
          <w:p>
            <w:pPr>
              <w:spacing w:after="0" w:line="166" w:lineRule="exact"/>
              <w:rPr>
                <w:sz w:val="20"/>
                <w:szCs w:val="20"/>
                <w:color w:val="auto"/>
              </w:rPr>
            </w:pPr>
            <w:r>
              <w:rPr>
                <w:rFonts w:ascii="Arial" w:cs="Arial" w:eastAsia="Arial" w:hAnsi="Arial"/>
                <w:sz w:val="15"/>
                <w:szCs w:val="15"/>
                <w:color w:val="auto"/>
              </w:rPr>
              <w:t>Obligations under capital leases less current portion</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35,199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Customer Vehicle Leases as Lessor</w:t>
      </w:r>
    </w:p>
    <w:p>
      <w:pPr>
        <w:spacing w:after="0" w:line="177" w:lineRule="exact"/>
        <w:rPr>
          <w:sz w:val="20"/>
          <w:szCs w:val="20"/>
          <w:color w:val="auto"/>
        </w:rPr>
      </w:pPr>
    </w:p>
    <w:p>
      <w:pPr>
        <w:jc w:val="both"/>
        <w:spacing w:after="0" w:line="324" w:lineRule="auto"/>
        <w:rPr>
          <w:sz w:val="20"/>
          <w:szCs w:val="20"/>
          <w:color w:val="auto"/>
        </w:rPr>
      </w:pPr>
      <w:r>
        <w:rPr>
          <w:rFonts w:ascii="Arial" w:cs="Arial" w:eastAsia="Arial" w:hAnsi="Arial"/>
          <w:sz w:val="12"/>
          <w:szCs w:val="12"/>
          <w:color w:val="auto"/>
        </w:rPr>
        <w:t>The Company leases both owned and leased vehicles to customers primarily over periods of one to ten years under operating lease arrangements, which require a minimum rental payment and a contingent rental payment based on mileage. Rental income during the year ended December 31, 2013, consisted of minimum rental payments of approximately $112.0 million and contingent rental payments of $18.1 million. Rental income during the year ended December 31, 2012, consisted of minimum rental payments of approximately $86.3 million and contingent rental payments of $13.8 million. Rental income during the year ended December 31, 2011, consisted of minimum rental payments of approximately $68.3 million and contingent rental payments of $10.6 million. Minimum rental payments to be received for non-cancelable leases and subleases in effect at December 31, 2013, are as follows (in thousands):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2014</w:t>
            </w:r>
          </w:p>
        </w:tc>
        <w:tc>
          <w:tcPr>
            <w:tcW w:w="560" w:type="dxa"/>
            <w:vAlign w:val="bottom"/>
            <w:shd w:val="clear" w:color="auto" w:fill="CCEEFF"/>
          </w:tcPr>
          <w:p>
            <w:pPr>
              <w:jc w:val="right"/>
              <w:ind w:right="44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2015</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74,302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2017</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43,737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Thereafter</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5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Total</w:t>
            </w:r>
          </w:p>
        </w:tc>
        <w:tc>
          <w:tcPr>
            <w:tcW w:w="560" w:type="dxa"/>
            <w:vAlign w:val="bottom"/>
            <w:tcBorders>
              <w:bottom w:val="single" w:sz="8" w:color="auto"/>
            </w:tcBorders>
          </w:tcPr>
          <w:p>
            <w:pPr>
              <w:jc w:val="right"/>
              <w:ind w:right="448"/>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304,087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As of December 31, 2013, the Company had $405.2 million of lease vehicles included in property and equipment, net of accumulated depreciation of $142.4 million. As of December 31, 2012, the Company had $327.4 million of lease vehicles included in property and equipment, net of accumulated depreciation of $115.6 million.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7" w:name="page68"/>
    <w:bookmarkEnd w:id="67"/>
    <w:p>
      <w:pPr>
        <w:spacing w:after="0"/>
        <w:rPr>
          <w:sz w:val="20"/>
          <w:szCs w:val="20"/>
          <w:color w:val="auto"/>
        </w:rPr>
      </w:pPr>
      <w:r>
        <w:rPr>
          <w:rFonts w:ascii="Arial" w:cs="Arial" w:eastAsia="Arial" w:hAnsi="Arial"/>
          <w:sz w:val="15"/>
          <w:szCs w:val="15"/>
          <w:u w:val="single" w:color="auto"/>
          <w:color w:val="auto"/>
        </w:rPr>
        <w:t>Other Leases - Land and Buildings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leases various assets under operating leases with expiration dates ranging from February 2014 through April 2027. Monthly rental payments range from approximately $275 per month to $61,800 per month. Rental expense was $9.1 million for the year ended December 31, 2013, $6.8 million for the year ended December 31, 2012, and $5.7 million for the year ended December 31, 2011. Future minimum lease payments under non-cancelable leases at December 31, 2013, are as follows (in thousands):</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2014</w:t>
            </w: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2015</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2017</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Thereafter</w:t>
            </w: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Total</w:t>
            </w:r>
          </w:p>
        </w:tc>
        <w:tc>
          <w:tcPr>
            <w:tcW w:w="6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880" w:hanging="873"/>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SHARE BASED COMPENSATION AND EMPLOYEE BENEFIT PLANS</w:t>
      </w:r>
      <w:r>
        <w:rPr>
          <w:rFonts w:ascii="Arial" w:cs="Arial" w:eastAsia="Arial" w:hAnsi="Arial"/>
          <w:sz w:val="15"/>
          <w:szCs w:val="15"/>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Employee Stock Purchase Plan</w:t>
      </w:r>
    </w:p>
    <w:p>
      <w:pPr>
        <w:spacing w:after="0" w:line="177" w:lineRule="exact"/>
        <w:rPr>
          <w:sz w:val="20"/>
          <w:szCs w:val="20"/>
          <w:color w:val="auto"/>
        </w:rPr>
      </w:pPr>
    </w:p>
    <w:p>
      <w:pPr>
        <w:jc w:val="both"/>
        <w:spacing w:after="0" w:line="320" w:lineRule="auto"/>
        <w:rPr>
          <w:sz w:val="20"/>
          <w:szCs w:val="20"/>
          <w:color w:val="auto"/>
        </w:rPr>
      </w:pPr>
      <w:r>
        <w:rPr>
          <w:rFonts w:ascii="Arial" w:cs="Arial" w:eastAsia="Arial" w:hAnsi="Arial"/>
          <w:sz w:val="12"/>
          <w:szCs w:val="12"/>
          <w:color w:val="auto"/>
        </w:rPr>
        <w:t>The Company has an Employee Stock Purchase Plan that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Under the Employee Stock Purchase Plan, there are approximately 314,000 shares remaining of the 900,000 shares of the Company’s Class A Common Stock that have been reserved for issuance. The Company issued 79,681 shares under the Employee Stock Purchase Plan during the year ended December 31, 2013 and 70,998 shares during the year ended December 31, 2012. Of the 5,295 employees eligible to participate, 659 elected to participate in the plan as of December 31, 2013.</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Non-Employee Director Stock Option Plan</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 that may be granted under the plan to include Class A Common Stock awards. The Director Plan was also amended on May 18, 2010 to reduce the number of shares reserved for issuance under the plan by 1,000,000 shares of Class A Common Stock.</w:t>
      </w:r>
    </w:p>
    <w:p>
      <w:pPr>
        <w:spacing w:after="0" w:line="161"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The Director Plan is designed to attract and retain highly qualified non-employee directors. Prior to 2008,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Currently, each non-employee director receives a grant of the Company’s Class A Common Stock equivalent to a compensation value of $125,000. In 2012, the non-employee directors each received a grant of 7,901 shares of the Company’s Class A common, for total compensation equivalent to $125,000. In 2013, three non-employee directors received a grant of 4,512 shares of the Company’s Class A Common Stock and one non-employee director received a grant of 2,707 shares of the Company’s Class A Common Stock and $50,000 cash, for total compensation equivalent to $125,000. Under the Director Plan, there are approximately 239,000 shares remaining for issuance of the 500,000 shares of the Company’s Class A Common Stock that have been reserved for issuance. The Company granted 16,243 shares of Class A Common Stock under the Director Plan during the year ended December 31, 2013 and 31,604 shares of Class A Common Stock under the Director Plan during the year ended December 31, 2012.</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Employee Incentive Plans</w:t>
      </w:r>
    </w:p>
    <w:p>
      <w:pPr>
        <w:spacing w:after="0" w:line="177"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 The 2007 Incentive Plan was Amended and Restated on May 18, 2010 to increase the number of shares available for issuance under the plan to 4,550,000 shares of Class A Common Stock.</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8" w:name="page69"/>
    <w:bookmarkEnd w:id="68"/>
    <w:p>
      <w:pPr>
        <w:jc w:val="both"/>
        <w:spacing w:after="0" w:line="317" w:lineRule="auto"/>
        <w:rPr>
          <w:sz w:val="20"/>
          <w:szCs w:val="20"/>
          <w:color w:val="auto"/>
        </w:rPr>
      </w:pPr>
      <w:r>
        <w:rPr>
          <w:rFonts w:ascii="Arial" w:cs="Arial" w:eastAsia="Arial" w:hAnsi="Arial"/>
          <w:sz w:val="12"/>
          <w:szCs w:val="12"/>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4,550,000 shares of Class A Common Stock and 450,000 shares of Class B Common Stock reserved for issuance upon exercise of any awards granted under the Company’s 2007 Incentive Plan. As of December 31, 2013, approximately 765,000 shares of Class A Common Stock and 209,000 shares of Class B Common Stock are available for issuance upon exercise of any awards granted under the Company’s 2007 Incentive Plan. The Company issues new shares of its Class A or Class B Common Stock upon the exercise of stock options or vesting of restricted stock units. During the year ended December 31, 2013, the Company granted 400,633 options to purchase Class A Common Stock and 241,930 restricted Class B Common Stock awards under the 2007 Incentive Plan. During the year ended December 31, 2012, the Company granted 636,320 options to purchase Class A Common Stock and 129,635 restricted Class A Common Stock units under the 2007 Incentive Plan.</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Valuation and Expense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Stock-based compensation expense related to stock options, restricted stock awards, restricted stock units and employee stock purchases was $8.6 million for the year ended December 31, 2013, $7.3 million for the year ended December 31, 2012, and $5.7 million for the year ended December 31, 2011.</w:t>
      </w:r>
    </w:p>
    <w:p>
      <w:pPr>
        <w:spacing w:after="0" w:line="152" w:lineRule="exact"/>
        <w:rPr>
          <w:sz w:val="20"/>
          <w:szCs w:val="20"/>
          <w:color w:val="auto"/>
        </w:rPr>
      </w:pPr>
    </w:p>
    <w:p>
      <w:pPr>
        <w:jc w:val="both"/>
        <w:ind w:right="20"/>
        <w:spacing w:after="0" w:line="259" w:lineRule="auto"/>
        <w:rPr>
          <w:sz w:val="20"/>
          <w:szCs w:val="20"/>
          <w:color w:val="auto"/>
        </w:rPr>
      </w:pPr>
      <w:r>
        <w:rPr>
          <w:rFonts w:ascii="Arial" w:cs="Arial" w:eastAsia="Arial" w:hAnsi="Arial"/>
          <w:sz w:val="15"/>
          <w:szCs w:val="15"/>
          <w:color w:val="auto"/>
        </w:rPr>
        <w:t>Cash received from options exercised and shares purchased under all share-based payment arrangements was $10.0 million for the year ended December 31, 2013, $5.1 million for the year ended December 31, 2012, and $5.5 million for the year ended December 31, 2011.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stock option activity and related information for the year ended December 31, 2013, follows: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color w:val="auto"/>
                <w:w w:val="85"/>
              </w:rPr>
              <w:t>Weighted Average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color w:val="auto"/>
                <w:w w:val="89"/>
              </w:rPr>
              <w:t>Remaining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Weighted Average</w:t>
            </w: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color w:val="auto"/>
                <w:w w:val="90"/>
              </w:rPr>
              <w:t>Contractual Life (in</w:t>
            </w:r>
          </w:p>
        </w:tc>
        <w:tc>
          <w:tcPr>
            <w:tcW w:w="1280" w:type="dxa"/>
            <w:vAlign w:val="bottom"/>
            <w:gridSpan w:val="3"/>
          </w:tcPr>
          <w:p>
            <w:pPr>
              <w:jc w:val="center"/>
              <w:ind w:right="80"/>
              <w:spacing w:after="0"/>
              <w:rPr>
                <w:sz w:val="20"/>
                <w:szCs w:val="20"/>
                <w:color w:val="auto"/>
              </w:rPr>
            </w:pPr>
            <w:r>
              <w:rPr>
                <w:rFonts w:ascii="Arial" w:cs="Arial" w:eastAsia="Arial" w:hAnsi="Arial"/>
                <w:sz w:val="15"/>
                <w:szCs w:val="15"/>
                <w:color w:val="auto"/>
                <w:w w:val="89"/>
              </w:rPr>
              <w:t>Aggregate Intrinsic</w:t>
            </w:r>
          </w:p>
        </w:tc>
      </w:tr>
      <w:tr>
        <w:trPr>
          <w:trHeight w:val="185"/>
        </w:trPr>
        <w:tc>
          <w:tcPr>
            <w:tcW w:w="5220" w:type="dxa"/>
            <w:vAlign w:val="bottom"/>
            <w:tcBorders>
              <w:bottom w:val="single" w:sz="8" w:color="auto"/>
            </w:tcBorders>
          </w:tcPr>
          <w:p>
            <w:pPr>
              <w:ind w:left="2360"/>
              <w:spacing w:after="0"/>
              <w:rPr>
                <w:sz w:val="20"/>
                <w:szCs w:val="20"/>
                <w:color w:val="auto"/>
              </w:rPr>
            </w:pPr>
            <w:r>
              <w:rPr>
                <w:rFonts w:ascii="Arial" w:cs="Arial" w:eastAsia="Arial" w:hAnsi="Arial"/>
                <w:sz w:val="15"/>
                <w:szCs w:val="15"/>
                <w:color w:val="auto"/>
              </w:rPr>
              <w:t>Options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Shares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Exercise Price</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Years)</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7"/>
              <w:spacing w:after="0"/>
              <w:rPr>
                <w:sz w:val="20"/>
                <w:szCs w:val="20"/>
                <w:color w:val="auto"/>
              </w:rPr>
            </w:pPr>
            <w:r>
              <w:rPr>
                <w:rFonts w:ascii="Arial" w:cs="Arial" w:eastAsia="Arial" w:hAnsi="Arial"/>
                <w:sz w:val="15"/>
                <w:szCs w:val="15"/>
                <w:color w:val="auto"/>
                <w:w w:val="83"/>
              </w:rPr>
              <w:t>Value</w:t>
            </w:r>
          </w:p>
        </w:tc>
        <w:tc>
          <w:tcPr>
            <w:tcW w:w="100" w:type="dxa"/>
            <w:vAlign w:val="bottom"/>
          </w:tcPr>
          <w:p>
            <w:pPr>
              <w:spacing w:after="0"/>
              <w:rPr>
                <w:sz w:val="16"/>
                <w:szCs w:val="16"/>
                <w:color w:val="auto"/>
              </w:rPr>
            </w:pPr>
          </w:p>
        </w:tc>
      </w:tr>
      <w:tr>
        <w:trPr>
          <w:trHeight w:val="167"/>
        </w:trPr>
        <w:tc>
          <w:tcPr>
            <w:tcW w:w="522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Balance of Outstanding Options at January 1, 2013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4,037,266</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14.52</w:t>
            </w: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5220" w:type="dxa"/>
            <w:vAlign w:val="bottom"/>
          </w:tcPr>
          <w:p>
            <w:pPr>
              <w:spacing w:after="0"/>
              <w:rPr>
                <w:sz w:val="20"/>
                <w:szCs w:val="20"/>
                <w:color w:val="auto"/>
              </w:rPr>
            </w:pPr>
            <w:r>
              <w:rPr>
                <w:rFonts w:ascii="Arial" w:cs="Arial" w:eastAsia="Arial" w:hAnsi="Arial"/>
                <w:sz w:val="15"/>
                <w:szCs w:val="15"/>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400,633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740"/>
              <w:spacing w:after="0"/>
              <w:rPr>
                <w:sz w:val="20"/>
                <w:szCs w:val="20"/>
                <w:color w:val="auto"/>
              </w:rPr>
            </w:pPr>
            <w:r>
              <w:rPr>
                <w:rFonts w:ascii="Arial" w:cs="Arial" w:eastAsia="Arial" w:hAnsi="Arial"/>
                <w:sz w:val="15"/>
                <w:szCs w:val="15"/>
                <w:color w:val="auto"/>
              </w:rPr>
              <w:t>25.70</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(775,543)</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11.31</w:t>
            </w: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5220" w:type="dxa"/>
            <w:vAlign w:val="bottom"/>
          </w:tcPr>
          <w:p>
            <w:pPr>
              <w:spacing w:after="0"/>
              <w:rPr>
                <w:sz w:val="20"/>
                <w:szCs w:val="20"/>
                <w:color w:val="auto"/>
              </w:rPr>
            </w:pPr>
            <w:r>
              <w:rPr>
                <w:rFonts w:ascii="Arial" w:cs="Arial" w:eastAsia="Arial" w:hAnsi="Arial"/>
                <w:sz w:val="15"/>
                <w:szCs w:val="15"/>
                <w:color w:val="auto"/>
              </w:rPr>
              <w:t>Forfeited</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(20,200)</w:t>
            </w:r>
          </w:p>
        </w:tc>
        <w:tc>
          <w:tcPr>
            <w:tcW w:w="140" w:type="dxa"/>
            <w:vAlign w:val="bottom"/>
          </w:tcPr>
          <w:p>
            <w:pPr>
              <w:spacing w:after="0"/>
              <w:rPr>
                <w:sz w:val="15"/>
                <w:szCs w:val="15"/>
                <w:color w:val="auto"/>
              </w:rPr>
            </w:pPr>
          </w:p>
        </w:tc>
        <w:tc>
          <w:tcPr>
            <w:tcW w:w="1280" w:type="dxa"/>
            <w:vAlign w:val="bottom"/>
            <w:gridSpan w:val="2"/>
          </w:tcPr>
          <w:p>
            <w:pPr>
              <w:ind w:left="740"/>
              <w:spacing w:after="0"/>
              <w:rPr>
                <w:sz w:val="20"/>
                <w:szCs w:val="20"/>
                <w:color w:val="auto"/>
              </w:rPr>
            </w:pPr>
            <w:r>
              <w:rPr>
                <w:rFonts w:ascii="Arial" w:cs="Arial" w:eastAsia="Arial" w:hAnsi="Arial"/>
                <w:sz w:val="15"/>
                <w:szCs w:val="15"/>
                <w:color w:val="auto"/>
              </w:rPr>
              <w:t>18.70</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5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14"/>
                <w:szCs w:val="14"/>
                <w:color w:val="auto"/>
              </w:rPr>
            </w:pPr>
          </w:p>
        </w:tc>
        <w:tc>
          <w:tcPr>
            <w:tcW w:w="142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r>
      <w:tr>
        <w:trPr>
          <w:trHeight w:val="175"/>
        </w:trPr>
        <w:tc>
          <w:tcPr>
            <w:tcW w:w="5220" w:type="dxa"/>
            <w:vAlign w:val="bottom"/>
          </w:tcPr>
          <w:p>
            <w:pPr>
              <w:spacing w:after="0"/>
              <w:rPr>
                <w:sz w:val="20"/>
                <w:szCs w:val="20"/>
                <w:color w:val="auto"/>
              </w:rPr>
            </w:pPr>
            <w:r>
              <w:rPr>
                <w:rFonts w:ascii="Arial" w:cs="Arial" w:eastAsia="Arial" w:hAnsi="Arial"/>
                <w:sz w:val="15"/>
                <w:szCs w:val="15"/>
                <w:color w:val="auto"/>
              </w:rPr>
              <w:t>Balance of Outstanding Options at December 31, 2013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3,642,156</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740"/>
              <w:spacing w:after="0"/>
              <w:rPr>
                <w:sz w:val="20"/>
                <w:szCs w:val="20"/>
                <w:color w:val="auto"/>
              </w:rPr>
            </w:pPr>
            <w:r>
              <w:rPr>
                <w:rFonts w:ascii="Arial" w:cs="Arial" w:eastAsia="Arial" w:hAnsi="Arial"/>
                <w:sz w:val="15"/>
                <w:szCs w:val="15"/>
                <w:color w:val="auto"/>
              </w:rPr>
              <w:t>16.41</w:t>
            </w:r>
          </w:p>
        </w:tc>
        <w:tc>
          <w:tcPr>
            <w:tcW w:w="1420" w:type="dxa"/>
            <w:vAlign w:val="bottom"/>
            <w:gridSpan w:val="2"/>
          </w:tcPr>
          <w:p>
            <w:pPr>
              <w:ind w:left="960"/>
              <w:spacing w:after="0"/>
              <w:rPr>
                <w:sz w:val="20"/>
                <w:szCs w:val="20"/>
                <w:color w:val="auto"/>
              </w:rPr>
            </w:pPr>
            <w:r>
              <w:rPr>
                <w:rFonts w:ascii="Arial" w:cs="Arial" w:eastAsia="Arial" w:hAnsi="Arial"/>
                <w:sz w:val="15"/>
                <w:szCs w:val="15"/>
                <w:color w:val="auto"/>
              </w:rPr>
              <w:t>6.05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280"/>
              <w:spacing w:after="0"/>
              <w:rPr>
                <w:sz w:val="20"/>
                <w:szCs w:val="20"/>
                <w:color w:val="auto"/>
              </w:rPr>
            </w:pPr>
            <w:r>
              <w:rPr>
                <w:rFonts w:ascii="Arial" w:cs="Arial" w:eastAsia="Arial" w:hAnsi="Arial"/>
                <w:sz w:val="15"/>
                <w:szCs w:val="15"/>
                <w:color w:val="auto"/>
                <w:w w:val="95"/>
              </w:rPr>
              <w:t>48,215,975</w:t>
            </w: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rPr>
                <w:sz w:val="12"/>
                <w:szCs w:val="12"/>
                <w:color w:val="auto"/>
              </w:rPr>
            </w:pPr>
          </w:p>
        </w:tc>
        <w:tc>
          <w:tcPr>
            <w:tcW w:w="142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rPr>
                <w:sz w:val="12"/>
                <w:szCs w:val="12"/>
                <w:color w:val="auto"/>
              </w:rPr>
            </w:pPr>
          </w:p>
        </w:tc>
      </w:tr>
      <w:tr>
        <w:trPr>
          <w:trHeight w:val="175"/>
        </w:trPr>
        <w:tc>
          <w:tcPr>
            <w:tcW w:w="5220" w:type="dxa"/>
            <w:vAlign w:val="bottom"/>
          </w:tcPr>
          <w:p>
            <w:pPr>
              <w:spacing w:after="0"/>
              <w:rPr>
                <w:sz w:val="20"/>
                <w:szCs w:val="20"/>
                <w:color w:val="auto"/>
              </w:rPr>
            </w:pPr>
            <w:r>
              <w:rPr>
                <w:rFonts w:ascii="Arial" w:cs="Arial" w:eastAsia="Arial" w:hAnsi="Arial"/>
                <w:sz w:val="15"/>
                <w:szCs w:val="15"/>
                <w:color w:val="auto"/>
              </w:rPr>
              <w:t>Expected to vest after December 31, 2013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2,039,144</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740"/>
              <w:spacing w:after="0"/>
              <w:rPr>
                <w:sz w:val="20"/>
                <w:szCs w:val="20"/>
                <w:color w:val="auto"/>
              </w:rPr>
            </w:pPr>
            <w:r>
              <w:rPr>
                <w:rFonts w:ascii="Arial" w:cs="Arial" w:eastAsia="Arial" w:hAnsi="Arial"/>
                <w:sz w:val="15"/>
                <w:szCs w:val="15"/>
                <w:color w:val="auto"/>
              </w:rPr>
              <w:t>19.50</w:t>
            </w:r>
          </w:p>
        </w:tc>
        <w:tc>
          <w:tcPr>
            <w:tcW w:w="1420" w:type="dxa"/>
            <w:vAlign w:val="bottom"/>
            <w:gridSpan w:val="2"/>
          </w:tcPr>
          <w:p>
            <w:pPr>
              <w:ind w:left="960"/>
              <w:spacing w:after="0"/>
              <w:rPr>
                <w:sz w:val="20"/>
                <w:szCs w:val="20"/>
                <w:color w:val="auto"/>
              </w:rPr>
            </w:pPr>
            <w:r>
              <w:rPr>
                <w:rFonts w:ascii="Arial" w:cs="Arial" w:eastAsia="Arial" w:hAnsi="Arial"/>
                <w:sz w:val="15"/>
                <w:szCs w:val="15"/>
                <w:color w:val="auto"/>
              </w:rPr>
              <w:t>7.55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280"/>
              <w:spacing w:after="0"/>
              <w:rPr>
                <w:sz w:val="20"/>
                <w:szCs w:val="20"/>
                <w:color w:val="auto"/>
              </w:rPr>
            </w:pPr>
            <w:r>
              <w:rPr>
                <w:rFonts w:ascii="Arial" w:cs="Arial" w:eastAsia="Arial" w:hAnsi="Arial"/>
                <w:sz w:val="15"/>
                <w:szCs w:val="15"/>
                <w:color w:val="auto"/>
                <w:w w:val="95"/>
              </w:rPr>
              <w:t>20,706,571</w:t>
            </w: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522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5"/>
                <w:szCs w:val="15"/>
                <w:color w:val="auto"/>
              </w:rPr>
              <w:t>Vested and exercisable at December 31, 2013</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5"/>
                <w:szCs w:val="15"/>
                <w:color w:val="auto"/>
              </w:rPr>
              <w:t>1,489,216</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740"/>
              <w:spacing w:after="0" w:line="148" w:lineRule="exact"/>
              <w:rPr>
                <w:sz w:val="20"/>
                <w:szCs w:val="20"/>
                <w:color w:val="auto"/>
              </w:rPr>
            </w:pPr>
            <w:r>
              <w:rPr>
                <w:rFonts w:ascii="Arial" w:cs="Arial" w:eastAsia="Arial" w:hAnsi="Arial"/>
                <w:sz w:val="15"/>
                <w:szCs w:val="15"/>
                <w:color w:val="auto"/>
                <w:w w:val="79"/>
              </w:rPr>
              <w:t>12.08</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ind w:left="960"/>
              <w:spacing w:after="0" w:line="148" w:lineRule="exact"/>
              <w:rPr>
                <w:sz w:val="20"/>
                <w:szCs w:val="20"/>
                <w:color w:val="auto"/>
              </w:rPr>
            </w:pPr>
            <w:r>
              <w:rPr>
                <w:rFonts w:ascii="Arial" w:cs="Arial" w:eastAsia="Arial" w:hAnsi="Arial"/>
                <w:sz w:val="15"/>
                <w:szCs w:val="15"/>
                <w:color w:val="auto"/>
                <w:w w:val="75"/>
              </w:rPr>
              <w:t>3.91</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7"/>
              <w:spacing w:after="0" w:line="148"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ind w:left="280"/>
              <w:spacing w:after="0" w:line="148" w:lineRule="exact"/>
              <w:rPr>
                <w:sz w:val="20"/>
                <w:szCs w:val="20"/>
                <w:color w:val="auto"/>
              </w:rPr>
            </w:pPr>
            <w:r>
              <w:rPr>
                <w:rFonts w:ascii="Arial" w:cs="Arial" w:eastAsia="Arial" w:hAnsi="Arial"/>
                <w:sz w:val="15"/>
                <w:szCs w:val="15"/>
                <w:color w:val="auto"/>
                <w:w w:val="82"/>
              </w:rPr>
              <w:t>26,163,467</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aggregate intrinsic value in the preceding table represents the total pretax intrinsic value, based on the weighted-average of the closing price as of December 31, 2013, of the Company’s Class A common of $29.65. The total intrinsic value of options exercised was $10.5 million during the year ended December 31, 2013, $5.6 million during the year ended December 31, 2012, and $5.2 million during the year ended December 31, 2011.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auto"/>
        </w:rPr>
        <w:t>A summary of the status of the number of shares underlying Company’s non-vested stock options as of December 31, 2013, and changes during the year ended December 31, 2013, follows:</w:t>
      </w:r>
    </w:p>
    <w:p>
      <w:pPr>
        <w:spacing w:after="0" w:line="387"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67"/>
              <w:spacing w:after="0"/>
              <w:rPr>
                <w:sz w:val="20"/>
                <w:szCs w:val="20"/>
                <w:color w:val="auto"/>
              </w:rPr>
            </w:pPr>
            <w:r>
              <w:rPr>
                <w:rFonts w:ascii="Arial" w:cs="Arial" w:eastAsia="Arial" w:hAnsi="Arial"/>
                <w:sz w:val="15"/>
                <w:szCs w:val="15"/>
                <w:color w:val="auto"/>
                <w:w w:val="85"/>
              </w:rPr>
              <w:t>Weighted 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5"/>
                <w:szCs w:val="15"/>
                <w:color w:val="auto"/>
              </w:rPr>
              <w:t>Number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87"/>
              <w:spacing w:after="0"/>
              <w:rPr>
                <w:sz w:val="20"/>
                <w:szCs w:val="20"/>
                <w:color w:val="auto"/>
              </w:rPr>
            </w:pPr>
            <w:r>
              <w:rPr>
                <w:rFonts w:ascii="Arial" w:cs="Arial" w:eastAsia="Arial" w:hAnsi="Arial"/>
                <w:sz w:val="15"/>
                <w:szCs w:val="15"/>
                <w:color w:val="auto"/>
                <w:w w:val="87"/>
              </w:rPr>
              <w:t>Grant Date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60" w:type="dxa"/>
            <w:vAlign w:val="bottom"/>
            <w:tcBorders>
              <w:bottom w:val="single" w:sz="8" w:color="auto"/>
            </w:tcBorders>
          </w:tcPr>
          <w:p>
            <w:pPr>
              <w:ind w:left="2260"/>
              <w:spacing w:after="0"/>
              <w:rPr>
                <w:sz w:val="20"/>
                <w:szCs w:val="20"/>
                <w:color w:val="auto"/>
              </w:rPr>
            </w:pPr>
            <w:r>
              <w:rPr>
                <w:rFonts w:ascii="Arial" w:cs="Arial" w:eastAsia="Arial" w:hAnsi="Arial"/>
                <w:sz w:val="15"/>
                <w:szCs w:val="15"/>
                <w:color w:val="auto"/>
              </w:rPr>
              <w:t>Non-vested Shares</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7"/>
              <w:spacing w:after="0"/>
              <w:rPr>
                <w:sz w:val="20"/>
                <w:szCs w:val="20"/>
                <w:color w:val="auto"/>
              </w:rPr>
            </w:pPr>
            <w:r>
              <w:rPr>
                <w:rFonts w:ascii="Arial" w:cs="Arial" w:eastAsia="Arial" w:hAnsi="Arial"/>
                <w:sz w:val="15"/>
                <w:szCs w:val="15"/>
                <w:color w:val="auto"/>
                <w:w w:val="87"/>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Non-vested at January 1, 2013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2,423,608</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5"/>
                <w:szCs w:val="15"/>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400,633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(651,101)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0" w:type="dxa"/>
            <w:vAlign w:val="bottom"/>
          </w:tcPr>
          <w:p>
            <w:pPr>
              <w:spacing w:after="0"/>
              <w:rPr>
                <w:sz w:val="15"/>
                <w:szCs w:val="15"/>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5"/>
                <w:szCs w:val="15"/>
                <w:color w:val="auto"/>
              </w:rPr>
              <w:t>(20,200)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80" w:type="dxa"/>
            <w:vAlign w:val="bottom"/>
            <w:gridSpan w:val="2"/>
          </w:tcPr>
          <w:p>
            <w:pPr>
              <w:spacing w:after="0"/>
              <w:rPr>
                <w:sz w:val="20"/>
                <w:szCs w:val="20"/>
                <w:color w:val="auto"/>
              </w:rPr>
            </w:pPr>
            <w:r>
              <w:rPr>
                <w:rFonts w:ascii="Arial" w:cs="Arial" w:eastAsia="Arial" w:hAnsi="Arial"/>
                <w:sz w:val="15"/>
                <w:szCs w:val="15"/>
                <w:color w:val="auto"/>
              </w:rPr>
              <w:t>Non-vested at December 31, 2013</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2,152,940</w:t>
            </w:r>
          </w:p>
        </w:tc>
        <w:tc>
          <w:tcPr>
            <w:tcW w:w="10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9.13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total fair value of vested options was $3.4 million during the year ended December 31, 2013, $2.4 million during the year ended December 31, 2012, and $2.5 million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2011. The weighted-average grant date fair value of options granted was $12.69 per share during the year ended December 31, 2013, $10.95 per share during the year ended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and $8.68 per share during the year ended December 31, 2011.</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Awards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granted restricted stock units to its employees under the 2007 Incentive Plan and unrestricted stock awards to its non-employee directors under the Director Plan during the year ended December 31, 2013. The shares granted to employees vest in three equal installments on the first, second and third anniversary of the grant date and are forfeited in the event the recipient’s employment or relationship with the Company is terminated prior to vesting. The fair value of the restricted stock awards and units to the Company’s employees is amortized to expense on a straight-line basis over the restricted stock’s vesting period. The shares granted to non-employee directors are expensed on the grant date.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 summary of the Company’s non-vested restricted stock awards and non-vested restricted stock units outstanding at December 31, 2013:</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5"/>
                <w:szCs w:val="15"/>
                <w:color w:val="auto"/>
                <w:w w:val="87"/>
              </w:rPr>
              <w:t>WeightedAverage</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Remaining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Weighted 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Contractual Life (in</w:t>
            </w:r>
          </w:p>
        </w:tc>
        <w:tc>
          <w:tcPr>
            <w:tcW w:w="1440" w:type="dxa"/>
            <w:vAlign w:val="bottom"/>
            <w:gridSpan w:val="3"/>
          </w:tcPr>
          <w:p>
            <w:pPr>
              <w:ind w:left="60"/>
              <w:spacing w:after="0"/>
              <w:rPr>
                <w:sz w:val="20"/>
                <w:szCs w:val="20"/>
                <w:color w:val="auto"/>
              </w:rPr>
            </w:pPr>
            <w:r>
              <w:rPr>
                <w:rFonts w:ascii="Arial" w:cs="Arial" w:eastAsia="Arial" w:hAnsi="Arial"/>
                <w:sz w:val="15"/>
                <w:szCs w:val="15"/>
                <w:color w:val="auto"/>
              </w:rPr>
              <w:t>Aggregate Intrinsic</w:t>
            </w:r>
          </w:p>
        </w:tc>
        <w:tc>
          <w:tcPr>
            <w:tcW w:w="6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Grant Date 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Borders>
              <w:bottom w:val="single" w:sz="8" w:color="auto"/>
            </w:tcBorders>
          </w:tcPr>
          <w:p>
            <w:pPr>
              <w:ind w:left="1540"/>
              <w:spacing w:after="0"/>
              <w:rPr>
                <w:sz w:val="20"/>
                <w:szCs w:val="20"/>
                <w:color w:val="auto"/>
              </w:rPr>
            </w:pPr>
            <w:r>
              <w:rPr>
                <w:rFonts w:ascii="Arial" w:cs="Arial" w:eastAsia="Arial" w:hAnsi="Arial"/>
                <w:sz w:val="15"/>
                <w:szCs w:val="15"/>
                <w:color w:val="auto"/>
              </w:rPr>
              <w:t>Stock Awards and Units</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rPr>
              <w:t>Shares</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1"/>
              </w:rPr>
              <w:t>Years)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rPr>
              <w:t>Value</w:t>
            </w: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
              <w:spacing w:after="0"/>
              <w:rPr>
                <w:sz w:val="20"/>
                <w:szCs w:val="20"/>
                <w:color w:val="auto"/>
              </w:rPr>
            </w:pPr>
            <w:r>
              <w:rPr>
                <w:rFonts w:ascii="Arial" w:cs="Arial" w:eastAsia="Arial" w:hAnsi="Arial"/>
                <w:sz w:val="15"/>
                <w:szCs w:val="15"/>
                <w:color w:val="auto"/>
                <w:w w:val="83"/>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20" w:type="dxa"/>
            <w:vAlign w:val="bottom"/>
          </w:tcPr>
          <w:p>
            <w:pPr>
              <w:spacing w:after="0"/>
              <w:rPr>
                <w:sz w:val="14"/>
                <w:szCs w:val="14"/>
                <w:color w:val="auto"/>
              </w:rPr>
            </w:pPr>
          </w:p>
        </w:tc>
        <w:tc>
          <w:tcPr>
            <w:tcW w:w="13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Outstanding Non-vested shares at January 1, 2013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232,114</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5"/>
                <w:szCs w:val="15"/>
                <w:color w:val="auto"/>
              </w:rPr>
              <w:t>Granted</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258,173</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22.12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(185,589)</w:t>
            </w: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20.61</w:t>
            </w: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rPr>
                <w:sz w:val="20"/>
                <w:szCs w:val="20"/>
                <w:color w:val="auto"/>
              </w:rPr>
            </w:pPr>
            <w:r>
              <w:rPr>
                <w:rFonts w:ascii="Arial" w:cs="Arial" w:eastAsia="Arial" w:hAnsi="Arial"/>
                <w:sz w:val="15"/>
                <w:szCs w:val="15"/>
                <w:color w:val="auto"/>
              </w:rPr>
              <w:t>Outstanding Non-vested at December 31, 2013</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302,015</w:t>
            </w:r>
          </w:p>
        </w:tc>
        <w:tc>
          <w:tcPr>
            <w:tcW w:w="2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8.79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8,092,665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21.81</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rPr>
                <w:sz w:val="20"/>
                <w:szCs w:val="20"/>
                <w:color w:val="auto"/>
              </w:rPr>
            </w:pPr>
            <w:r>
              <w:rPr>
                <w:rFonts w:ascii="Arial" w:cs="Arial" w:eastAsia="Arial" w:hAnsi="Arial"/>
                <w:sz w:val="15"/>
                <w:szCs w:val="15"/>
                <w:color w:val="auto"/>
              </w:rPr>
              <w:t>Expected to vest after December 31, 2013</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298,240</w:t>
            </w:r>
          </w:p>
        </w:tc>
        <w:tc>
          <w:tcPr>
            <w:tcW w:w="2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8.79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7,990,161</w:t>
            </w: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total fair value of the shares issued upon the vesting of stock awards during the year ended December 31, 2013 was $3.8 million. The weighted-average grant date fair value of stock awards and units granted was $22.12 per share during the year ended December 31, 2013, $21.98 per share during the year ended December 31, 2012, and $18.93 per share during the year ended December 31, 2011.</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of December 31, 2013, there was $12.8 million of total unrecognized compensation cost related to unvested share-based compensation arrangements granted under the Incentive Plan and the 2007 Incentive Plan. That cost is expected to be recognized over a weighted-average period of 2.7 years.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0" w:name="page71"/>
    <w:bookmarkEnd w:id="70"/>
    <w:p>
      <w:pPr>
        <w:spacing w:after="0"/>
        <w:rPr>
          <w:sz w:val="20"/>
          <w:szCs w:val="20"/>
          <w:color w:val="auto"/>
        </w:rPr>
      </w:pPr>
      <w:r>
        <w:rPr>
          <w:rFonts w:ascii="Arial" w:cs="Arial" w:eastAsia="Arial" w:hAnsi="Arial"/>
          <w:sz w:val="15"/>
          <w:szCs w:val="15"/>
          <w:i w:val="1"/>
          <w:iCs w:val="1"/>
          <w:color w:val="auto"/>
        </w:rPr>
        <w:t>Defined Contribution Plan</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Effective January 1, 2011, for the first 10% of an employee’s contribution, the Company contributed an amount equal to 15% of the employees’ contributions for those employees with less than five years of service and an amount equal to 30% of the employees’ contributions for those employees with more than five years of service.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$4.4 million during the year ended December 31, 2013, $3.7 million during the year ended December 31, 2012, and $2.2 million during the year ended December 31, 2011.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Deferred Compensation Plan</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On November 6, 2010 the Board of Directors of the Company adopted the Rush Enterprises, Inc. Deferred Compensation Plan (the “Deferred Compensation Plan”) pursuant to which selected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$1.7 million on December 31, 2013 and $0.6 million on December 31, 2012. The related cash surrender value of the life insurance contracts was $1.6 million on December 31, 2013 and $0.6 million on December 31, 2012.</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Company currently does not provide any post retirement benefits nor does it provide any post employment benefits.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1" w:name="page72"/>
    <w:bookmarkEnd w:id="71"/>
    <w:p>
      <w:pPr>
        <w:ind w:left="880" w:hanging="87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EARNINGS PER SHARE</w:t>
      </w:r>
      <w:r>
        <w:rPr>
          <w:rFonts w:ascii="Arial" w:cs="Arial" w:eastAsia="Arial" w:hAnsi="Arial"/>
          <w:sz w:val="15"/>
          <w:szCs w:val="15"/>
          <w:color w:val="auto"/>
        </w:rPr>
        <w:t>:</w:t>
      </w:r>
    </w:p>
    <w:p>
      <w:pPr>
        <w:spacing w:after="0" w:line="177"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 The Company’s Class A Common Stock and Class B Common Stock have equal claims on earnings of the Company. The following is a reconciliation of the numerators and the denominators of the basic and diluted per share computations for income from continuing operations (in thousands, except per share amounts):</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2013</w:t>
            </w:r>
          </w:p>
        </w:tc>
        <w:tc>
          <w:tcPr>
            <w:tcW w:w="6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2012</w:t>
            </w:r>
          </w:p>
        </w:tc>
        <w:tc>
          <w:tcPr>
            <w:tcW w:w="6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2011</w:t>
            </w:r>
          </w:p>
        </w:tc>
        <w:tc>
          <w:tcPr>
            <w:tcW w:w="0" w:type="dxa"/>
            <w:vAlign w:val="bottom"/>
          </w:tcPr>
          <w:p>
            <w:pPr>
              <w:spacing w:after="0"/>
              <w:rPr>
                <w:sz w:val="1"/>
                <w:szCs w:val="1"/>
                <w:color w:val="auto"/>
              </w:rPr>
            </w:pPr>
          </w:p>
        </w:tc>
      </w:tr>
      <w:tr>
        <w:trPr>
          <w:trHeight w:val="167"/>
        </w:trPr>
        <w:tc>
          <w:tcPr>
            <w:tcW w:w="57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Numerator-</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120"/>
              <w:spacing w:after="0"/>
              <w:rPr>
                <w:sz w:val="20"/>
                <w:szCs w:val="20"/>
                <w:color w:val="auto"/>
              </w:rPr>
            </w:pPr>
            <w:r>
              <w:rPr>
                <w:rFonts w:ascii="Arial" w:cs="Arial" w:eastAsia="Arial" w:hAnsi="Arial"/>
                <w:sz w:val="15"/>
                <w:szCs w:val="15"/>
                <w:color w:val="auto"/>
              </w:rPr>
              <w:t>Numerator for basic and diluted earnings per share-</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available to common shareholders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49,217</w:t>
            </w: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62,455</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55,213</w:t>
            </w:r>
          </w:p>
        </w:tc>
        <w:tc>
          <w:tcPr>
            <w:tcW w:w="0" w:type="dxa"/>
            <w:vAlign w:val="bottom"/>
          </w:tcPr>
          <w:p>
            <w:pPr>
              <w:spacing w:after="0"/>
              <w:rPr>
                <w:sz w:val="1"/>
                <w:szCs w:val="1"/>
                <w:color w:val="auto"/>
              </w:rPr>
            </w:pPr>
          </w:p>
        </w:tc>
      </w:tr>
      <w:tr>
        <w:trPr>
          <w:trHeight w:val="148"/>
        </w:trPr>
        <w:tc>
          <w:tcPr>
            <w:tcW w:w="576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Denominator-</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120"/>
              <w:spacing w:after="0"/>
              <w:rPr>
                <w:sz w:val="20"/>
                <w:szCs w:val="20"/>
                <w:color w:val="auto"/>
              </w:rPr>
            </w:pPr>
            <w:r>
              <w:rPr>
                <w:rFonts w:ascii="Arial" w:cs="Arial" w:eastAsia="Arial" w:hAnsi="Arial"/>
                <w:sz w:val="15"/>
                <w:szCs w:val="15"/>
                <w:color w:val="auto"/>
              </w:rPr>
              <w:t>Denominator for basic earnings per share, weighted average shares</w:t>
            </w:r>
          </w:p>
        </w:tc>
        <w:tc>
          <w:tcPr>
            <w:tcW w:w="6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39,405</w:t>
            </w:r>
          </w:p>
        </w:tc>
        <w:tc>
          <w:tcPr>
            <w:tcW w:w="6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38,643</w:t>
            </w:r>
          </w:p>
        </w:tc>
        <w:tc>
          <w:tcPr>
            <w:tcW w:w="6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37,861</w:t>
            </w: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120"/>
              <w:spacing w:after="0"/>
              <w:rPr>
                <w:sz w:val="20"/>
                <w:szCs w:val="20"/>
                <w:color w:val="auto"/>
              </w:rPr>
            </w:pPr>
            <w:r>
              <w:rPr>
                <w:rFonts w:ascii="Arial" w:cs="Arial" w:eastAsia="Arial" w:hAnsi="Arial"/>
                <w:sz w:val="15"/>
                <w:szCs w:val="15"/>
                <w:color w:val="auto"/>
              </w:rPr>
              <w:t>Effect of dilutive securities-</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Stock options and restricted shares</w:t>
            </w:r>
          </w:p>
        </w:tc>
        <w:tc>
          <w:tcPr>
            <w:tcW w:w="6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1,101</w:t>
            </w:r>
          </w:p>
        </w:tc>
        <w:tc>
          <w:tcPr>
            <w:tcW w:w="6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1,045</w:t>
            </w:r>
          </w:p>
        </w:tc>
        <w:tc>
          <w:tcPr>
            <w:tcW w:w="6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1,154</w:t>
            </w:r>
          </w:p>
        </w:tc>
        <w:tc>
          <w:tcPr>
            <w:tcW w:w="0" w:type="dxa"/>
            <w:vAlign w:val="bottom"/>
          </w:tcPr>
          <w:p>
            <w:pPr>
              <w:spacing w:after="0"/>
              <w:rPr>
                <w:sz w:val="1"/>
                <w:szCs w:val="1"/>
                <w:color w:val="auto"/>
              </w:rPr>
            </w:pPr>
          </w:p>
        </w:tc>
      </w:tr>
      <w:tr>
        <w:trPr>
          <w:trHeight w:val="166"/>
        </w:trPr>
        <w:tc>
          <w:tcPr>
            <w:tcW w:w="576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60" w:type="dxa"/>
            <w:vAlign w:val="bottom"/>
            <w:shd w:val="clear" w:color="auto" w:fill="CCEEFF"/>
          </w:tcPr>
          <w:p>
            <w:pPr>
              <w:ind w:left="120"/>
              <w:spacing w:after="0" w:line="164" w:lineRule="exact"/>
              <w:rPr>
                <w:sz w:val="20"/>
                <w:szCs w:val="20"/>
                <w:color w:val="auto"/>
              </w:rPr>
            </w:pPr>
            <w:r>
              <w:rPr>
                <w:rFonts w:ascii="Arial" w:cs="Arial" w:eastAsia="Arial" w:hAnsi="Arial"/>
                <w:sz w:val="15"/>
                <w:szCs w:val="15"/>
                <w:color w:val="auto"/>
                <w:w w:val="91"/>
              </w:rPr>
              <w:t>Denominator for diluted earnings per share, adjusted weighted average shares and assumed</w:t>
            </w:r>
          </w:p>
        </w:tc>
        <w:tc>
          <w:tcPr>
            <w:tcW w:w="6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40,506</w:t>
            </w:r>
          </w:p>
        </w:tc>
        <w:tc>
          <w:tcPr>
            <w:tcW w:w="220" w:type="dxa"/>
            <w:vAlign w:val="bottom"/>
            <w:vMerge w:val="restart"/>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39,688</w:t>
            </w:r>
          </w:p>
        </w:tc>
        <w:tc>
          <w:tcPr>
            <w:tcW w:w="6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39,015</w:t>
            </w:r>
          </w:p>
        </w:tc>
        <w:tc>
          <w:tcPr>
            <w:tcW w:w="0" w:type="dxa"/>
            <w:vAlign w:val="bottom"/>
          </w:tcPr>
          <w:p>
            <w:pPr>
              <w:spacing w:after="0"/>
              <w:rPr>
                <w:sz w:val="1"/>
                <w:szCs w:val="1"/>
                <w:color w:val="auto"/>
              </w:rPr>
            </w:pPr>
          </w:p>
        </w:tc>
      </w:tr>
      <w:tr>
        <w:trPr>
          <w:trHeight w:val="193"/>
        </w:trPr>
        <w:tc>
          <w:tcPr>
            <w:tcW w:w="5760" w:type="dxa"/>
            <w:vAlign w:val="bottom"/>
            <w:shd w:val="clear" w:color="auto" w:fill="CCEEFF"/>
          </w:tcPr>
          <w:p>
            <w:pPr>
              <w:ind w:left="260"/>
              <w:spacing w:after="0" w:line="153" w:lineRule="exact"/>
              <w:rPr>
                <w:sz w:val="20"/>
                <w:szCs w:val="20"/>
                <w:color w:val="auto"/>
              </w:rPr>
            </w:pPr>
            <w:r>
              <w:rPr>
                <w:rFonts w:ascii="Arial" w:cs="Arial" w:eastAsia="Arial" w:hAnsi="Arial"/>
                <w:sz w:val="15"/>
                <w:szCs w:val="15"/>
                <w:color w:val="auto"/>
              </w:rPr>
              <w:t>conversions</w:t>
            </w:r>
          </w:p>
        </w:tc>
        <w:tc>
          <w:tcPr>
            <w:tcW w:w="6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76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per common share</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1.62</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48"/>
        </w:trPr>
        <w:tc>
          <w:tcPr>
            <w:tcW w:w="576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Diluted earnings per common share and common share equivalents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1.57</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Options to purchase shares of common stock that were outstanding for the years ended December 31, 2013, 2012 and 2011 that were not included in the computation of diluted earnings per share because the effect would have been anti-dilutive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rPr>
              <w:t>2013</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2012</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rPr>
              <w:t>2011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Options</w:t>
            </w:r>
          </w:p>
        </w:tc>
        <w:tc>
          <w:tcPr>
            <w:tcW w:w="8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927,796</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1,123,795</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533,100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Total anti-dilutive securities</w:t>
            </w:r>
          </w:p>
        </w:tc>
        <w:tc>
          <w:tcPr>
            <w:tcW w:w="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927,796</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1,123,795</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533,100</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5"/>
                <w:szCs w:val="15"/>
                <w:color w:val="auto"/>
              </w:rPr>
              <w:t>13.</w:t>
            </w:r>
          </w:p>
        </w:tc>
        <w:tc>
          <w:tcPr>
            <w:tcW w:w="3520" w:type="dxa"/>
            <w:vAlign w:val="bottom"/>
            <w:gridSpan w:val="4"/>
          </w:tcPr>
          <w:p>
            <w:pPr>
              <w:spacing w:after="0"/>
              <w:rPr>
                <w:sz w:val="20"/>
                <w:szCs w:val="20"/>
                <w:color w:val="auto"/>
              </w:rPr>
            </w:pPr>
            <w:r>
              <w:rPr>
                <w:rFonts w:ascii="Arial" w:cs="Arial" w:eastAsia="Arial" w:hAnsi="Arial"/>
                <w:sz w:val="15"/>
                <w:szCs w:val="15"/>
                <w:color w:val="auto"/>
              </w:rPr>
              <w:t>INCOME TAXES: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w w:val="88"/>
              </w:rPr>
              <w:t>Provision for Income Taxes</w:t>
            </w:r>
          </w:p>
        </w:tc>
        <w:tc>
          <w:tcPr>
            <w:tcW w:w="278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00" w:type="dxa"/>
            <w:vAlign w:val="bottom"/>
            <w:gridSpan w:val="5"/>
          </w:tcPr>
          <w:p>
            <w:pPr>
              <w:spacing w:after="0"/>
              <w:rPr>
                <w:sz w:val="20"/>
                <w:szCs w:val="20"/>
                <w:color w:val="auto"/>
              </w:rPr>
            </w:pPr>
            <w:r>
              <w:rPr>
                <w:rFonts w:ascii="Arial" w:cs="Arial" w:eastAsia="Arial" w:hAnsi="Arial"/>
                <w:sz w:val="15"/>
                <w:szCs w:val="15"/>
                <w:color w:val="auto"/>
              </w:rPr>
              <w:t>The tax provisions are summarized as follows (in thousands):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6"/>
              </w:rPr>
              <w:t>Year Ended December 31,</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2013</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2012</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2011</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provision-</w:t>
            </w: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3"/>
          </w:tcPr>
          <w:p>
            <w:pPr>
              <w:ind w:left="120"/>
              <w:spacing w:after="0"/>
              <w:rPr>
                <w:sz w:val="20"/>
                <w:szCs w:val="20"/>
                <w:color w:val="auto"/>
              </w:rPr>
            </w:pPr>
            <w:r>
              <w:rPr>
                <w:rFonts w:ascii="Arial" w:cs="Arial" w:eastAsia="Arial" w:hAnsi="Arial"/>
                <w:sz w:val="15"/>
                <w:szCs w:val="15"/>
                <w:color w:val="auto"/>
              </w:rPr>
              <w:t>Federal</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7,755</w:t>
            </w:r>
          </w:p>
        </w:tc>
        <w:tc>
          <w:tcPr>
            <w:tcW w:w="52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8,647</w:t>
            </w:r>
          </w:p>
        </w:tc>
        <w:tc>
          <w:tcPr>
            <w:tcW w:w="5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3,081</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5"/>
                <w:szCs w:val="15"/>
                <w:color w:val="auto"/>
              </w:rPr>
              <w:t>State</w:t>
            </w:r>
          </w:p>
        </w:tc>
        <w:tc>
          <w:tcPr>
            <w:tcW w:w="8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2,008</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1,917</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3,203</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9,763</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10,564</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6,284</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Deferred provision-</w:t>
            </w: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3"/>
          </w:tcPr>
          <w:p>
            <w:pPr>
              <w:ind w:left="120"/>
              <w:spacing w:after="0"/>
              <w:rPr>
                <w:sz w:val="20"/>
                <w:szCs w:val="20"/>
                <w:color w:val="auto"/>
              </w:rPr>
            </w:pPr>
            <w:r>
              <w:rPr>
                <w:rFonts w:ascii="Arial" w:cs="Arial" w:eastAsia="Arial" w:hAnsi="Arial"/>
                <w:sz w:val="15"/>
                <w:szCs w:val="15"/>
                <w:color w:val="auto"/>
              </w:rPr>
              <w:t>Federal</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20,470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25,752</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27,495</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5"/>
                <w:szCs w:val="15"/>
                <w:color w:val="auto"/>
              </w:rPr>
              <w:t>State</w:t>
            </w:r>
          </w:p>
        </w:tc>
        <w:tc>
          <w:tcPr>
            <w:tcW w:w="8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1,611</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2,412</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22,081</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28,164</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28,680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Provision (benefit) for income taxes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31,844</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38,728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34,964</w:t>
            </w: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8"/>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907"/>
              <w:spacing w:after="0"/>
              <w:rPr>
                <w:sz w:val="20"/>
                <w:szCs w:val="20"/>
                <w:color w:val="auto"/>
              </w:rPr>
            </w:pPr>
            <w:r>
              <w:rPr>
                <w:rFonts w:ascii="Arial" w:cs="Arial" w:eastAsia="Arial" w:hAnsi="Arial"/>
                <w:sz w:val="15"/>
                <w:szCs w:val="15"/>
                <w:color w:val="auto"/>
              </w:rPr>
              <w:t>69</w:t>
            </w: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72" w:name="page73"/>
    <w:bookmarkEnd w:id="72"/>
    <w:p>
      <w:pPr>
        <w:spacing w:after="0"/>
        <w:rPr>
          <w:sz w:val="20"/>
          <w:szCs w:val="20"/>
          <w:color w:val="auto"/>
        </w:rPr>
      </w:pPr>
      <w:r>
        <w:rPr>
          <w:rFonts w:ascii="Arial" w:cs="Arial" w:eastAsia="Arial" w:hAnsi="Arial"/>
          <w:sz w:val="15"/>
          <w:szCs w:val="15"/>
          <w:color w:val="auto"/>
        </w:rPr>
        <w:t>A reconciliation of taxes based on the federal statutory rates and the provisions (benefits) for income taxes are summarized as follows (in thousands):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w w:val="92"/>
              </w:rPr>
              <w:t>Year Ended December 31,</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2013</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27"/>
              <w:spacing w:after="0" w:line="167" w:lineRule="exact"/>
              <w:rPr>
                <w:sz w:val="20"/>
                <w:szCs w:val="20"/>
                <w:color w:val="auto"/>
              </w:rPr>
            </w:pPr>
            <w:r>
              <w:rPr>
                <w:rFonts w:ascii="Arial" w:cs="Arial" w:eastAsia="Arial" w:hAnsi="Arial"/>
                <w:sz w:val="15"/>
                <w:szCs w:val="15"/>
                <w:color w:val="auto"/>
              </w:rPr>
              <w:t>2012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27"/>
              <w:spacing w:after="0" w:line="167" w:lineRule="exact"/>
              <w:rPr>
                <w:sz w:val="20"/>
                <w:szCs w:val="20"/>
                <w:color w:val="auto"/>
              </w:rPr>
            </w:pPr>
            <w:r>
              <w:rPr>
                <w:rFonts w:ascii="Arial" w:cs="Arial" w:eastAsia="Arial" w:hAnsi="Arial"/>
                <w:sz w:val="15"/>
                <w:szCs w:val="15"/>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Income taxes at the federal statutory rate</w:t>
            </w:r>
          </w:p>
        </w:tc>
        <w:tc>
          <w:tcPr>
            <w:tcW w:w="1160" w:type="dxa"/>
            <w:vAlign w:val="bottom"/>
            <w:gridSpan w:val="2"/>
            <w:shd w:val="clear" w:color="auto" w:fill="CCEEFF"/>
          </w:tcPr>
          <w:p>
            <w:pPr>
              <w:jc w:val="right"/>
              <w:ind w:right="102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28,371</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35,414</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5"/>
                <w:szCs w:val="15"/>
                <w:color w:val="auto"/>
              </w:rPr>
              <w:t>State income taxes, net of federal benefit</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2,259</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Tax effect of permanent differences</w:t>
            </w: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spacing w:after="0"/>
              <w:rPr>
                <w:sz w:val="20"/>
                <w:szCs w:val="20"/>
                <w:color w:val="auto"/>
              </w:rPr>
            </w:pPr>
            <w:r>
              <w:rPr>
                <w:rFonts w:ascii="Arial" w:cs="Arial" w:eastAsia="Arial" w:hAnsi="Arial"/>
                <w:sz w:val="15"/>
                <w:szCs w:val="15"/>
                <w:color w:val="auto"/>
              </w:rPr>
              <w:t>Other, net</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412</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1160" w:type="dxa"/>
            <w:vAlign w:val="bottom"/>
            <w:gridSpan w:val="2"/>
          </w:tcPr>
          <w:p>
            <w:pPr>
              <w:jc w:val="right"/>
              <w:ind w:right="10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31,844</w:t>
            </w:r>
          </w:p>
        </w:tc>
        <w:tc>
          <w:tcPr>
            <w:tcW w:w="64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38,728</w:t>
            </w:r>
          </w:p>
        </w:tc>
        <w:tc>
          <w:tcPr>
            <w:tcW w:w="100" w:type="dxa"/>
            <w:vAlign w:val="bottom"/>
          </w:tcPr>
          <w:p>
            <w:pPr>
              <w:spacing w:after="0"/>
              <w:rPr>
                <w:sz w:val="15"/>
                <w:szCs w:val="15"/>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34,964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income taxes for other than continuing operations consisted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w w:val="96"/>
              </w:rPr>
              <w:t>Year Ended December 31,</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67"/>
        </w:trPr>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color w:val="auto"/>
              </w:rPr>
              <w:t>2013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color w:val="auto"/>
              </w:rPr>
              <w:t>2012</w:t>
            </w: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line="167" w:lineRule="exact"/>
              <w:rPr>
                <w:sz w:val="20"/>
                <w:szCs w:val="20"/>
                <w:color w:val="auto"/>
              </w:rPr>
            </w:pPr>
            <w:r>
              <w:rPr>
                <w:rFonts w:ascii="Arial" w:cs="Arial" w:eastAsia="Arial" w:hAnsi="Arial"/>
                <w:sz w:val="15"/>
                <w:szCs w:val="15"/>
                <w:color w:val="auto"/>
              </w:rPr>
              <w:t>2011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0" w:type="dxa"/>
            <w:vAlign w:val="bottom"/>
          </w:tcPr>
          <w:p>
            <w:pPr>
              <w:spacing w:after="0"/>
              <w:rPr>
                <w:sz w:val="14"/>
                <w:szCs w:val="14"/>
                <w:color w:val="auto"/>
              </w:rPr>
            </w:pPr>
          </w:p>
        </w:tc>
        <w:tc>
          <w:tcPr>
            <w:tcW w:w="50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w w:val="88"/>
              </w:rPr>
              <w:t>Income tax expense (benefit) related to components of other comprehensive income:</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Change in fair value of cash flow swaps</w:t>
            </w:r>
          </w:p>
        </w:tc>
        <w:tc>
          <w:tcPr>
            <w:tcW w:w="500" w:type="dxa"/>
            <w:vAlign w:val="bottom"/>
            <w:gridSpan w:val="2"/>
          </w:tcPr>
          <w:p>
            <w:pPr>
              <w:jc w:val="right"/>
              <w:ind w:right="207"/>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338</w:t>
            </w:r>
          </w:p>
        </w:tc>
        <w:tc>
          <w:tcPr>
            <w:tcW w:w="2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133</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(728)</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available-for-sale securities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(360)</w:t>
            </w:r>
          </w:p>
        </w:tc>
        <w:tc>
          <w:tcPr>
            <w:tcW w:w="60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6"/>
        </w:trPr>
        <w:tc>
          <w:tcPr>
            <w:tcW w:w="580" w:type="dxa"/>
            <w:vAlign w:val="bottom"/>
          </w:tcPr>
          <w:p>
            <w:pPr>
              <w:spacing w:after="0"/>
              <w:rPr>
                <w:sz w:val="14"/>
                <w:szCs w:val="14"/>
                <w:color w:val="auto"/>
              </w:rPr>
            </w:pPr>
          </w:p>
        </w:tc>
        <w:tc>
          <w:tcPr>
            <w:tcW w:w="5020" w:type="dxa"/>
            <w:vAlign w:val="bottom"/>
          </w:tcPr>
          <w:p>
            <w:pPr>
              <w:spacing w:after="0" w:line="166" w:lineRule="exact"/>
              <w:rPr>
                <w:sz w:val="20"/>
                <w:szCs w:val="20"/>
                <w:color w:val="auto"/>
              </w:rPr>
            </w:pPr>
            <w:r>
              <w:rPr>
                <w:rFonts w:ascii="Arial" w:cs="Arial" w:eastAsia="Arial" w:hAnsi="Arial"/>
                <w:sz w:val="15"/>
                <w:szCs w:val="15"/>
                <w:color w:val="auto"/>
              </w:rPr>
              <w:t>Total</w:t>
            </w:r>
          </w:p>
        </w:tc>
        <w:tc>
          <w:tcPr>
            <w:tcW w:w="140" w:type="dxa"/>
            <w:vAlign w:val="bottom"/>
          </w:tcPr>
          <w:p>
            <w:pPr>
              <w:spacing w:after="0"/>
              <w:rPr>
                <w:sz w:val="14"/>
                <w:szCs w:val="14"/>
                <w:color w:val="auto"/>
              </w:rPr>
            </w:pPr>
          </w:p>
        </w:tc>
        <w:tc>
          <w:tcPr>
            <w:tcW w:w="360" w:type="dxa"/>
            <w:vAlign w:val="bottom"/>
          </w:tcPr>
          <w:p>
            <w:pPr>
              <w:jc w:val="right"/>
              <w:ind w:right="207"/>
              <w:spacing w:after="0" w:line="166"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338</w:t>
            </w:r>
          </w:p>
        </w:tc>
        <w:tc>
          <w:tcPr>
            <w:tcW w:w="200" w:type="dxa"/>
            <w:vAlign w:val="bottom"/>
          </w:tcPr>
          <w:p>
            <w:pPr>
              <w:spacing w:after="0"/>
              <w:rPr>
                <w:sz w:val="14"/>
                <w:szCs w:val="14"/>
                <w:color w:val="auto"/>
              </w:rPr>
            </w:pPr>
          </w:p>
        </w:tc>
        <w:tc>
          <w:tcPr>
            <w:tcW w:w="360" w:type="dxa"/>
            <w:vAlign w:val="bottom"/>
          </w:tcPr>
          <w:p>
            <w:pPr>
              <w:spacing w:after="0" w:line="166"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124</w:t>
            </w:r>
          </w:p>
        </w:tc>
        <w:tc>
          <w:tcPr>
            <w:tcW w:w="480" w:type="dxa"/>
            <w:vAlign w:val="bottom"/>
          </w:tcPr>
          <w:p>
            <w:pPr>
              <w:jc w:val="right"/>
              <w:ind w:right="327"/>
              <w:spacing w:after="0" w:line="166"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(1,088)</w:t>
            </w:r>
          </w:p>
        </w:tc>
        <w:tc>
          <w:tcPr>
            <w:tcW w:w="600" w:type="dxa"/>
            <w:vAlign w:val="bottom"/>
          </w:tcPr>
          <w:p>
            <w:pPr>
              <w:spacing w:after="0"/>
              <w:rPr>
                <w:sz w:val="14"/>
                <w:szCs w:val="14"/>
                <w:color w:val="auto"/>
              </w:rPr>
            </w:pPr>
          </w:p>
        </w:tc>
      </w:tr>
      <w:tr>
        <w:trPr>
          <w:trHeight w:val="166"/>
        </w:trPr>
        <w:tc>
          <w:tcPr>
            <w:tcW w:w="58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Paid in capital – stock based compensation</w:t>
            </w:r>
          </w:p>
        </w:tc>
        <w:tc>
          <w:tcPr>
            <w:tcW w:w="14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(2,566)</w:t>
            </w:r>
          </w:p>
        </w:tc>
        <w:tc>
          <w:tcPr>
            <w:tcW w:w="360" w:type="dxa"/>
            <w:vAlign w:val="bottom"/>
          </w:tcPr>
          <w:p>
            <w:pPr>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(1,668)</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(1,993)</w:t>
            </w:r>
          </w:p>
        </w:tc>
        <w:tc>
          <w:tcPr>
            <w:tcW w:w="600" w:type="dxa"/>
            <w:vAlign w:val="bottom"/>
          </w:tcPr>
          <w:p>
            <w:pPr>
              <w:spacing w:after="0"/>
              <w:rPr>
                <w:sz w:val="15"/>
                <w:szCs w:val="15"/>
                <w:color w:val="auto"/>
              </w:rPr>
            </w:pPr>
          </w:p>
        </w:tc>
      </w:tr>
      <w:tr>
        <w:trPr>
          <w:trHeight w:val="20"/>
        </w:trPr>
        <w:tc>
          <w:tcPr>
            <w:tcW w:w="5740" w:type="dxa"/>
            <w:vAlign w:val="bottom"/>
            <w:gridSpan w:val="3"/>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39"/>
        </w:trPr>
        <w:tc>
          <w:tcPr>
            <w:tcW w:w="7500" w:type="dxa"/>
            <w:vAlign w:val="bottom"/>
            <w:gridSpan w:val="6"/>
          </w:tcPr>
          <w:p>
            <w:pPr>
              <w:spacing w:after="0"/>
              <w:rPr>
                <w:sz w:val="20"/>
                <w:szCs w:val="20"/>
                <w:color w:val="auto"/>
              </w:rPr>
            </w:pPr>
            <w:r>
              <w:rPr>
                <w:rFonts w:ascii="Arial" w:cs="Arial" w:eastAsia="Arial" w:hAnsi="Arial"/>
                <w:sz w:val="15"/>
                <w:szCs w:val="15"/>
                <w:color w:val="auto"/>
                <w:w w:val="90"/>
              </w:rPr>
              <w:t>The following summarizes the components of deferred tax assets and liabilities included in the balance sheet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4"/>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5"/>
                <w:szCs w:val="15"/>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color w:val="auto"/>
              </w:rPr>
              <w:t>2013</w:t>
            </w: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line="167" w:lineRule="exact"/>
              <w:rPr>
                <w:sz w:val="20"/>
                <w:szCs w:val="20"/>
                <w:color w:val="auto"/>
              </w:rPr>
            </w:pPr>
            <w:r>
              <w:rPr>
                <w:rFonts w:ascii="Arial" w:cs="Arial" w:eastAsia="Arial" w:hAnsi="Arial"/>
                <w:sz w:val="15"/>
                <w:szCs w:val="15"/>
                <w:color w:val="auto"/>
              </w:rPr>
              <w:t>2012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0" w:type="dxa"/>
            <w:vAlign w:val="bottom"/>
          </w:tcPr>
          <w:p>
            <w:pPr>
              <w:spacing w:after="0"/>
              <w:rPr>
                <w:sz w:val="14"/>
                <w:szCs w:val="14"/>
                <w:color w:val="auto"/>
              </w:rPr>
            </w:pPr>
          </w:p>
        </w:tc>
        <w:tc>
          <w:tcPr>
            <w:tcW w:w="50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Current:</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Deferred tax assets: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Inventory</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4,673</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4,424</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80"/>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304</w:t>
            </w: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164</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Capital lease obligations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3,821</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4,604</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80"/>
              <w:spacing w:after="0"/>
              <w:rPr>
                <w:sz w:val="20"/>
                <w:szCs w:val="20"/>
                <w:color w:val="auto"/>
              </w:rPr>
            </w:pPr>
            <w:r>
              <w:rPr>
                <w:rFonts w:ascii="Arial" w:cs="Arial" w:eastAsia="Arial" w:hAnsi="Arial"/>
                <w:sz w:val="15"/>
                <w:szCs w:val="15"/>
                <w:color w:val="auto"/>
              </w:rPr>
              <w:t>Stock options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1,474</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1,409</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liabilities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4,531</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2,337</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80"/>
              <w:spacing w:after="0"/>
              <w:rPr>
                <w:sz w:val="20"/>
                <w:szCs w:val="20"/>
                <w:color w:val="auto"/>
              </w:rPr>
            </w:pPr>
            <w:r>
              <w:rPr>
                <w:rFonts w:ascii="Arial" w:cs="Arial" w:eastAsia="Arial" w:hAnsi="Arial"/>
                <w:sz w:val="15"/>
                <w:szCs w:val="15"/>
                <w:color w:val="auto"/>
              </w:rPr>
              <w:t>State net operating loss carry forward</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1,071</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905</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State tax credit</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403</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477</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8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310</w:t>
            </w:r>
          </w:p>
        </w:tc>
        <w:tc>
          <w:tcPr>
            <w:tcW w:w="600" w:type="dxa"/>
            <w:vAlign w:val="bottom"/>
          </w:tcPr>
          <w:p>
            <w:pPr>
              <w:spacing w:after="0"/>
              <w:rPr>
                <w:sz w:val="15"/>
                <w:szCs w:val="15"/>
                <w:color w:val="auto"/>
              </w:rPr>
            </w:pPr>
          </w:p>
        </w:tc>
      </w:tr>
      <w:tr>
        <w:trPr>
          <w:trHeight w:val="206"/>
        </w:trPr>
        <w:tc>
          <w:tcPr>
            <w:tcW w:w="580" w:type="dxa"/>
            <w:vAlign w:val="bottom"/>
          </w:tcPr>
          <w:p>
            <w:pPr>
              <w:spacing w:after="0"/>
              <w:rPr>
                <w:sz w:val="17"/>
                <w:szCs w:val="17"/>
                <w:color w:val="auto"/>
              </w:rPr>
            </w:pPr>
          </w:p>
        </w:tc>
        <w:tc>
          <w:tcPr>
            <w:tcW w:w="502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Current deferred tax asset</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left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16,277</w:t>
            </w: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7"/>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14,630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Pr>
          <w:p>
            <w:pPr>
              <w:spacing w:after="0"/>
              <w:rPr>
                <w:sz w:val="17"/>
                <w:szCs w:val="17"/>
                <w:color w:val="auto"/>
              </w:rPr>
            </w:pPr>
          </w:p>
        </w:tc>
      </w:tr>
      <w:tr>
        <w:trPr>
          <w:trHeight w:val="148"/>
        </w:trPr>
        <w:tc>
          <w:tcPr>
            <w:tcW w:w="5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Non-Current:</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Deferred tax assets: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Capital lease obligations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13,002</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13,811</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180"/>
              <w:spacing w:after="0"/>
              <w:rPr>
                <w:sz w:val="20"/>
                <w:szCs w:val="20"/>
                <w:color w:val="auto"/>
              </w:rPr>
            </w:pPr>
            <w:r>
              <w:rPr>
                <w:rFonts w:ascii="Arial" w:cs="Arial" w:eastAsia="Arial" w:hAnsi="Arial"/>
                <w:sz w:val="15"/>
                <w:szCs w:val="15"/>
                <w:color w:val="auto"/>
              </w:rPr>
              <w:t>Stock options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5,894</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5,635</w:t>
            </w: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1,679</w:t>
            </w:r>
          </w:p>
        </w:tc>
        <w:tc>
          <w:tcPr>
            <w:tcW w:w="60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6"/>
        </w:trPr>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20,717</w:t>
            </w:r>
          </w:p>
        </w:tc>
        <w:tc>
          <w:tcPr>
            <w:tcW w:w="480" w:type="dxa"/>
            <w:vAlign w:val="bottom"/>
          </w:tcPr>
          <w:p>
            <w:pPr>
              <w:spacing w:after="0"/>
              <w:rPr>
                <w:sz w:val="14"/>
                <w:szCs w:val="14"/>
                <w:color w:val="auto"/>
              </w:rPr>
            </w:pPr>
          </w:p>
        </w:tc>
        <w:tc>
          <w:tcPr>
            <w:tcW w:w="116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21,125</w:t>
            </w:r>
          </w:p>
        </w:tc>
        <w:tc>
          <w:tcPr>
            <w:tcW w:w="60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liabilities: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tcPr>
          <w:p>
            <w:pPr>
              <w:ind w:left="260"/>
              <w:spacing w:after="0"/>
              <w:rPr>
                <w:sz w:val="20"/>
                <w:szCs w:val="20"/>
                <w:color w:val="auto"/>
              </w:rPr>
            </w:pPr>
            <w:r>
              <w:rPr>
                <w:rFonts w:ascii="Arial" w:cs="Arial" w:eastAsia="Arial" w:hAnsi="Arial"/>
                <w:sz w:val="15"/>
                <w:szCs w:val="15"/>
                <w:color w:val="auto"/>
              </w:rPr>
              <w:t>Difference between book and tax basis-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(168,539)</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(144,881)</w:t>
            </w:r>
          </w:p>
        </w:tc>
        <w:tc>
          <w:tcPr>
            <w:tcW w:w="600" w:type="dxa"/>
            <w:vAlign w:val="bottom"/>
          </w:tcPr>
          <w:p>
            <w:pPr>
              <w:spacing w:after="0"/>
              <w:rPr>
                <w:sz w:val="15"/>
                <w:szCs w:val="15"/>
                <w:color w:val="auto"/>
              </w:rPr>
            </w:pPr>
          </w:p>
        </w:tc>
      </w:tr>
      <w:tr>
        <w:trPr>
          <w:trHeight w:val="166"/>
        </w:trPr>
        <w:tc>
          <w:tcPr>
            <w:tcW w:w="580" w:type="dxa"/>
            <w:vAlign w:val="bottom"/>
          </w:tcPr>
          <w:p>
            <w:pPr>
              <w:spacing w:after="0"/>
              <w:rPr>
                <w:sz w:val="14"/>
                <w:szCs w:val="14"/>
                <w:color w:val="auto"/>
              </w:rPr>
            </w:pPr>
          </w:p>
        </w:tc>
        <w:tc>
          <w:tcPr>
            <w:tcW w:w="50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0" w:type="dxa"/>
            <w:vAlign w:val="bottom"/>
          </w:tcPr>
          <w:p>
            <w:pPr>
              <w:spacing w:after="0"/>
              <w:rPr>
                <w:sz w:val="14"/>
                <w:szCs w:val="14"/>
                <w:color w:val="auto"/>
              </w:rPr>
            </w:pPr>
          </w:p>
        </w:tc>
      </w:tr>
      <w:tr>
        <w:trPr>
          <w:trHeight w:val="195"/>
        </w:trPr>
        <w:tc>
          <w:tcPr>
            <w:tcW w:w="58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Net non-current tax liability</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(147,822)</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(123,756)</w:t>
            </w:r>
          </w:p>
        </w:tc>
        <w:tc>
          <w:tcPr>
            <w:tcW w:w="60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21"/>
        </w:trPr>
        <w:tc>
          <w:tcPr>
            <w:tcW w:w="5600" w:type="dxa"/>
            <w:vAlign w:val="bottom"/>
            <w:gridSpan w:val="2"/>
          </w:tcPr>
          <w:p>
            <w:pPr>
              <w:spacing w:after="0"/>
              <w:rPr>
                <w:sz w:val="20"/>
                <w:szCs w:val="20"/>
                <w:color w:val="auto"/>
              </w:rPr>
            </w:pPr>
            <w:r>
              <w:rPr>
                <w:rFonts w:ascii="Arial" w:cs="Arial" w:eastAsia="Arial" w:hAnsi="Arial"/>
                <w:sz w:val="15"/>
                <w:szCs w:val="15"/>
                <w:color w:val="auto"/>
                <w:w w:val="88"/>
              </w:rPr>
              <w:t>The Company’s various state net operating loss carry forwards expire from 2014 through 2034.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6"/>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00" w:type="dxa"/>
            <w:vAlign w:val="bottom"/>
            <w:gridSpan w:val="2"/>
          </w:tcPr>
          <w:p>
            <w:pPr>
              <w:jc w:val="right"/>
              <w:ind w:right="227"/>
              <w:spacing w:after="0"/>
              <w:rPr>
                <w:sz w:val="20"/>
                <w:szCs w:val="20"/>
                <w:color w:val="auto"/>
              </w:rPr>
            </w:pPr>
            <w:r>
              <w:rPr>
                <w:rFonts w:ascii="Arial" w:cs="Arial" w:eastAsia="Arial" w:hAnsi="Arial"/>
                <w:sz w:val="15"/>
                <w:szCs w:val="15"/>
                <w:color w:val="auto"/>
              </w:rPr>
              <w:t>70</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7"/>
        </w:trPr>
        <w:tc>
          <w:tcPr>
            <w:tcW w:w="58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73" w:name="page74"/>
    <w:bookmarkEnd w:id="73"/>
    <w:p>
      <w:pPr>
        <w:jc w:val="both"/>
        <w:spacing w:after="0" w:line="269" w:lineRule="auto"/>
        <w:rPr>
          <w:sz w:val="20"/>
          <w:szCs w:val="20"/>
          <w:color w:val="auto"/>
        </w:rPr>
      </w:pPr>
      <w:r>
        <w:rPr>
          <w:rFonts w:ascii="Arial" w:cs="Arial" w:eastAsia="Arial" w:hAnsi="Arial"/>
          <w:sz w:val="14"/>
          <w:szCs w:val="14"/>
          <w:color w:val="auto"/>
        </w:rPr>
        <w:t>The Company included accruals for unrecognized income tax benefits totaling $1.5 million as a component of accrued liabilities as of December 31, 2013, and $1.4 million as of December 31, 2012. The unrecognized tax benefits, if recognized, would impact the Company’s effective tax rate. An unfavorable settlement would require a charge to income tax expense and a favorable resolution would be recognized as a reduction to income tax expense. The Company records interest and penalties related to unrecognized income tax benefits in income tax expense. The Company had accrued interest of $81,000 at December 31, 2013 and $49,000 at December 31, 2012 related to unrecognized tax benefits. The Company recognized approximately ($31,598) in interest in 2013, compared to ($2,294) in 2012, and ($78,748) in 2011. No amounts were accrued for penalties.</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Company does not anticipate a significant change in the amount of unrecognized tax benefits in the next 12 months. As of December 31, 2013, the tax years ended December 31, 2010 through 2013 remained subject to audit by federal tax authorities and the tax years ended December 31, 2009 through 2013, remained subject to audit by state tax authorities.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change in the unrecognized tax benefits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rPr>
              <w:t>2013</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2012</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5"/>
                <w:szCs w:val="15"/>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Unrecognized tax benefits at beginning of period</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1,409</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7"/>
              <w:spacing w:after="0" w:line="167"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1,337</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1,466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5"/>
                <w:szCs w:val="15"/>
                <w:color w:val="auto"/>
              </w:rPr>
              <w:t>Gross increases – tax positions in current year</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466</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358</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increases – tax positions in a prior year</w:t>
            </w: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3720" w:type="dxa"/>
            <w:vAlign w:val="bottom"/>
            <w:gridSpan w:val="3"/>
            <w:vMerge w:val="restart"/>
          </w:tcPr>
          <w:p>
            <w:pPr>
              <w:ind w:left="280"/>
              <w:spacing w:after="0"/>
              <w:rPr>
                <w:sz w:val="20"/>
                <w:szCs w:val="20"/>
                <w:color w:val="auto"/>
              </w:rPr>
            </w:pPr>
            <w:r>
              <w:rPr>
                <w:rFonts w:ascii="Arial" w:cs="Arial" w:eastAsia="Arial" w:hAnsi="Arial"/>
                <w:sz w:val="15"/>
                <w:szCs w:val="15"/>
                <w:color w:val="auto"/>
              </w:rPr>
              <w:t>Reductions due to lapse of statute of limitations</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(330</w:t>
            </w:r>
          </w:p>
        </w:tc>
        <w:tc>
          <w:tcPr>
            <w:tcW w:w="160" w:type="dxa"/>
            <w:vAlign w:val="bottom"/>
          </w:tcPr>
          <w:p>
            <w:pPr>
              <w:jc w:val="right"/>
              <w:ind w:right="63"/>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(553</w:t>
            </w:r>
          </w:p>
        </w:tc>
        <w:tc>
          <w:tcPr>
            <w:tcW w:w="180" w:type="dxa"/>
            <w:vAlign w:val="bottom"/>
          </w:tcPr>
          <w:p>
            <w:pPr>
              <w:jc w:val="right"/>
              <w:ind w:right="83"/>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1"/>
                <w:szCs w:val="11"/>
                <w:color w:val="auto"/>
              </w:rPr>
            </w:pPr>
          </w:p>
        </w:tc>
        <w:tc>
          <w:tcPr>
            <w:tcW w:w="1300" w:type="dxa"/>
            <w:vAlign w:val="bottom"/>
            <w:gridSpan w:val="2"/>
          </w:tcPr>
          <w:p>
            <w:pPr>
              <w:jc w:val="right"/>
              <w:ind w:right="40"/>
              <w:spacing w:after="0" w:line="13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5"/>
        </w:trPr>
        <w:tc>
          <w:tcPr>
            <w:tcW w:w="880" w:type="dxa"/>
            <w:vAlign w:val="bottom"/>
          </w:tcPr>
          <w:p>
            <w:pPr>
              <w:spacing w:after="0"/>
              <w:rPr>
                <w:sz w:val="4"/>
                <w:szCs w:val="4"/>
                <w:color w:val="auto"/>
              </w:rPr>
            </w:pPr>
          </w:p>
        </w:tc>
        <w:tc>
          <w:tcPr>
            <w:tcW w:w="372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jc w:val="right"/>
              <w:spacing w:after="0" w:line="55" w:lineRule="exact"/>
              <w:rPr>
                <w:sz w:val="20"/>
                <w:szCs w:val="20"/>
                <w:color w:val="auto"/>
              </w:rPr>
            </w:pPr>
            <w:r>
              <w:rPr>
                <w:rFonts w:ascii="Arial" w:cs="Arial" w:eastAsia="Arial" w:hAnsi="Arial"/>
                <w:sz w:val="6"/>
                <w:szCs w:val="6"/>
                <w:color w:val="auto"/>
              </w:rPr>
              <w:t>(538</w:t>
            </w: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Unrecognized tax benefits at end of period</w:t>
            </w:r>
          </w:p>
        </w:tc>
        <w:tc>
          <w:tcPr>
            <w:tcW w:w="960" w:type="dxa"/>
            <w:vAlign w:val="bottom"/>
            <w:gridSpan w:val="2"/>
            <w:shd w:val="clear" w:color="auto" w:fill="CCEEFF"/>
          </w:tcPr>
          <w:p>
            <w:pPr>
              <w:jc w:val="right"/>
              <w:ind w:right="248"/>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w:t>
            </w:r>
          </w:p>
        </w:tc>
        <w:tc>
          <w:tcPr>
            <w:tcW w:w="520" w:type="dxa"/>
            <w:vAlign w:val="bottom"/>
            <w:gridSpan w:val="2"/>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80" w:type="dxa"/>
            <w:vAlign w:val="bottom"/>
          </w:tcPr>
          <w:p>
            <w:pPr>
              <w:jc w:val="right"/>
              <w:ind w:right="627"/>
              <w:spacing w:after="0"/>
              <w:rPr>
                <w:sz w:val="20"/>
                <w:szCs w:val="20"/>
                <w:color w:val="auto"/>
              </w:rPr>
            </w:pPr>
            <w:r>
              <w:rPr>
                <w:rFonts w:ascii="Arial" w:cs="Arial" w:eastAsia="Arial" w:hAnsi="Arial"/>
                <w:sz w:val="15"/>
                <w:szCs w:val="15"/>
                <w:color w:val="auto"/>
                <w:w w:val="76"/>
              </w:rPr>
              <w:t>14.</w:t>
            </w:r>
          </w:p>
        </w:tc>
        <w:tc>
          <w:tcPr>
            <w:tcW w:w="3720" w:type="dxa"/>
            <w:vAlign w:val="bottom"/>
            <w:gridSpan w:val="3"/>
          </w:tcPr>
          <w:p>
            <w:pPr>
              <w:spacing w:after="0"/>
              <w:rPr>
                <w:sz w:val="20"/>
                <w:szCs w:val="20"/>
                <w:color w:val="auto"/>
              </w:rPr>
            </w:pPr>
            <w:r>
              <w:rPr>
                <w:rFonts w:ascii="Arial" w:cs="Arial" w:eastAsia="Arial" w:hAnsi="Arial"/>
                <w:sz w:val="15"/>
                <w:szCs w:val="15"/>
                <w:color w:val="auto"/>
              </w:rPr>
              <w:t>COMMITMENTS AND CONTINGENCIES:</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has purchase obligations of $23.8 million at December 31, 2013 related to the Company’s construction contracts for facilities in San Antonio, Texas, Orlando, Florida and Dallas, Texas, the Company’s contract with Titan Technology Partners for integration and management services related to the SAP enterprise software and dealership management system implementation and SAP America, Inc. with respect to the Software License Agreement for the SAP enterprise software and dealership management system.</w:t>
      </w:r>
    </w:p>
    <w:p>
      <w:pPr>
        <w:spacing w:after="0" w:line="142" w:lineRule="exact"/>
        <w:rPr>
          <w:sz w:val="20"/>
          <w:szCs w:val="20"/>
          <w:color w:val="auto"/>
        </w:rPr>
      </w:pPr>
    </w:p>
    <w:p>
      <w:pPr>
        <w:ind w:left="880" w:hanging="87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ACQUISITIONS</w:t>
      </w:r>
      <w:r>
        <w:rPr>
          <w:rFonts w:ascii="Arial" w:cs="Arial" w:eastAsia="Arial" w:hAnsi="Arial"/>
          <w:sz w:val="15"/>
          <w:szCs w:val="15"/>
          <w:color w:val="auto"/>
        </w:rPr>
        <w: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On October 28, 2013, the Company acquired certain assets of Prairie International Trucks, which operated International commercial truck dealerships in Champaign, Decatur, Bloomington, Quincy and Springfield, Illinois; a collision center in Champaign, Illinois and Idealease commercial lease and rental operations at the dealerships in Champaign, Decatur, Quincy and Springfield, Illinois.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4" w:name="page75"/>
    <w:bookmarkEnd w:id="74"/>
    <w:p>
      <w:pPr>
        <w:jc w:val="both"/>
        <w:spacing w:after="0" w:line="251" w:lineRule="auto"/>
        <w:rPr>
          <w:sz w:val="20"/>
          <w:szCs w:val="20"/>
          <w:color w:val="auto"/>
        </w:rPr>
      </w:pPr>
      <w:r>
        <w:rPr>
          <w:rFonts w:ascii="Arial" w:cs="Arial" w:eastAsia="Arial" w:hAnsi="Arial"/>
          <w:sz w:val="15"/>
          <w:szCs w:val="15"/>
          <w:color w:val="auto"/>
        </w:rPr>
        <w:t>The transaction was valued at approximately $9.5 million with the purchase price paid in cash. The operations of Prairie International Trucks are included in the accompanying consolidated financial statements from the date of the acquisition. The preliminary purchase price was allocated based on the fair values of the assets and liabilities at the date of acquisition as follows (in thousands):</w:t>
      </w:r>
    </w:p>
    <w:p>
      <w:pPr>
        <w:spacing w:after="0" w:line="213"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256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3,209</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Goodwill</w:t>
            </w:r>
          </w:p>
        </w:tc>
        <w:tc>
          <w:tcPr>
            <w:tcW w:w="1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2,832</w:t>
            </w:r>
          </w:p>
        </w:tc>
        <w:tc>
          <w:tcPr>
            <w:tcW w:w="100" w:type="dxa"/>
            <w:vAlign w:val="bottom"/>
          </w:tcPr>
          <w:p>
            <w:pPr>
              <w:spacing w:after="0"/>
              <w:rPr>
                <w:sz w:val="15"/>
                <w:szCs w:val="15"/>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2,174</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Accounts receivable</w:t>
            </w:r>
          </w:p>
        </w:tc>
        <w:tc>
          <w:tcPr>
            <w:tcW w:w="1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1,401</w:t>
            </w:r>
          </w:p>
        </w:tc>
        <w:tc>
          <w:tcPr>
            <w:tcW w:w="100" w:type="dxa"/>
            <w:vAlign w:val="bottom"/>
          </w:tcPr>
          <w:p>
            <w:pPr>
              <w:spacing w:after="0"/>
              <w:rPr>
                <w:sz w:val="15"/>
                <w:szCs w:val="15"/>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Prepaid expenses</w:t>
            </w:r>
          </w:p>
        </w:tc>
        <w:tc>
          <w:tcPr>
            <w:tcW w:w="1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(56)</w:t>
            </w: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w:t>
            </w: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w:t>
            </w:r>
          </w:p>
        </w:tc>
      </w:tr>
      <w:tr>
        <w:trPr>
          <w:trHeight w:val="166"/>
        </w:trPr>
        <w:tc>
          <w:tcPr>
            <w:tcW w:w="560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95"/>
        </w:trPr>
        <w:tc>
          <w:tcPr>
            <w:tcW w:w="5600" w:type="dxa"/>
            <w:vAlign w:val="bottom"/>
            <w:shd w:val="clear" w:color="auto" w:fill="CCEEFF"/>
          </w:tcPr>
          <w:p>
            <w:pPr>
              <w:ind w:left="3400"/>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9,540</w:t>
            </w:r>
          </w:p>
        </w:tc>
        <w:tc>
          <w:tcPr>
            <w:tcW w:w="100" w:type="dxa"/>
            <w:vAlign w:val="bottom"/>
            <w:shd w:val="clear" w:color="auto" w:fill="CCEEFF"/>
          </w:tcPr>
          <w:p>
            <w:pPr>
              <w:spacing w:after="0"/>
              <w:rPr>
                <w:sz w:val="16"/>
                <w:szCs w:val="16"/>
                <w:color w:val="auto"/>
              </w:rPr>
            </w:pP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All of the goodwill acquired in the Prairie International Trucks acquisition will be amortized over 15 years for tax purposes.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September 30, 2013, the Company acquired certain assets of Transauthority, Inc., Transauthority Idealease, LLC and Transauthority Idealease-Tidewater, LLC, which operated commercial truck dealerships and commercial truck leasing operations in Richmond, Suffolk, Fredericksburg and Chester, Virginia.</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transaction was valued at approximately $41.7 million, including real estate of $11.1 million. The purchase price for the assets of the business was financed under the Company’s floor plan and lease and rental truck financing arrangements with the remainder paid in cash. The operations of Transauthority, Inc., Transauthority Idealease, LLC and Transauthority Idealease-Tidewater, LLC are included in the accompanying consolidated financial statements from the date of the acquisition. The preliminary purchase price was allocated based on the fair values of the assets and liabilities at the date of acquisition as follows (in thousands):</w:t>
      </w:r>
    </w:p>
    <w:p>
      <w:pPr>
        <w:spacing w:after="0" w:line="172"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252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26,829</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Goodwill</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7,727</w:t>
            </w:r>
          </w:p>
        </w:tc>
        <w:tc>
          <w:tcPr>
            <w:tcW w:w="100" w:type="dxa"/>
            <w:vAlign w:val="bottom"/>
          </w:tcPr>
          <w:p>
            <w:pPr>
              <w:spacing w:after="0"/>
              <w:rPr>
                <w:sz w:val="15"/>
                <w:szCs w:val="15"/>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1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5,248</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Accounts receivable</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1,554</w:t>
            </w:r>
          </w:p>
        </w:tc>
        <w:tc>
          <w:tcPr>
            <w:tcW w:w="100" w:type="dxa"/>
            <w:vAlign w:val="bottom"/>
          </w:tcPr>
          <w:p>
            <w:pPr>
              <w:spacing w:after="0"/>
              <w:rPr>
                <w:sz w:val="15"/>
                <w:szCs w:val="15"/>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1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Other</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5"/>
                <w:szCs w:val="15"/>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w:t>
            </w:r>
          </w:p>
        </w:tc>
        <w:tc>
          <w:tcPr>
            <w:tcW w:w="1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(213)</w:t>
            </w:r>
          </w:p>
        </w:tc>
      </w:tr>
      <w:tr>
        <w:trPr>
          <w:trHeight w:val="166"/>
        </w:trPr>
        <w:tc>
          <w:tcPr>
            <w:tcW w:w="560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95"/>
        </w:trPr>
        <w:tc>
          <w:tcPr>
            <w:tcW w:w="5600" w:type="dxa"/>
            <w:vAlign w:val="bottom"/>
            <w:shd w:val="clear" w:color="auto" w:fill="CCEEFF"/>
          </w:tcPr>
          <w:p>
            <w:pPr>
              <w:ind w:left="3400"/>
              <w:spacing w:after="0"/>
              <w:rPr>
                <w:sz w:val="20"/>
                <w:szCs w:val="20"/>
                <w:color w:val="auto"/>
              </w:rPr>
            </w:pPr>
            <w:r>
              <w:rPr>
                <w:rFonts w:ascii="Arial" w:cs="Arial" w:eastAsia="Arial" w:hAnsi="Arial"/>
                <w:sz w:val="15"/>
                <w:szCs w:val="15"/>
                <w:color w:val="auto"/>
              </w:rPr>
              <w:t>Total</w:t>
            </w:r>
          </w:p>
        </w:tc>
        <w:tc>
          <w:tcPr>
            <w:tcW w:w="252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41,682</w:t>
            </w:r>
          </w:p>
        </w:tc>
        <w:tc>
          <w:tcPr>
            <w:tcW w:w="100" w:type="dxa"/>
            <w:vAlign w:val="bottom"/>
            <w:shd w:val="clear" w:color="auto" w:fill="CCEEFF"/>
          </w:tcPr>
          <w:p>
            <w:pPr>
              <w:spacing w:after="0"/>
              <w:rPr>
                <w:sz w:val="16"/>
                <w:szCs w:val="16"/>
                <w:color w:val="auto"/>
              </w:rPr>
            </w:pP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All of the goodwill acquired in the Transauthority acquisition will be amortized over 15 years for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On July 29, 2013, the Company acquired certain assets of Midwest Truck Sales, which operated commercial truck dealerships in St. Peters and St. Louis, Missouri and Olathe, Kansas.</w:t>
      </w:r>
    </w:p>
    <w:p>
      <w:pPr>
        <w:spacing w:after="0" w:line="232"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The transaction was valued at approximately $16.8 million, including real estate of $2.3 million. The purchase price for the assets of the business was financed under the Company’s floor plan and lease and rental truck financing arrangements with the remainder paid in cash. The operations of Midwest Truck Sales are included in the accompanying consolidated financial statements from the date of the acquisition. The preliminary purchase price was allocated based on the fair values of the assets at the date of acquisition as follows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6,792</w:t>
            </w:r>
          </w:p>
        </w:tc>
        <w:tc>
          <w:tcPr>
            <w:tcW w:w="100" w:type="dxa"/>
            <w:vAlign w:val="bottom"/>
            <w:shd w:val="clear" w:color="auto" w:fill="CCEEFF"/>
          </w:tcPr>
          <w:p>
            <w:pPr>
              <w:spacing w:after="0"/>
              <w:rPr>
                <w:sz w:val="15"/>
                <w:szCs w:val="15"/>
                <w:color w:val="auto"/>
              </w:rPr>
            </w:pPr>
          </w:p>
        </w:tc>
      </w:tr>
      <w:tr>
        <w:trPr>
          <w:trHeight w:val="175"/>
        </w:trPr>
        <w:tc>
          <w:tcPr>
            <w:tcW w:w="7520" w:type="dxa"/>
            <w:vAlign w:val="bottom"/>
          </w:tcPr>
          <w:p>
            <w:pPr>
              <w:spacing w:after="0"/>
              <w:rPr>
                <w:sz w:val="20"/>
                <w:szCs w:val="20"/>
                <w:color w:val="auto"/>
              </w:rPr>
            </w:pPr>
            <w:r>
              <w:rPr>
                <w:rFonts w:ascii="Arial" w:cs="Arial" w:eastAsia="Arial" w:hAnsi="Arial"/>
                <w:sz w:val="15"/>
                <w:szCs w:val="15"/>
                <w:color w:val="auto"/>
              </w:rPr>
              <w:t>Goodwill</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5,624</w:t>
            </w:r>
          </w:p>
        </w:tc>
        <w:tc>
          <w:tcPr>
            <w:tcW w:w="100" w:type="dxa"/>
            <w:vAlign w:val="bottom"/>
          </w:tcPr>
          <w:p>
            <w:pPr>
              <w:spacing w:after="0"/>
              <w:rPr>
                <w:sz w:val="15"/>
                <w:szCs w:val="15"/>
                <w:color w:val="auto"/>
              </w:rPr>
            </w:pPr>
          </w:p>
        </w:tc>
      </w:tr>
      <w:tr>
        <w:trPr>
          <w:trHeight w:val="175"/>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4,333</w:t>
            </w:r>
          </w:p>
        </w:tc>
        <w:tc>
          <w:tcPr>
            <w:tcW w:w="100" w:type="dxa"/>
            <w:vAlign w:val="bottom"/>
            <w:shd w:val="clear" w:color="auto" w:fill="CCEEFF"/>
          </w:tcPr>
          <w:p>
            <w:pPr>
              <w:spacing w:after="0"/>
              <w:rPr>
                <w:sz w:val="15"/>
                <w:szCs w:val="15"/>
                <w:color w:val="auto"/>
              </w:rPr>
            </w:pPr>
          </w:p>
        </w:tc>
      </w:tr>
      <w:tr>
        <w:trPr>
          <w:trHeight w:val="175"/>
        </w:trPr>
        <w:tc>
          <w:tcPr>
            <w:tcW w:w="7520" w:type="dxa"/>
            <w:vAlign w:val="bottom"/>
          </w:tcPr>
          <w:p>
            <w:pPr>
              <w:spacing w:after="0"/>
              <w:rPr>
                <w:sz w:val="20"/>
                <w:szCs w:val="20"/>
                <w:color w:val="auto"/>
              </w:rPr>
            </w:pPr>
            <w:r>
              <w:rPr>
                <w:rFonts w:ascii="Arial" w:cs="Arial" w:eastAsia="Arial" w:hAnsi="Arial"/>
                <w:sz w:val="15"/>
                <w:szCs w:val="15"/>
                <w:color w:val="auto"/>
              </w:rPr>
              <w:t>Prepaid expenses</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5"/>
                <w:szCs w:val="15"/>
                <w:color w:val="auto"/>
              </w:rPr>
            </w:pPr>
          </w:p>
        </w:tc>
      </w:tr>
      <w:tr>
        <w:trPr>
          <w:trHeight w:val="175"/>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5"/>
                <w:szCs w:val="15"/>
                <w:color w:val="auto"/>
              </w:rPr>
            </w:pPr>
          </w:p>
        </w:tc>
      </w:tr>
      <w:tr>
        <w:trPr>
          <w:trHeight w:val="175"/>
        </w:trPr>
        <w:tc>
          <w:tcPr>
            <w:tcW w:w="7520" w:type="dxa"/>
            <w:vAlign w:val="bottom"/>
          </w:tcPr>
          <w:p>
            <w:pPr>
              <w:spacing w:after="0"/>
              <w:rPr>
                <w:sz w:val="20"/>
                <w:szCs w:val="20"/>
                <w:color w:val="auto"/>
              </w:rPr>
            </w:pPr>
            <w:r>
              <w:rPr>
                <w:rFonts w:ascii="Arial" w:cs="Arial" w:eastAsia="Arial" w:hAnsi="Arial"/>
                <w:sz w:val="15"/>
                <w:szCs w:val="15"/>
                <w:color w:val="auto"/>
              </w:rPr>
              <w:t>Accrued expenses</w:t>
            </w:r>
          </w:p>
        </w:tc>
        <w:tc>
          <w:tcPr>
            <w:tcW w:w="6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(61)</w:t>
            </w:r>
          </w:p>
        </w:tc>
      </w:tr>
      <w:tr>
        <w:trPr>
          <w:trHeight w:val="166"/>
        </w:trPr>
        <w:tc>
          <w:tcPr>
            <w:tcW w:w="75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7520" w:type="dxa"/>
            <w:vAlign w:val="bottom"/>
          </w:tcPr>
          <w:p>
            <w:pPr>
              <w:ind w:left="3400"/>
              <w:spacing w:after="0"/>
              <w:rPr>
                <w:sz w:val="20"/>
                <w:szCs w:val="20"/>
                <w:color w:val="auto"/>
              </w:rPr>
            </w:pPr>
            <w:r>
              <w:rPr>
                <w:rFonts w:ascii="Arial" w:cs="Arial" w:eastAsia="Arial" w:hAnsi="Arial"/>
                <w:sz w:val="15"/>
                <w:szCs w:val="15"/>
                <w:color w:val="auto"/>
              </w:rPr>
              <w:t>Total</w:t>
            </w:r>
          </w:p>
        </w:tc>
        <w:tc>
          <w:tcPr>
            <w:tcW w:w="6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16,780</w:t>
            </w:r>
          </w:p>
        </w:tc>
        <w:tc>
          <w:tcPr>
            <w:tcW w:w="100" w:type="dxa"/>
            <w:vAlign w:val="bottom"/>
          </w:tcPr>
          <w:p>
            <w:pPr>
              <w:spacing w:after="0"/>
              <w:rPr>
                <w:sz w:val="15"/>
                <w:szCs w:val="15"/>
                <w:color w:val="auto"/>
              </w:rPr>
            </w:pPr>
          </w:p>
        </w:tc>
      </w:tr>
      <w:tr>
        <w:trPr>
          <w:trHeight w:val="20"/>
        </w:trPr>
        <w:tc>
          <w:tcPr>
            <w:tcW w:w="7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All of the goodwill acquired in the Midwest Truck Sales acquisition will be amortized over 15 years for tax purposes.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15"/>
          <w:szCs w:val="15"/>
          <w:color w:val="auto"/>
        </w:rPr>
        <w:t>On July 1, 2013, the Company acquired certain assets of The Larson Group, Inc., which included Ford and Mitsubishi Fuso truck franchises in Cincinnati Ohio. The transaction was valued at approximately $1.2 million, with the purchase price paid in cash.</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On May 6, 2013, the Company acquired certain assets of Piedmont International Trucks, LLC, which operated commercial truck dealerships in Statesville, Hickory and Asheville, North Carolina. The acquisition included International and Idealease franchises. These locations are operating as Rush Truck Centers and offer commercial vehicles manufactured by International in addition to parts, service, body shop, leasing, financing and insurance capabilities.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the value of certain assets and liabilities acquired in 2013 are preliminary in nature, they are subject to adjustment as additional information is obtained about the facts and circumstances that existed at the acquisition date.</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transaction was valued at approximately $3.5 million. The purchase price for the assets of the business was financed under the Company’s floor plan and lease and rental truck financing arrangements with the remainder paid in cash. The operations of Piedmont International Trucks, LLC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256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1,720</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Property and equipment</w:t>
            </w:r>
          </w:p>
        </w:tc>
        <w:tc>
          <w:tcPr>
            <w:tcW w:w="1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1,485</w:t>
            </w:r>
          </w:p>
        </w:tc>
        <w:tc>
          <w:tcPr>
            <w:tcW w:w="100" w:type="dxa"/>
            <w:vAlign w:val="bottom"/>
          </w:tcPr>
          <w:p>
            <w:pPr>
              <w:spacing w:after="0"/>
              <w:rPr>
                <w:sz w:val="15"/>
                <w:szCs w:val="15"/>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Accounts receivable</w:t>
            </w:r>
          </w:p>
        </w:tc>
        <w:tc>
          <w:tcPr>
            <w:tcW w:w="1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364</w:t>
            </w:r>
          </w:p>
        </w:tc>
        <w:tc>
          <w:tcPr>
            <w:tcW w:w="100" w:type="dxa"/>
            <w:vAlign w:val="bottom"/>
          </w:tcPr>
          <w:p>
            <w:pPr>
              <w:spacing w:after="0"/>
              <w:rPr>
                <w:sz w:val="15"/>
                <w:szCs w:val="15"/>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w:t>
            </w: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w:t>
            </w:r>
          </w:p>
        </w:tc>
      </w:tr>
      <w:tr>
        <w:trPr>
          <w:trHeight w:val="166"/>
        </w:trPr>
        <w:tc>
          <w:tcPr>
            <w:tcW w:w="560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95"/>
        </w:trPr>
        <w:tc>
          <w:tcPr>
            <w:tcW w:w="5600" w:type="dxa"/>
            <w:vAlign w:val="bottom"/>
            <w:shd w:val="clear" w:color="auto" w:fill="CCEEFF"/>
          </w:tcPr>
          <w:p>
            <w:pPr>
              <w:ind w:left="3400"/>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3,503</w:t>
            </w:r>
          </w:p>
        </w:tc>
        <w:tc>
          <w:tcPr>
            <w:tcW w:w="100" w:type="dxa"/>
            <w:vAlign w:val="bottom"/>
            <w:shd w:val="clear" w:color="auto" w:fill="CCEEFF"/>
          </w:tcPr>
          <w:p>
            <w:pPr>
              <w:spacing w:after="0"/>
              <w:rPr>
                <w:sz w:val="16"/>
                <w:szCs w:val="16"/>
                <w:color w:val="auto"/>
              </w:rPr>
            </w:pP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On December 31, 2012, the Company acquired certain assets of MVI Group, which operated commercial truck and bus dealerships in Ohio under the names of Miami Valley International, Center City International, CCI North Coast and Buckeye Truck Centers. The acquisition included International, IC Bus, and Isuzu franchise locations in Akron, Cincinnati, Cleveland, Columbus, Dayton, Findlay and Lima, Ohio. Rush Truck Leasing now operates Idealease truck rental and leasing franchises in Cincinnati, Cleveland, Columbus, Dayton and Lima, Ohio.</w:t>
      </w:r>
    </w:p>
    <w:p>
      <w:pPr>
        <w:spacing w:after="0" w:line="108" w:lineRule="exact"/>
        <w:rPr>
          <w:sz w:val="20"/>
          <w:szCs w:val="20"/>
          <w:color w:val="auto"/>
        </w:rPr>
      </w:pPr>
    </w:p>
    <w:p>
      <w:pPr>
        <w:jc w:val="both"/>
        <w:spacing w:after="0" w:line="383" w:lineRule="auto"/>
        <w:rPr>
          <w:sz w:val="20"/>
          <w:szCs w:val="20"/>
          <w:color w:val="auto"/>
        </w:rPr>
      </w:pPr>
      <w:r>
        <w:rPr>
          <w:rFonts w:ascii="Arial" w:cs="Arial" w:eastAsia="Arial" w:hAnsi="Arial"/>
          <w:sz w:val="12"/>
          <w:szCs w:val="12"/>
          <w:color w:val="auto"/>
        </w:rPr>
        <w:t>The transaction, including real estate, was valued at approximately $104.5 million. The purchase price for the assets of the business was financed under the Company’s floor plan and lease and rental truck financing arrangements with the remainder paid in cash. The purchase price was allocated based on the fair values of the assets at the date of acquisition as follows (in thousands):</w:t>
      </w:r>
    </w:p>
    <w:p>
      <w:pPr>
        <w:spacing w:after="0" w:line="95"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including real estate</w:t>
            </w:r>
          </w:p>
        </w:tc>
        <w:tc>
          <w:tcPr>
            <w:tcW w:w="560" w:type="dxa"/>
            <w:vAlign w:val="bottom"/>
            <w:shd w:val="clear" w:color="auto" w:fill="CCEEFF"/>
          </w:tcPr>
          <w:p>
            <w:pPr>
              <w:jc w:val="right"/>
              <w:ind w:right="44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29,768</w:t>
            </w:r>
          </w:p>
        </w:tc>
        <w:tc>
          <w:tcPr>
            <w:tcW w:w="100" w:type="dxa"/>
            <w:vAlign w:val="bottom"/>
            <w:shd w:val="clear" w:color="auto" w:fill="CCEEFF"/>
          </w:tcPr>
          <w:p>
            <w:pPr>
              <w:spacing w:after="0"/>
              <w:rPr>
                <w:sz w:val="15"/>
                <w:szCs w:val="15"/>
                <w:color w:val="auto"/>
              </w:rPr>
            </w:pPr>
          </w:p>
        </w:tc>
      </w:tr>
      <w:tr>
        <w:trPr>
          <w:trHeight w:val="175"/>
        </w:trPr>
        <w:tc>
          <w:tcPr>
            <w:tcW w:w="7520" w:type="dxa"/>
            <w:vAlign w:val="bottom"/>
          </w:tcPr>
          <w:p>
            <w:pPr>
              <w:spacing w:after="0"/>
              <w:rPr>
                <w:sz w:val="20"/>
                <w:szCs w:val="20"/>
                <w:color w:val="auto"/>
              </w:rPr>
            </w:pPr>
            <w:r>
              <w:rPr>
                <w:rFonts w:ascii="Arial" w:cs="Arial" w:eastAsia="Arial" w:hAnsi="Arial"/>
                <w:sz w:val="15"/>
                <w:szCs w:val="15"/>
                <w:color w:val="auto"/>
              </w:rPr>
              <w:t>Inventory</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51,476</w:t>
            </w:r>
          </w:p>
        </w:tc>
        <w:tc>
          <w:tcPr>
            <w:tcW w:w="100" w:type="dxa"/>
            <w:vAlign w:val="bottom"/>
          </w:tcPr>
          <w:p>
            <w:pPr>
              <w:spacing w:after="0"/>
              <w:rPr>
                <w:sz w:val="15"/>
                <w:szCs w:val="15"/>
                <w:color w:val="auto"/>
              </w:rPr>
            </w:pPr>
          </w:p>
        </w:tc>
      </w:tr>
      <w:tr>
        <w:trPr>
          <w:trHeight w:val="175"/>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5,638</w:t>
            </w:r>
          </w:p>
        </w:tc>
        <w:tc>
          <w:tcPr>
            <w:tcW w:w="100" w:type="dxa"/>
            <w:vAlign w:val="bottom"/>
            <w:shd w:val="clear" w:color="auto" w:fill="CCEEFF"/>
          </w:tcPr>
          <w:p>
            <w:pPr>
              <w:spacing w:after="0"/>
              <w:rPr>
                <w:sz w:val="15"/>
                <w:szCs w:val="15"/>
                <w:color w:val="auto"/>
              </w:rPr>
            </w:pPr>
          </w:p>
        </w:tc>
      </w:tr>
      <w:tr>
        <w:trPr>
          <w:trHeight w:val="175"/>
        </w:trPr>
        <w:tc>
          <w:tcPr>
            <w:tcW w:w="7520" w:type="dxa"/>
            <w:vAlign w:val="bottom"/>
          </w:tcPr>
          <w:p>
            <w:pPr>
              <w:spacing w:after="0"/>
              <w:rPr>
                <w:sz w:val="20"/>
                <w:szCs w:val="20"/>
                <w:color w:val="auto"/>
              </w:rPr>
            </w:pPr>
            <w:r>
              <w:rPr>
                <w:rFonts w:ascii="Arial" w:cs="Arial" w:eastAsia="Arial" w:hAnsi="Arial"/>
                <w:sz w:val="15"/>
                <w:szCs w:val="15"/>
                <w:color w:val="auto"/>
              </w:rPr>
              <w:t>Prepaid expenses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488</w:t>
            </w:r>
          </w:p>
        </w:tc>
        <w:tc>
          <w:tcPr>
            <w:tcW w:w="100" w:type="dxa"/>
            <w:vAlign w:val="bottom"/>
          </w:tcPr>
          <w:p>
            <w:pPr>
              <w:spacing w:after="0"/>
              <w:rPr>
                <w:sz w:val="15"/>
                <w:szCs w:val="15"/>
                <w:color w:val="auto"/>
              </w:rPr>
            </w:pPr>
          </w:p>
        </w:tc>
      </w:tr>
      <w:tr>
        <w:trPr>
          <w:trHeight w:val="175"/>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w:t>
            </w:r>
          </w:p>
        </w:tc>
        <w:tc>
          <w:tcPr>
            <w:tcW w:w="5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(200)</w:t>
            </w:r>
          </w:p>
        </w:tc>
      </w:tr>
      <w:tr>
        <w:trPr>
          <w:trHeight w:val="175"/>
        </w:trPr>
        <w:tc>
          <w:tcPr>
            <w:tcW w:w="7520" w:type="dxa"/>
            <w:vAlign w:val="bottom"/>
          </w:tcPr>
          <w:p>
            <w:pPr>
              <w:spacing w:after="0"/>
              <w:rPr>
                <w:sz w:val="20"/>
                <w:szCs w:val="20"/>
                <w:color w:val="auto"/>
              </w:rPr>
            </w:pPr>
            <w:r>
              <w:rPr>
                <w:rFonts w:ascii="Arial" w:cs="Arial" w:eastAsia="Arial" w:hAnsi="Arial"/>
                <w:sz w:val="15"/>
                <w:szCs w:val="15"/>
                <w:color w:val="auto"/>
              </w:rPr>
              <w:t>Goodwill</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17,365</w:t>
            </w:r>
          </w:p>
        </w:tc>
        <w:tc>
          <w:tcPr>
            <w:tcW w:w="100" w:type="dxa"/>
            <w:vAlign w:val="bottom"/>
          </w:tcPr>
          <w:p>
            <w:pPr>
              <w:spacing w:after="0"/>
              <w:rPr>
                <w:sz w:val="15"/>
                <w:szCs w:val="15"/>
                <w:color w:val="auto"/>
              </w:rPr>
            </w:pPr>
          </w:p>
        </w:tc>
      </w:tr>
      <w:tr>
        <w:trPr>
          <w:trHeight w:val="166"/>
        </w:trPr>
        <w:tc>
          <w:tcPr>
            <w:tcW w:w="7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7520" w:type="dxa"/>
            <w:vAlign w:val="bottom"/>
          </w:tcPr>
          <w:p>
            <w:pPr>
              <w:ind w:left="3400"/>
              <w:spacing w:after="0"/>
              <w:rPr>
                <w:sz w:val="20"/>
                <w:szCs w:val="20"/>
                <w:color w:val="auto"/>
              </w:rPr>
            </w:pPr>
            <w:r>
              <w:rPr>
                <w:rFonts w:ascii="Arial" w:cs="Arial" w:eastAsia="Arial" w:hAnsi="Arial"/>
                <w:sz w:val="15"/>
                <w:szCs w:val="15"/>
                <w:color w:val="auto"/>
              </w:rPr>
              <w:t>Total</w:t>
            </w:r>
          </w:p>
        </w:tc>
        <w:tc>
          <w:tcPr>
            <w:tcW w:w="560" w:type="dxa"/>
            <w:vAlign w:val="bottom"/>
            <w:tcBorders>
              <w:bottom w:val="single" w:sz="8" w:color="auto"/>
            </w:tcBorders>
          </w:tcPr>
          <w:p>
            <w:pPr>
              <w:jc w:val="right"/>
              <w:ind w:right="448"/>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104,525</w:t>
            </w:r>
          </w:p>
        </w:tc>
        <w:tc>
          <w:tcPr>
            <w:tcW w:w="100" w:type="dxa"/>
            <w:vAlign w:val="bottom"/>
          </w:tcPr>
          <w:p>
            <w:pPr>
              <w:spacing w:after="0"/>
              <w:rPr>
                <w:sz w:val="15"/>
                <w:szCs w:val="15"/>
                <w:color w:val="auto"/>
              </w:rPr>
            </w:pPr>
          </w:p>
        </w:tc>
      </w:tr>
      <w:tr>
        <w:trPr>
          <w:trHeight w:val="20"/>
        </w:trPr>
        <w:tc>
          <w:tcPr>
            <w:tcW w:w="7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All of the goodwill acquired in the MVI Group acquisition will be amortized over 15 years for tax purposes.</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On December 5, 2011, the Company acquired certain assets of West Texas Peterbilt, which consisted of dealerships in Amarillo, Lubbock and Odessa, Texas that offer Peterbilt trucks, parts, service, financing and insurance, a parts and service facility in Dalhart, Texas and a parts facility in Hereford, Texas. Rush Truck Leasing operates a PacLease truck rental and leasing franchise in Lubbock, Texas. The transaction was valued at approximately $24.6 million, with the purchase price paid in cash. The operations of West Texas Peterbilt are included in the accompanying consolidated financial statements from the date of the acquisition.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6" w:name="page77"/>
    <w:bookmarkEnd w:id="76"/>
    <w:p>
      <w:pPr>
        <w:jc w:val="both"/>
        <w:ind w:right="20"/>
        <w:spacing w:after="0" w:line="343" w:lineRule="auto"/>
        <w:rPr>
          <w:sz w:val="20"/>
          <w:szCs w:val="20"/>
          <w:color w:val="auto"/>
        </w:rPr>
      </w:pPr>
      <w:r>
        <w:rPr>
          <w:rFonts w:ascii="Arial" w:cs="Arial" w:eastAsia="Arial" w:hAnsi="Arial"/>
          <w:sz w:val="12"/>
          <w:szCs w:val="12"/>
          <w:color w:val="auto"/>
        </w:rPr>
        <w:t>On November 5, 2011, the Company acquired certain assets of Peck Road Ford, which consisted of a Ford and Isuzu commercial vehicle dealership in Whittier, California. The Company is operating the facility as a full-service Rush Truck Center offering Ford and Isuzu trucks, parts, service, financing and insurance. The transaction was valued at approximately $10.0 million, with the purchase price paid in cash. The operations of Peck Road Ford are included in the accompanying consolidated financial statements from the date of the acquisition.</w:t>
      </w:r>
    </w:p>
    <w:p>
      <w:pPr>
        <w:spacing w:after="0" w:line="108"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On March 14, 2011, the Company acquired certain assets of Asbury Automotive Atlanta L.L.C., a subsidiary of Asbury Automotive Group, Inc., which consisted of commercial truck and bus dealerships in the metro Atlanta area under the "Nalley Motor Trucks" name. The acquisition included dealership locations in Atlanta and Doraville and a collision center in Atlanta. These locations are now operating as Rush Truck Centers. The transaction was valued at approximately $55.3 million, with the purchase price paid in cash. The operations of Nalley Motor Trucks are included in the accompanying consolidated financial statements from the date of the acquisition.</w:t>
      </w:r>
    </w:p>
    <w:p>
      <w:pPr>
        <w:spacing w:after="0" w:line="161" w:lineRule="exact"/>
        <w:rPr>
          <w:sz w:val="20"/>
          <w:szCs w:val="20"/>
          <w:color w:val="auto"/>
        </w:rPr>
      </w:pPr>
    </w:p>
    <w:p>
      <w:pPr>
        <w:jc w:val="both"/>
        <w:ind w:right="20"/>
        <w:spacing w:after="0" w:line="343" w:lineRule="auto"/>
        <w:rPr>
          <w:sz w:val="20"/>
          <w:szCs w:val="20"/>
          <w:color w:val="auto"/>
        </w:rPr>
      </w:pPr>
      <w:r>
        <w:rPr>
          <w:rFonts w:ascii="Arial" w:cs="Arial" w:eastAsia="Arial" w:hAnsi="Arial"/>
          <w:sz w:val="12"/>
          <w:szCs w:val="12"/>
          <w:color w:val="auto"/>
        </w:rPr>
        <w:t>On February 21, 2011, the Company acquired certain assets of Heintzelman’s Truck Center, which consisted of a Ford commercial vehicle dealership in Orlando, Florida. The Company now operates the facility as a full-service Rush Truck Center offering Ford trucks, parts, service, leasing, financing and insurance. The transaction was valued at approximately $4.7 million, with the purchase price paid in cash. The operations of Heintzelman’s Truck Center are included in the accompanying consolidated financial statements from the date of the acquisition.</w:t>
      </w:r>
    </w:p>
    <w:p>
      <w:pPr>
        <w:spacing w:after="0" w:line="108" w:lineRule="exact"/>
        <w:rPr>
          <w:sz w:val="20"/>
          <w:szCs w:val="20"/>
          <w:color w:val="auto"/>
        </w:rPr>
      </w:pPr>
    </w:p>
    <w:p>
      <w:pPr>
        <w:ind w:left="880" w:hanging="873"/>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ACCUMULATED OTHER COMPREHENSIVE (LOSS)</w:t>
      </w:r>
    </w:p>
    <w:p>
      <w:pPr>
        <w:spacing w:after="0" w:line="177" w:lineRule="exact"/>
        <w:rPr>
          <w:sz w:val="20"/>
          <w:szCs w:val="20"/>
          <w:color w:val="auto"/>
        </w:rPr>
      </w:pPr>
    </w:p>
    <w:p>
      <w:pPr>
        <w:jc w:val="both"/>
        <w:ind w:right="20"/>
        <w:spacing w:after="0" w:line="330" w:lineRule="auto"/>
        <w:rPr>
          <w:sz w:val="20"/>
          <w:szCs w:val="20"/>
          <w:color w:val="auto"/>
        </w:rPr>
      </w:pPr>
      <w:r>
        <w:rPr>
          <w:rFonts w:ascii="Arial" w:cs="Arial" w:eastAsia="Arial" w:hAnsi="Arial"/>
          <w:sz w:val="12"/>
          <w:szCs w:val="12"/>
          <w:color w:val="auto"/>
        </w:rPr>
        <w:t>In February 2013, the FASB issued guidance requiring entities to provide information about the amounts reclassified out of accumulated other comprehensive income (“AOCI”) by component. In addition, it requires entities to present, either on the face of the financial statement where net income is presented or in the notes, significant amounts reclassified out of AOCI by the respective line items of net income if the amount reclassified is required under GAAP to be reclassified to net income in its entirety in the same reporting period. This guidance is effective prospectively for annual and interim reporting periods beginning after December 15, 2012, with early adoption permitted. The amounts required to be disclosed under this guidance are below.</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components of accumulated other comprehensive loss, net of tax,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5"/>
                <w:szCs w:val="15"/>
                <w:color w:val="auto"/>
                <w:w w:val="95"/>
              </w:rPr>
              <w:t>Available for Sale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5"/>
                <w:szCs w:val="15"/>
                <w:color w:val="auto"/>
                <w:w w:val="93"/>
              </w:rPr>
              <w:t>Cash Flow Swaps</w:t>
            </w:r>
          </w:p>
        </w:tc>
        <w:tc>
          <w:tcPr>
            <w:tcW w:w="160" w:type="dxa"/>
            <w:vAlign w:val="bottom"/>
          </w:tcPr>
          <w:p>
            <w:pPr>
              <w:spacing w:after="0"/>
              <w:rPr>
                <w:sz w:val="16"/>
                <w:szCs w:val="16"/>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5"/>
                <w:szCs w:val="15"/>
                <w:color w:val="auto"/>
              </w:rPr>
              <w:t>Securities</w:t>
            </w:r>
          </w:p>
        </w:tc>
        <w:tc>
          <w:tcPr>
            <w:tcW w:w="360" w:type="dxa"/>
            <w:vAlign w:val="bottom"/>
          </w:tcPr>
          <w:p>
            <w:pPr>
              <w:spacing w:after="0"/>
              <w:rPr>
                <w:sz w:val="16"/>
                <w:szCs w:val="16"/>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5"/>
                <w:szCs w:val="15"/>
                <w:color w:val="auto"/>
              </w:rPr>
              <w:t>Total</w:t>
            </w:r>
          </w:p>
        </w:tc>
      </w:tr>
      <w:tr>
        <w:trPr>
          <w:trHeight w:val="167"/>
        </w:trPr>
        <w:tc>
          <w:tcPr>
            <w:tcW w:w="516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Balance as of December 31, 2012</w:t>
            </w:r>
          </w:p>
        </w:tc>
        <w:tc>
          <w:tcPr>
            <w:tcW w:w="18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(1,178)</w:t>
            </w: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(578)</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07"/>
              <w:spacing w:after="0" w:line="167"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(1,756)</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6"/>
        </w:trPr>
        <w:tc>
          <w:tcPr>
            <w:tcW w:w="5160" w:type="dxa"/>
            <w:vAlign w:val="bottom"/>
          </w:tcPr>
          <w:p>
            <w:pPr>
              <w:spacing w:after="0" w:line="166" w:lineRule="exact"/>
              <w:rPr>
                <w:sz w:val="20"/>
                <w:szCs w:val="20"/>
                <w:color w:val="auto"/>
              </w:rPr>
            </w:pPr>
            <w:r>
              <w:rPr>
                <w:rFonts w:ascii="Arial" w:cs="Arial" w:eastAsia="Arial" w:hAnsi="Arial"/>
                <w:sz w:val="15"/>
                <w:szCs w:val="15"/>
                <w:color w:val="auto"/>
              </w:rPr>
              <w:t>Changes in fair value</w:t>
            </w:r>
          </w:p>
        </w:tc>
        <w:tc>
          <w:tcPr>
            <w:tcW w:w="180" w:type="dxa"/>
            <w:vAlign w:val="bottom"/>
          </w:tcPr>
          <w:p>
            <w:pPr>
              <w:spacing w:after="0"/>
              <w:rPr>
                <w:sz w:val="14"/>
                <w:szCs w:val="14"/>
                <w:color w:val="auto"/>
              </w:rPr>
            </w:pPr>
          </w:p>
        </w:tc>
        <w:tc>
          <w:tcPr>
            <w:tcW w:w="158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892</w:t>
            </w:r>
          </w:p>
        </w:tc>
        <w:tc>
          <w:tcPr>
            <w:tcW w:w="160" w:type="dxa"/>
            <w:vAlign w:val="bottom"/>
          </w:tcPr>
          <w:p>
            <w:pPr>
              <w:spacing w:after="0"/>
              <w:rPr>
                <w:sz w:val="14"/>
                <w:szCs w:val="14"/>
                <w:color w:val="auto"/>
              </w:rPr>
            </w:pPr>
          </w:p>
        </w:tc>
        <w:tc>
          <w:tcPr>
            <w:tcW w:w="15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128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892</w:t>
            </w:r>
          </w:p>
        </w:tc>
      </w:tr>
      <w:tr>
        <w:trPr>
          <w:trHeight w:val="175"/>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(338)</w:t>
            </w:r>
          </w:p>
        </w:tc>
        <w:tc>
          <w:tcPr>
            <w:tcW w:w="1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(338)</w:t>
            </w:r>
          </w:p>
        </w:tc>
      </w:tr>
      <w:tr>
        <w:trPr>
          <w:trHeight w:val="20"/>
        </w:trPr>
        <w:tc>
          <w:tcPr>
            <w:tcW w:w="5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6"/>
        </w:trPr>
        <w:tc>
          <w:tcPr>
            <w:tcW w:w="5160" w:type="dxa"/>
            <w:vAlign w:val="bottom"/>
          </w:tcPr>
          <w:p>
            <w:pPr>
              <w:spacing w:after="0" w:line="166" w:lineRule="exact"/>
              <w:rPr>
                <w:sz w:val="20"/>
                <w:szCs w:val="20"/>
                <w:color w:val="auto"/>
              </w:rPr>
            </w:pPr>
            <w:r>
              <w:rPr>
                <w:rFonts w:ascii="Arial" w:cs="Arial" w:eastAsia="Arial" w:hAnsi="Arial"/>
                <w:sz w:val="15"/>
                <w:szCs w:val="15"/>
                <w:color w:val="auto"/>
              </w:rPr>
              <w:t>Balance as of December 31, 2013</w:t>
            </w:r>
          </w:p>
        </w:tc>
        <w:tc>
          <w:tcPr>
            <w:tcW w:w="180" w:type="dxa"/>
            <w:vAlign w:val="bottom"/>
          </w:tcPr>
          <w:p>
            <w:pPr>
              <w:jc w:val="right"/>
              <w:ind w:right="27"/>
              <w:spacing w:after="0" w:line="166" w:lineRule="exact"/>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(624)</w:t>
            </w:r>
          </w:p>
        </w:tc>
        <w:tc>
          <w:tcPr>
            <w:tcW w:w="160" w:type="dxa"/>
            <w:vAlign w:val="bottom"/>
          </w:tcPr>
          <w:p>
            <w:pPr>
              <w:jc w:val="right"/>
              <w:ind w:right="7"/>
              <w:spacing w:after="0" w:line="166" w:lineRule="exact"/>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(578)</w:t>
            </w:r>
          </w:p>
        </w:tc>
        <w:tc>
          <w:tcPr>
            <w:tcW w:w="360" w:type="dxa"/>
            <w:vAlign w:val="bottom"/>
          </w:tcPr>
          <w:p>
            <w:pPr>
              <w:jc w:val="right"/>
              <w:ind w:right="207"/>
              <w:spacing w:after="0" w:line="166"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(1,202)</w:t>
            </w: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amount of loss reclassified from accumulated other comprehensive loss into earnings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6"/>
          </w:tcPr>
          <w:p>
            <w:pPr>
              <w:jc w:val="right"/>
              <w:ind w:right="1400"/>
              <w:spacing w:after="0"/>
              <w:rPr>
                <w:sz w:val="20"/>
                <w:szCs w:val="20"/>
                <w:color w:val="auto"/>
              </w:rPr>
            </w:pPr>
            <w:r>
              <w:rPr>
                <w:rFonts w:ascii="Arial" w:cs="Arial" w:eastAsia="Arial" w:hAnsi="Arial"/>
                <w:sz w:val="15"/>
                <w:szCs w:val="15"/>
                <w:color w:val="auto"/>
              </w:rPr>
              <w:t>Year Ended</w:t>
            </w:r>
          </w:p>
        </w:tc>
        <w:tc>
          <w:tcPr>
            <w:tcW w:w="1160" w:type="dxa"/>
            <w:vAlign w:val="bottom"/>
          </w:tcPr>
          <w:p>
            <w:pPr>
              <w:spacing w:after="0"/>
              <w:rPr>
                <w:sz w:val="16"/>
                <w:szCs w:val="16"/>
                <w:color w:val="auto"/>
              </w:rPr>
            </w:pPr>
          </w:p>
        </w:tc>
      </w:tr>
      <w:tr>
        <w:trPr>
          <w:trHeight w:val="167"/>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320"/>
              <w:spacing w:after="0" w:line="167" w:lineRule="exact"/>
              <w:rPr>
                <w:sz w:val="20"/>
                <w:szCs w:val="20"/>
                <w:color w:val="auto"/>
              </w:rPr>
            </w:pPr>
            <w:r>
              <w:rPr>
                <w:rFonts w:ascii="Arial" w:cs="Arial" w:eastAsia="Arial" w:hAnsi="Arial"/>
                <w:sz w:val="15"/>
                <w:szCs w:val="15"/>
                <w:color w:val="auto"/>
                <w:w w:val="89"/>
              </w:rPr>
              <w:t>December 31, 2013</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w w:val="91"/>
              </w:rPr>
              <w:t>December 31, 2012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160" w:type="dxa"/>
            <w:vAlign w:val="bottom"/>
          </w:tcPr>
          <w:p>
            <w:pPr>
              <w:spacing w:after="0"/>
              <w:rPr>
                <w:sz w:val="14"/>
                <w:szCs w:val="14"/>
                <w:color w:val="auto"/>
              </w:rPr>
            </w:pPr>
          </w:p>
        </w:tc>
        <w:tc>
          <w:tcPr>
            <w:tcW w:w="31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Losses on cash flow swaps to:</w:t>
            </w:r>
          </w:p>
        </w:tc>
        <w:tc>
          <w:tcPr>
            <w:tcW w:w="26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3120" w:type="dxa"/>
            <w:vAlign w:val="bottom"/>
          </w:tcPr>
          <w:p>
            <w:pPr>
              <w:ind w:left="120"/>
              <w:spacing w:after="0"/>
              <w:rPr>
                <w:sz w:val="20"/>
                <w:szCs w:val="20"/>
                <w:color w:val="auto"/>
              </w:rPr>
            </w:pPr>
            <w:r>
              <w:rPr>
                <w:rFonts w:ascii="Arial" w:cs="Arial" w:eastAsia="Arial" w:hAnsi="Arial"/>
                <w:sz w:val="15"/>
                <w:szCs w:val="15"/>
                <w:color w:val="auto"/>
              </w:rPr>
              <w:t>Interest expense</w:t>
            </w:r>
          </w:p>
        </w:tc>
        <w:tc>
          <w:tcPr>
            <w:tcW w:w="2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5"/>
                <w:szCs w:val="15"/>
                <w:color w:val="auto"/>
              </w:rPr>
              <w:t>(290)</w:t>
            </w: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(393)</w:t>
            </w:r>
          </w:p>
        </w:tc>
        <w:tc>
          <w:tcPr>
            <w:tcW w:w="116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Income tax benefit</w:t>
            </w:r>
          </w:p>
        </w:tc>
        <w:tc>
          <w:tcPr>
            <w:tcW w:w="2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66"/>
        </w:trPr>
        <w:tc>
          <w:tcPr>
            <w:tcW w:w="4280" w:type="dxa"/>
            <w:vAlign w:val="bottom"/>
            <w:gridSpan w:val="2"/>
          </w:tcPr>
          <w:p>
            <w:pPr>
              <w:ind w:left="1160"/>
              <w:spacing w:after="0" w:line="166" w:lineRule="exact"/>
              <w:rPr>
                <w:sz w:val="20"/>
                <w:szCs w:val="20"/>
                <w:color w:val="auto"/>
              </w:rPr>
            </w:pPr>
            <w:r>
              <w:rPr>
                <w:rFonts w:ascii="Arial" w:cs="Arial" w:eastAsia="Arial" w:hAnsi="Arial"/>
                <w:sz w:val="15"/>
                <w:szCs w:val="15"/>
                <w:color w:val="auto"/>
              </w:rPr>
              <w:t>Total reclassifications</w:t>
            </w:r>
          </w:p>
        </w:tc>
        <w:tc>
          <w:tcPr>
            <w:tcW w:w="280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w:t>
            </w:r>
          </w:p>
        </w:tc>
        <w:tc>
          <w:tcPr>
            <w:tcW w:w="152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(177)</w:t>
            </w:r>
          </w:p>
        </w:tc>
        <w:tc>
          <w:tcPr>
            <w:tcW w:w="20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w:t>
            </w:r>
          </w:p>
        </w:tc>
        <w:tc>
          <w:tcPr>
            <w:tcW w:w="152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(240)</w:t>
            </w:r>
          </w:p>
        </w:tc>
        <w:tc>
          <w:tcPr>
            <w:tcW w:w="1160" w:type="dxa"/>
            <w:vAlign w:val="bottom"/>
          </w:tcPr>
          <w:p>
            <w:pPr>
              <w:spacing w:after="0"/>
              <w:rPr>
                <w:sz w:val="14"/>
                <w:szCs w:val="14"/>
                <w:color w:val="auto"/>
              </w:rPr>
            </w:pPr>
          </w:p>
        </w:tc>
      </w:tr>
      <w:tr>
        <w:trPr>
          <w:trHeight w:val="536"/>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60" w:type="dxa"/>
            <w:vAlign w:val="bottom"/>
          </w:tcPr>
          <w:p>
            <w:pPr>
              <w:jc w:val="right"/>
              <w:ind w:right="1067"/>
              <w:spacing w:after="0"/>
              <w:rPr>
                <w:sz w:val="20"/>
                <w:szCs w:val="20"/>
                <w:color w:val="auto"/>
              </w:rPr>
            </w:pPr>
            <w:r>
              <w:rPr>
                <w:rFonts w:ascii="Arial" w:cs="Arial" w:eastAsia="Arial" w:hAnsi="Arial"/>
                <w:sz w:val="15"/>
                <w:szCs w:val="15"/>
                <w:color w:val="auto"/>
              </w:rPr>
              <w:t>74</w:t>
            </w: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7"/>
        </w:trPr>
        <w:tc>
          <w:tcPr>
            <w:tcW w:w="11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77" w:name="page78"/>
    <w:bookmarkEnd w:id="77"/>
    <w:p>
      <w:pPr>
        <w:ind w:left="1040" w:right="7560" w:hanging="1033"/>
        <w:spacing w:after="0" w:line="518" w:lineRule="auto"/>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UNAUDITED QUARTERLY FINANCIAL DATA</w:t>
      </w:r>
      <w:r>
        <w:rPr>
          <w:rFonts w:ascii="Arial" w:cs="Arial" w:eastAsia="Arial" w:hAnsi="Arial"/>
          <w:sz w:val="14"/>
          <w:szCs w:val="14"/>
          <w:color w:val="auto"/>
        </w:rPr>
        <w:t>: (In thousands, except per share amounts.)</w:t>
      </w:r>
    </w:p>
    <w:tbl>
      <w:tblPr>
        <w:tblLayout w:type="fixed"/>
        <w:tblInd w:w="3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5"/>
                <w:szCs w:val="15"/>
                <w:b w:val="1"/>
                <w:bCs w:val="1"/>
                <w:color w:val="auto"/>
              </w:rPr>
              <w:t>First</w:t>
            </w:r>
          </w:p>
        </w:tc>
        <w:tc>
          <w:tcPr>
            <w:tcW w:w="22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Second</w:t>
            </w:r>
          </w:p>
        </w:tc>
        <w:tc>
          <w:tcPr>
            <w:tcW w:w="22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Third</w:t>
            </w:r>
          </w:p>
        </w:tc>
        <w:tc>
          <w:tcPr>
            <w:tcW w:w="22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Fourth</w:t>
            </w:r>
          </w:p>
        </w:tc>
      </w:tr>
      <w:tr>
        <w:trPr>
          <w:trHeight w:val="188"/>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Quarter</w:t>
            </w:r>
          </w:p>
        </w:tc>
        <w:tc>
          <w:tcPr>
            <w:tcW w:w="22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Quarter</w:t>
            </w:r>
          </w:p>
        </w:tc>
        <w:tc>
          <w:tcPr>
            <w:tcW w:w="22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Quarter</w:t>
            </w:r>
          </w:p>
        </w:tc>
        <w:tc>
          <w:tcPr>
            <w:tcW w:w="22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Quarter</w:t>
            </w:r>
          </w:p>
        </w:tc>
      </w:tr>
      <w:tr>
        <w:trPr>
          <w:trHeight w:val="168"/>
        </w:trPr>
        <w:tc>
          <w:tcPr>
            <w:tcW w:w="532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2013</w:t>
            </w: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756,788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789,674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913,064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925,179</w:t>
            </w:r>
          </w:p>
        </w:tc>
      </w:tr>
      <w:tr>
        <w:trPr>
          <w:trHeight w:val="175"/>
        </w:trPr>
        <w:tc>
          <w:tcPr>
            <w:tcW w:w="5320" w:type="dxa"/>
            <w:vAlign w:val="bottom"/>
          </w:tcPr>
          <w:p>
            <w:pPr>
              <w:spacing w:after="0"/>
              <w:rPr>
                <w:sz w:val="20"/>
                <w:szCs w:val="20"/>
                <w:color w:val="auto"/>
              </w:rPr>
            </w:pPr>
            <w:r>
              <w:rPr>
                <w:rFonts w:ascii="Arial" w:cs="Arial" w:eastAsia="Arial" w:hAnsi="Arial"/>
                <w:sz w:val="15"/>
                <w:szCs w:val="15"/>
                <w:color w:val="auto"/>
              </w:rPr>
              <w:t>Gross profit</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133,788</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137,688</w:t>
            </w:r>
          </w:p>
        </w:tc>
        <w:tc>
          <w:tcPr>
            <w:tcW w:w="2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150,312</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150,226</w:t>
            </w: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24,613</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11,789</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27,870</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27,482</w:t>
            </w:r>
          </w:p>
        </w:tc>
      </w:tr>
      <w:tr>
        <w:trPr>
          <w:trHeight w:val="175"/>
        </w:trPr>
        <w:tc>
          <w:tcPr>
            <w:tcW w:w="532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22,100</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9,309</w:t>
            </w:r>
          </w:p>
        </w:tc>
        <w:tc>
          <w:tcPr>
            <w:tcW w:w="2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25,089</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24,563</w:t>
            </w: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13,547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5,632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15,179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14,859</w:t>
            </w:r>
          </w:p>
        </w:tc>
      </w:t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5320" w:type="dxa"/>
            <w:vAlign w:val="bottom"/>
          </w:tcPr>
          <w:p>
            <w:pPr>
              <w:ind w:left="120"/>
              <w:spacing w:after="0"/>
              <w:rPr>
                <w:sz w:val="20"/>
                <w:szCs w:val="20"/>
                <w:color w:val="auto"/>
              </w:rPr>
            </w:pPr>
            <w:r>
              <w:rPr>
                <w:rFonts w:ascii="Arial" w:cs="Arial" w:eastAsia="Arial" w:hAnsi="Arial"/>
                <w:sz w:val="15"/>
                <w:szCs w:val="15"/>
                <w:color w:val="auto"/>
              </w:rPr>
              <w:t>Basic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0.35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0.14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0.38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0.38</w:t>
            </w:r>
          </w:p>
        </w:tc>
      </w:tr>
      <w:tr>
        <w:trPr>
          <w:trHeight w:val="175"/>
        </w:trPr>
        <w:tc>
          <w:tcPr>
            <w:tcW w:w="5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0.34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0.37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0.37</w:t>
            </w:r>
          </w:p>
        </w:tc>
      </w:t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2012</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777,329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835,844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745,133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732,261</w:t>
            </w:r>
          </w:p>
        </w:tc>
      </w:tr>
      <w:tr>
        <w:trPr>
          <w:trHeight w:val="175"/>
        </w:trPr>
        <w:tc>
          <w:tcPr>
            <w:tcW w:w="5320" w:type="dxa"/>
            <w:vAlign w:val="bottom"/>
          </w:tcPr>
          <w:p>
            <w:pPr>
              <w:spacing w:after="0"/>
              <w:rPr>
                <w:sz w:val="20"/>
                <w:szCs w:val="20"/>
                <w:color w:val="auto"/>
              </w:rPr>
            </w:pPr>
            <w:r>
              <w:rPr>
                <w:rFonts w:ascii="Arial" w:cs="Arial" w:eastAsia="Arial" w:hAnsi="Arial"/>
                <w:sz w:val="15"/>
                <w:szCs w:val="15"/>
                <w:color w:val="auto"/>
              </w:rPr>
              <w:t>Gross profit</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128,260</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129,636</w:t>
            </w:r>
          </w:p>
        </w:tc>
        <w:tc>
          <w:tcPr>
            <w:tcW w:w="2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125,171</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117,700</w:t>
            </w: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29,380</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31,966</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27,627</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25,227</w:t>
            </w:r>
          </w:p>
        </w:tc>
      </w:tr>
      <w:tr>
        <w:trPr>
          <w:trHeight w:val="175"/>
        </w:trPr>
        <w:tc>
          <w:tcPr>
            <w:tcW w:w="532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26,076</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28,559</w:t>
            </w:r>
          </w:p>
        </w:tc>
        <w:tc>
          <w:tcPr>
            <w:tcW w:w="2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24,244</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22,304</w:t>
            </w: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15,906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17,422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14,909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14,218</w:t>
            </w:r>
          </w:p>
        </w:tc>
      </w:t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5320" w:type="dxa"/>
            <w:vAlign w:val="bottom"/>
          </w:tcPr>
          <w:p>
            <w:pPr>
              <w:ind w:left="120"/>
              <w:spacing w:after="0"/>
              <w:rPr>
                <w:sz w:val="20"/>
                <w:szCs w:val="20"/>
                <w:color w:val="auto"/>
              </w:rPr>
            </w:pPr>
            <w:r>
              <w:rPr>
                <w:rFonts w:ascii="Arial" w:cs="Arial" w:eastAsia="Arial" w:hAnsi="Arial"/>
                <w:sz w:val="15"/>
                <w:szCs w:val="15"/>
                <w:color w:val="auto"/>
              </w:rPr>
              <w:t>Basic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0.41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0.45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0.38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0.37</w:t>
            </w:r>
          </w:p>
        </w:tc>
      </w:tr>
      <w:tr>
        <w:trPr>
          <w:trHeight w:val="175"/>
        </w:trPr>
        <w:tc>
          <w:tcPr>
            <w:tcW w:w="5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0.40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0.44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0.38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0.36</w:t>
            </w:r>
          </w:p>
        </w:tc>
      </w:tr>
    </w:tbl>
    <w:p>
      <w:pPr>
        <w:spacing w:after="0" w:line="164" w:lineRule="exact"/>
        <w:rPr>
          <w:sz w:val="20"/>
          <w:szCs w:val="20"/>
          <w:color w:val="auto"/>
        </w:rPr>
      </w:pPr>
    </w:p>
    <w:p>
      <w:pPr>
        <w:spacing w:after="0" w:line="383" w:lineRule="auto"/>
        <w:rPr>
          <w:sz w:val="20"/>
          <w:szCs w:val="20"/>
          <w:color w:val="auto"/>
        </w:rPr>
      </w:pPr>
      <w:r>
        <w:rPr>
          <w:rFonts w:ascii="Arial" w:cs="Arial" w:eastAsia="Arial" w:hAnsi="Arial"/>
          <w:sz w:val="12"/>
          <w:szCs w:val="12"/>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 and Comprehensive Income in the second quarter of 2013.</w:t>
      </w:r>
    </w:p>
    <w:p>
      <w:pPr>
        <w:spacing w:after="0" w:line="84" w:lineRule="exact"/>
        <w:rPr>
          <w:sz w:val="20"/>
          <w:szCs w:val="20"/>
          <w:color w:val="auto"/>
        </w:rPr>
      </w:pPr>
    </w:p>
    <w:p>
      <w:pPr>
        <w:ind w:left="880" w:hanging="873"/>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SEGMENTS</w:t>
      </w:r>
      <w:r>
        <w:rPr>
          <w:rFonts w:ascii="Arial" w:cs="Arial" w:eastAsia="Arial" w:hAnsi="Arial"/>
          <w:sz w:val="15"/>
          <w:szCs w:val="15"/>
          <w:color w:val="auto"/>
        </w:rPr>
        <w: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Company’s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accounting policies of the segments are the same as those described in the summary of significant accounting policies. The Company evaluates performance based on income from continuing operations before income taxes not including extraordinary items.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Company accounts for intersegment sales and transfers as if the sales or transfers were to third parties, that is, at current market prices. There were no material intersegment sales during the years ended December 31, 2013, 2012 or 2011.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8" w:name="page79"/>
    <w:bookmarkEnd w:id="78"/>
    <w:p>
      <w:pPr>
        <w:spacing w:after="0" w:line="259" w:lineRule="auto"/>
        <w:rPr>
          <w:sz w:val="20"/>
          <w:szCs w:val="20"/>
          <w:color w:val="auto"/>
        </w:rPr>
      </w:pPr>
      <w:r>
        <w:rPr>
          <w:rFonts w:ascii="Arial" w:cs="Arial" w:eastAsia="Arial" w:hAnsi="Arial"/>
          <w:sz w:val="15"/>
          <w:szCs w:val="15"/>
          <w:color w:val="auto"/>
        </w:rPr>
        <w:t>The following table contains summarized information about reportable segment revenue, segment income or loss from continuing operations and segment assets for the periods ended December 31, 2013, 2012 and 2011 (in thousands):</w:t>
      </w:r>
    </w:p>
    <w:p>
      <w:pPr>
        <w:spacing w:after="0" w:line="148"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527"/>
              <w:spacing w:after="0"/>
              <w:rPr>
                <w:sz w:val="20"/>
                <w:szCs w:val="20"/>
                <w:color w:val="auto"/>
              </w:rPr>
            </w:pPr>
            <w:r>
              <w:rPr>
                <w:rFonts w:ascii="Arial" w:cs="Arial" w:eastAsia="Arial" w:hAnsi="Arial"/>
                <w:sz w:val="15"/>
                <w:szCs w:val="15"/>
                <w:b w:val="1"/>
                <w:bCs w:val="1"/>
                <w:color w:val="auto"/>
              </w:rPr>
              <w:t>Truck</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5"/>
                <w:szCs w:val="15"/>
                <w:b w:val="1"/>
                <w:bCs w:val="1"/>
                <w:color w:val="auto"/>
              </w:rPr>
              <w:t>All</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47"/>
              <w:spacing w:after="0"/>
              <w:rPr>
                <w:sz w:val="20"/>
                <w:szCs w:val="20"/>
                <w:color w:val="auto"/>
              </w:rPr>
            </w:pPr>
            <w:r>
              <w:rPr>
                <w:rFonts w:ascii="Arial" w:cs="Arial" w:eastAsia="Arial" w:hAnsi="Arial"/>
                <w:sz w:val="15"/>
                <w:szCs w:val="15"/>
                <w:b w:val="1"/>
                <w:bCs w:val="1"/>
                <w:color w:val="auto"/>
              </w:rPr>
              <w:t>Segment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5"/>
                <w:szCs w:val="15"/>
                <w:b w:val="1"/>
                <w:bCs w:val="1"/>
                <w:color w:val="auto"/>
              </w:rPr>
              <w:t>Other</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07"/>
              <w:spacing w:after="0"/>
              <w:rPr>
                <w:sz w:val="20"/>
                <w:szCs w:val="20"/>
                <w:color w:val="auto"/>
              </w:rPr>
            </w:pPr>
            <w:r>
              <w:rPr>
                <w:rFonts w:ascii="Arial" w:cs="Arial" w:eastAsia="Arial" w:hAnsi="Arial"/>
                <w:sz w:val="15"/>
                <w:szCs w:val="15"/>
                <w:b w:val="1"/>
                <w:bCs w:val="1"/>
                <w:color w:val="auto"/>
              </w:rPr>
              <w:t>Totals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5"/>
                <w:szCs w:val="15"/>
                <w:b w:val="1"/>
                <w:bCs w:val="1"/>
                <w:color w:val="auto"/>
                <w:w w:val="71"/>
              </w:rPr>
              <w:t>2013</w:t>
            </w:r>
          </w:p>
        </w:tc>
        <w:tc>
          <w:tcPr>
            <w:tcW w:w="35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40" w:type="dxa"/>
            <w:vAlign w:val="bottom"/>
            <w:tcBorders>
              <w:top w:val="single" w:sz="8" w:color="CCEEFF"/>
            </w:tcBorders>
            <w:gridSpan w:val="2"/>
          </w:tcPr>
          <w:p>
            <w:pPr>
              <w:spacing w:after="0" w:line="168" w:lineRule="exact"/>
              <w:rPr>
                <w:sz w:val="20"/>
                <w:szCs w:val="20"/>
                <w:color w:val="auto"/>
              </w:rPr>
            </w:pPr>
            <w:r>
              <w:rPr>
                <w:rFonts w:ascii="Arial" w:cs="Arial" w:eastAsia="Arial" w:hAnsi="Arial"/>
                <w:sz w:val="15"/>
                <w:szCs w:val="15"/>
                <w:color w:val="auto"/>
              </w:rPr>
              <w:t>Revenues from external customers</w:t>
            </w:r>
          </w:p>
        </w:tc>
        <w:tc>
          <w:tcPr>
            <w:tcW w:w="480" w:type="dxa"/>
            <w:vAlign w:val="bottom"/>
            <w:tcBorders>
              <w:top w:val="single" w:sz="8" w:color="CCEEFF"/>
            </w:tcBorders>
            <w:gridSpan w:val="2"/>
          </w:tcPr>
          <w:p>
            <w:pPr>
              <w:jc w:val="right"/>
              <w:ind w:right="240"/>
              <w:spacing w:after="0" w:line="168" w:lineRule="exact"/>
              <w:rPr>
                <w:sz w:val="20"/>
                <w:szCs w:val="20"/>
                <w:color w:val="auto"/>
              </w:rPr>
            </w:pPr>
            <w:r>
              <w:rPr>
                <w:rFonts w:ascii="Arial" w:cs="Arial" w:eastAsia="Arial" w:hAnsi="Arial"/>
                <w:sz w:val="15"/>
                <w:szCs w:val="15"/>
                <w:color w:val="auto"/>
              </w:rPr>
              <w:t>$</w:t>
            </w:r>
          </w:p>
        </w:tc>
        <w:tc>
          <w:tcPr>
            <w:tcW w:w="128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3,365, 900</w:t>
            </w:r>
          </w:p>
        </w:tc>
        <w:tc>
          <w:tcPr>
            <w:tcW w:w="500" w:type="dxa"/>
            <w:vAlign w:val="bottom"/>
            <w:tcBorders>
              <w:top w:val="single" w:sz="8" w:color="CCEEFF"/>
            </w:tcBorders>
            <w:gridSpan w:val="2"/>
          </w:tcPr>
          <w:p>
            <w:pPr>
              <w:jc w:val="right"/>
              <w:ind w:right="260"/>
              <w:spacing w:after="0" w:line="168" w:lineRule="exact"/>
              <w:rPr>
                <w:sz w:val="20"/>
                <w:szCs w:val="20"/>
                <w:color w:val="auto"/>
              </w:rPr>
            </w:pPr>
            <w:r>
              <w:rPr>
                <w:rFonts w:ascii="Arial" w:cs="Arial" w:eastAsia="Arial" w:hAnsi="Arial"/>
                <w:sz w:val="15"/>
                <w:szCs w:val="15"/>
                <w:color w:val="auto"/>
              </w:rPr>
              <w:t>$</w:t>
            </w:r>
          </w:p>
        </w:tc>
        <w:tc>
          <w:tcPr>
            <w:tcW w:w="122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18,805</w:t>
            </w:r>
          </w:p>
        </w:tc>
        <w:tc>
          <w:tcPr>
            <w:tcW w:w="1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gridSpan w:val="2"/>
          </w:tcPr>
          <w:p>
            <w:pPr>
              <w:jc w:val="right"/>
              <w:ind w:right="260"/>
              <w:spacing w:after="0" w:line="168" w:lineRule="exact"/>
              <w:rPr>
                <w:sz w:val="20"/>
                <w:szCs w:val="20"/>
                <w:color w:val="auto"/>
              </w:rPr>
            </w:pPr>
            <w:r>
              <w:rPr>
                <w:rFonts w:ascii="Arial" w:cs="Arial" w:eastAsia="Arial" w:hAnsi="Arial"/>
                <w:sz w:val="15"/>
                <w:szCs w:val="15"/>
                <w:color w:val="auto"/>
              </w:rPr>
              <w:t>$</w:t>
            </w:r>
          </w:p>
        </w:tc>
        <w:tc>
          <w:tcPr>
            <w:tcW w:w="122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3,384,705</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10,559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10,734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29,403</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29,925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w w:val="90"/>
              </w:rPr>
              <w:t>Segment income (loss) from continuing operations before taxes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81,856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(795)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81,061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Segment assets</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2,140,008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2,167,798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212,904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215,464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Expenditures for segment assets</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191,016</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191,584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w w:val="71"/>
              </w:rPr>
              <w:t>2012</w:t>
            </w:r>
          </w:p>
        </w:tc>
        <w:tc>
          <w:tcPr>
            <w:tcW w:w="35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40" w:type="dxa"/>
            <w:vAlign w:val="bottom"/>
            <w:tcBorders>
              <w:top w:val="single" w:sz="8" w:color="CCEEFF"/>
            </w:tcBorders>
            <w:gridSpan w:val="2"/>
          </w:tcPr>
          <w:p>
            <w:pPr>
              <w:spacing w:after="0" w:line="168" w:lineRule="exact"/>
              <w:rPr>
                <w:sz w:val="20"/>
                <w:szCs w:val="20"/>
                <w:color w:val="auto"/>
              </w:rPr>
            </w:pPr>
            <w:r>
              <w:rPr>
                <w:rFonts w:ascii="Arial" w:cs="Arial" w:eastAsia="Arial" w:hAnsi="Arial"/>
                <w:sz w:val="15"/>
                <w:szCs w:val="15"/>
                <w:color w:val="auto"/>
              </w:rPr>
              <w:t>Revenues from external customers</w:t>
            </w:r>
          </w:p>
        </w:tc>
        <w:tc>
          <w:tcPr>
            <w:tcW w:w="480" w:type="dxa"/>
            <w:vAlign w:val="bottom"/>
            <w:tcBorders>
              <w:top w:val="single" w:sz="8" w:color="CCEEFF"/>
            </w:tcBorders>
            <w:gridSpan w:val="2"/>
          </w:tcPr>
          <w:p>
            <w:pPr>
              <w:jc w:val="right"/>
              <w:ind w:right="240"/>
              <w:spacing w:after="0" w:line="168" w:lineRule="exact"/>
              <w:rPr>
                <w:sz w:val="20"/>
                <w:szCs w:val="20"/>
                <w:color w:val="auto"/>
              </w:rPr>
            </w:pPr>
            <w:r>
              <w:rPr>
                <w:rFonts w:ascii="Arial" w:cs="Arial" w:eastAsia="Arial" w:hAnsi="Arial"/>
                <w:sz w:val="15"/>
                <w:szCs w:val="15"/>
                <w:color w:val="auto"/>
              </w:rPr>
              <w:t>$</w:t>
            </w:r>
          </w:p>
        </w:tc>
        <w:tc>
          <w:tcPr>
            <w:tcW w:w="128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3,072,092</w:t>
            </w:r>
          </w:p>
        </w:tc>
        <w:tc>
          <w:tcPr>
            <w:tcW w:w="500" w:type="dxa"/>
            <w:vAlign w:val="bottom"/>
            <w:tcBorders>
              <w:top w:val="single" w:sz="8" w:color="CCEEFF"/>
            </w:tcBorders>
            <w:gridSpan w:val="2"/>
          </w:tcPr>
          <w:p>
            <w:pPr>
              <w:jc w:val="right"/>
              <w:ind w:right="260"/>
              <w:spacing w:after="0" w:line="168" w:lineRule="exact"/>
              <w:rPr>
                <w:sz w:val="20"/>
                <w:szCs w:val="20"/>
                <w:color w:val="auto"/>
              </w:rPr>
            </w:pPr>
            <w:r>
              <w:rPr>
                <w:rFonts w:ascii="Arial" w:cs="Arial" w:eastAsia="Arial" w:hAnsi="Arial"/>
                <w:sz w:val="15"/>
                <w:szCs w:val="15"/>
                <w:color w:val="auto"/>
              </w:rPr>
              <w:t>$</w:t>
            </w:r>
          </w:p>
        </w:tc>
        <w:tc>
          <w:tcPr>
            <w:tcW w:w="122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18,475</w:t>
            </w:r>
          </w:p>
        </w:tc>
        <w:tc>
          <w:tcPr>
            <w:tcW w:w="1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gridSpan w:val="2"/>
          </w:tcPr>
          <w:p>
            <w:pPr>
              <w:jc w:val="right"/>
              <w:ind w:right="260"/>
              <w:spacing w:after="0" w:line="168" w:lineRule="exact"/>
              <w:rPr>
                <w:sz w:val="20"/>
                <w:szCs w:val="20"/>
                <w:color w:val="auto"/>
              </w:rPr>
            </w:pPr>
            <w:r>
              <w:rPr>
                <w:rFonts w:ascii="Arial" w:cs="Arial" w:eastAsia="Arial" w:hAnsi="Arial"/>
                <w:sz w:val="15"/>
                <w:szCs w:val="15"/>
                <w:color w:val="auto"/>
              </w:rPr>
              <w:t>$</w:t>
            </w:r>
          </w:p>
        </w:tc>
        <w:tc>
          <w:tcPr>
            <w:tcW w:w="122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3,090,567</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12,830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13,038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24,482</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w w:val="90"/>
              </w:rPr>
              <w:t>Segment income (loss) from continuing operations before taxes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102,392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(1,209)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101,183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Segment assets</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1,855,431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1,881,566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195,697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198,257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Expenditures for segment assets</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170,436</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w w:val="71"/>
              </w:rPr>
              <w:t>2011</w:t>
            </w:r>
          </w:p>
        </w:tc>
        <w:tc>
          <w:tcPr>
            <w:tcW w:w="35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40" w:type="dxa"/>
            <w:vAlign w:val="bottom"/>
            <w:tcBorders>
              <w:top w:val="single" w:sz="8" w:color="CCEEFF"/>
            </w:tcBorders>
            <w:gridSpan w:val="2"/>
          </w:tcPr>
          <w:p>
            <w:pPr>
              <w:spacing w:after="0" w:line="168" w:lineRule="exact"/>
              <w:rPr>
                <w:sz w:val="20"/>
                <w:szCs w:val="20"/>
                <w:color w:val="auto"/>
              </w:rPr>
            </w:pPr>
            <w:r>
              <w:rPr>
                <w:rFonts w:ascii="Arial" w:cs="Arial" w:eastAsia="Arial" w:hAnsi="Arial"/>
                <w:sz w:val="15"/>
                <w:szCs w:val="15"/>
                <w:color w:val="auto"/>
              </w:rPr>
              <w:t>Revenues from external customers</w:t>
            </w:r>
          </w:p>
        </w:tc>
        <w:tc>
          <w:tcPr>
            <w:tcW w:w="480" w:type="dxa"/>
            <w:vAlign w:val="bottom"/>
            <w:tcBorders>
              <w:top w:val="single" w:sz="8" w:color="CCEEFF"/>
            </w:tcBorders>
            <w:gridSpan w:val="2"/>
          </w:tcPr>
          <w:p>
            <w:pPr>
              <w:jc w:val="right"/>
              <w:ind w:right="240"/>
              <w:spacing w:after="0" w:line="168" w:lineRule="exact"/>
              <w:rPr>
                <w:sz w:val="20"/>
                <w:szCs w:val="20"/>
                <w:color w:val="auto"/>
              </w:rPr>
            </w:pPr>
            <w:r>
              <w:rPr>
                <w:rFonts w:ascii="Arial" w:cs="Arial" w:eastAsia="Arial" w:hAnsi="Arial"/>
                <w:sz w:val="15"/>
                <w:szCs w:val="15"/>
                <w:color w:val="auto"/>
              </w:rPr>
              <w:t>$</w:t>
            </w:r>
          </w:p>
        </w:tc>
        <w:tc>
          <w:tcPr>
            <w:tcW w:w="128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2,562,740</w:t>
            </w:r>
          </w:p>
        </w:tc>
        <w:tc>
          <w:tcPr>
            <w:tcW w:w="500" w:type="dxa"/>
            <w:vAlign w:val="bottom"/>
            <w:tcBorders>
              <w:top w:val="single" w:sz="8" w:color="CCEEFF"/>
            </w:tcBorders>
            <w:gridSpan w:val="2"/>
          </w:tcPr>
          <w:p>
            <w:pPr>
              <w:jc w:val="right"/>
              <w:ind w:right="260"/>
              <w:spacing w:after="0" w:line="168" w:lineRule="exact"/>
              <w:rPr>
                <w:sz w:val="20"/>
                <w:szCs w:val="20"/>
                <w:color w:val="auto"/>
              </w:rPr>
            </w:pPr>
            <w:r>
              <w:rPr>
                <w:rFonts w:ascii="Arial" w:cs="Arial" w:eastAsia="Arial" w:hAnsi="Arial"/>
                <w:sz w:val="15"/>
                <w:szCs w:val="15"/>
                <w:color w:val="auto"/>
              </w:rPr>
              <w:t>$</w:t>
            </w:r>
          </w:p>
        </w:tc>
        <w:tc>
          <w:tcPr>
            <w:tcW w:w="122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17,871</w:t>
            </w:r>
          </w:p>
        </w:tc>
        <w:tc>
          <w:tcPr>
            <w:tcW w:w="1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gridSpan w:val="2"/>
          </w:tcPr>
          <w:p>
            <w:pPr>
              <w:jc w:val="right"/>
              <w:ind w:right="260"/>
              <w:spacing w:after="0" w:line="168" w:lineRule="exact"/>
              <w:rPr>
                <w:sz w:val="20"/>
                <w:szCs w:val="20"/>
                <w:color w:val="auto"/>
              </w:rPr>
            </w:pPr>
            <w:r>
              <w:rPr>
                <w:rFonts w:ascii="Arial" w:cs="Arial" w:eastAsia="Arial" w:hAnsi="Arial"/>
                <w:sz w:val="15"/>
                <w:szCs w:val="15"/>
                <w:color w:val="auto"/>
              </w:rPr>
              <w:t>$</w:t>
            </w:r>
          </w:p>
        </w:tc>
        <w:tc>
          <w:tcPr>
            <w:tcW w:w="1220" w:type="dxa"/>
            <w:vAlign w:val="bottom"/>
            <w:tcBorders>
              <w:top w:val="single" w:sz="8" w:color="CCEEFF"/>
            </w:tcBorders>
          </w:tcPr>
          <w:p>
            <w:pPr>
              <w:jc w:val="right"/>
              <w:spacing w:after="0" w:line="168" w:lineRule="exact"/>
              <w:rPr>
                <w:sz w:val="20"/>
                <w:szCs w:val="20"/>
                <w:color w:val="auto"/>
              </w:rPr>
            </w:pPr>
            <w:r>
              <w:rPr>
                <w:rFonts w:ascii="Arial" w:cs="Arial" w:eastAsia="Arial" w:hAnsi="Arial"/>
                <w:sz w:val="15"/>
                <w:szCs w:val="15"/>
                <w:color w:val="auto"/>
              </w:rPr>
              <w:t>2,580,611</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6,876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7,181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19,471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w w:val="90"/>
              </w:rPr>
              <w:t>Segment income (loss) from continuing operations before taxes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91,820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(1,643)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90,177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Segment assets</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1,691,938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1,717,701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180,052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182,612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Expenditures for segment assets</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148,384</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line="383" w:lineRule="auto"/>
        <w:rPr>
          <w:sz w:val="20"/>
          <w:szCs w:val="20"/>
          <w:color w:val="auto"/>
        </w:rPr>
      </w:pPr>
      <w:r>
        <w:rPr>
          <w:rFonts w:ascii="Arial" w:cs="Arial" w:eastAsia="Arial" w:hAnsi="Arial"/>
          <w:sz w:val="12"/>
          <w:szCs w:val="12"/>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84" w:lineRule="exact"/>
        <w:rPr>
          <w:sz w:val="20"/>
          <w:szCs w:val="20"/>
          <w:color w:val="auto"/>
        </w:rPr>
      </w:pPr>
    </w:p>
    <w:p>
      <w:pPr>
        <w:ind w:left="880" w:hanging="873"/>
        <w:spacing w:after="0"/>
        <w:tabs>
          <w:tab w:leader="none" w:pos="88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SUBSEQUENT EVENT</w:t>
      </w:r>
      <w:r>
        <w:rPr>
          <w:rFonts w:ascii="Arial" w:cs="Arial" w:eastAsia="Arial" w:hAnsi="Arial"/>
          <w:sz w:val="15"/>
          <w:szCs w:val="15"/>
          <w:color w:val="auto"/>
        </w:rPr>
        <w:t>:</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 January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 The purchase price for the assets, membership interests, goodwill and dealership properties was approximately $144.7 million, which was paid in cash and 83,091 shares of the Company’s Class B Common Stock with a total value of $2.0 million on the date of acquisition.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9" w:name="page80"/>
    <w:bookmarkEnd w:id="79"/>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Evaluation of Disclosure Controls and Procedures</w:t>
      </w:r>
    </w:p>
    <w:p>
      <w:pPr>
        <w:spacing w:after="0" w:line="177" w:lineRule="exact"/>
        <w:rPr>
          <w:sz w:val="20"/>
          <w:szCs w:val="20"/>
          <w:color w:val="auto"/>
        </w:rPr>
      </w:pPr>
    </w:p>
    <w:p>
      <w:pPr>
        <w:jc w:val="both"/>
        <w:ind w:firstLine="525"/>
        <w:spacing w:after="0" w:line="308" w:lineRule="auto"/>
        <w:rPr>
          <w:sz w:val="20"/>
          <w:szCs w:val="20"/>
          <w:color w:val="auto"/>
        </w:rPr>
      </w:pPr>
      <w:r>
        <w:rPr>
          <w:rFonts w:ascii="Arial" w:cs="Arial" w:eastAsia="Arial" w:hAnsi="Arial"/>
          <w:sz w:val="12"/>
          <w:szCs w:val="12"/>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2013, to ensure that information required to be disclosed in our reports filed or submitted under the Exchange Act is (1) recorded, processed, summarized and reported within the time periods specified in the Securities and Exchange Commission’s rules and forms and</w:t>
      </w:r>
    </w:p>
    <w:p>
      <w:pPr>
        <w:ind w:firstLine="7"/>
        <w:spacing w:after="0" w:line="246" w:lineRule="auto"/>
        <w:tabs>
          <w:tab w:leader="none" w:pos="2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accumulated and communicated to the Company’s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Internal Control Over Financial Reporting</w:t>
      </w:r>
    </w:p>
    <w:p>
      <w:pPr>
        <w:spacing w:after="0" w:line="177" w:lineRule="exact"/>
        <w:rPr>
          <w:sz w:val="20"/>
          <w:szCs w:val="20"/>
          <w:color w:val="auto"/>
        </w:rPr>
      </w:pPr>
    </w:p>
    <w:p>
      <w:pPr>
        <w:jc w:val="both"/>
        <w:ind w:firstLine="525"/>
        <w:spacing w:after="0" w:line="271" w:lineRule="auto"/>
        <w:rPr>
          <w:sz w:val="20"/>
          <w:szCs w:val="20"/>
          <w:color w:val="auto"/>
        </w:rPr>
      </w:pPr>
      <w:r>
        <w:rPr>
          <w:rFonts w:ascii="Arial" w:cs="Arial" w:eastAsia="Arial" w:hAnsi="Arial"/>
          <w:sz w:val="14"/>
          <w:szCs w:val="14"/>
          <w:color w:val="auto"/>
        </w:rPr>
        <w:t>During the quarter ended December 31, 2013, the Company continued its implementation of the SAP enterprise software and dealership management system. As appropriate, the Company is modifying the documentation of its internal control processes and procedures relating to this change in dealer management systems to supplement and complement existing internal controls over financial reporting. Other than the above, there were no changes in the Company’s internal control over financial reporting during the quarter ended December 31, 2013 that have materially affected, or are reasonably likely to materially affect,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Management’s Annual Report on Internal Control over Financial Reporting</w:t>
      </w:r>
    </w:p>
    <w:p>
      <w:pPr>
        <w:spacing w:after="0" w:line="177"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08"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As of December 31, 2013,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(1992 Framework). Based on the assessment, management determined that the Company maintained effective internal control over financial reporting as of December 31, 2013, based on those criteria.</w:t>
      </w:r>
    </w:p>
    <w:p>
      <w:pPr>
        <w:spacing w:after="0" w:line="108"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2013. The report, which expresses an unqualified opinion on the effectiveness of the Company’s internal control over financial reporting as of December 31, 2013, is included in this Item 9A under the heading “Attestation Report of Independent Registered Public Accounting Firm.”</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80" w:name="page81"/>
    <w:bookmarkEnd w:id="80"/>
    <w:p>
      <w:pPr>
        <w:spacing w:after="0"/>
        <w:rPr>
          <w:sz w:val="20"/>
          <w:szCs w:val="20"/>
          <w:color w:val="auto"/>
        </w:rPr>
      </w:pPr>
      <w:r>
        <w:rPr>
          <w:rFonts w:ascii="Arial" w:cs="Arial" w:eastAsia="Arial" w:hAnsi="Arial"/>
          <w:sz w:val="15"/>
          <w:szCs w:val="15"/>
          <w:i w:val="1"/>
          <w:iCs w:val="1"/>
          <w:color w:val="auto"/>
        </w:rPr>
        <w:t>Attestation Report of Independent Registered Public Accounting Firm</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Report of Independent Registered Public Accounting Firm on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of Rush Enterprises, Inc.</w:t>
      </w:r>
    </w:p>
    <w:p>
      <w:pPr>
        <w:spacing w:after="0" w:line="177"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We have audited Rush Enterprises, Inc. and subsidiaries’ internal control over financial reporting as of December 31, 2013, based on criteria established in Internal Control − Integrated Framework issued by the Committee of Sponsoring Organizations of the Treadway Commission (1992 Framework) (the COSO criteria). Rush Enterprises,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5"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In our opinion, Rush Enterprises, Inc. and subsidiaries maintained, in all material respects, effective internal control over financial reporting as of December 31, 2013, based on the COSO criteria.</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balance sheets of Rush Enterprises, Inc. and subsidiaries as of December 31, 2013, and 2012, and the related consolidated statements of income, comprehensive income, shareholders’ equity, and cash flows for each of the three years in the period ended December 31, 2013, of Rush Enterprises, Inc. and subsidiaries and our report dated March 3, 2014,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San Antonio, Texas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March 3, 2014</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1" w:name="page82"/>
    <w:bookmarkEnd w:id="81"/>
    <w:p>
      <w:pPr>
        <w:jc w:val="center"/>
        <w:spacing w:after="0"/>
        <w:rPr>
          <w:sz w:val="20"/>
          <w:szCs w:val="20"/>
          <w:color w:val="auto"/>
        </w:rPr>
      </w:pPr>
      <w:r>
        <w:rPr>
          <w:rFonts w:ascii="Arial" w:cs="Arial" w:eastAsia="Arial" w:hAnsi="Arial"/>
          <w:sz w:val="15"/>
          <w:szCs w:val="15"/>
          <w:b w:val="1"/>
          <w:bCs w:val="1"/>
          <w:color w:val="auto"/>
        </w:rPr>
        <w:t>PART III</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information called for by Item 10 of Form 10-K is incorporated herein by reference to such information included in the Company’s Proxy Statement for the 2014 Annual Meeting of Shareholders.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Code of Ethics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Arial" w:cs="Arial" w:eastAsia="Arial" w:hAnsi="Arial"/>
          <w:sz w:val="14"/>
          <w:szCs w:val="14"/>
          <w:u w:val="single" w:color="auto"/>
          <w:color w:val="auto"/>
        </w:rPr>
        <w:t>www.rushenterprises.com</w:t>
      </w:r>
      <w:r>
        <w:rPr>
          <w:rFonts w:ascii="Arial" w:cs="Arial" w:eastAsia="Arial" w:hAnsi="Arial"/>
          <w:sz w:val="14"/>
          <w:szCs w:val="14"/>
          <w:color w:val="auto"/>
        </w:rPr>
        <w:t xml:space="preserve"> (This website address is not intended to function as a hyperlink, and the information contained in our website is not incorporated in to this report or otherwise made part of this report). We intend to satisfy the disclosure requirements under Item 5.05 of Form 8-K regarding an amendment to, or waiver from, a provision of this code of ethics, if any, by posting such information on our website set forth above.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information called for by Item 11 of Form 10-K is incorporated herein by reference to such information included in the Company’s Proxy Statement for the 2014 Annual Meeting of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Shareholder Matters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information called for by Item 12 of Form 10-K, other than the equity compensation plan information set forth below, is incorporated herein by reference to such information included in the Company’s Proxy Statement for the 2014 Annual Meeting of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information called for by Item 13 of Form 10-K is incorporated herein by reference to such information included in the Company’s Proxy Statement for the 2014 Annual Meeting of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information called for by Item 14 of Form 10-K is incorporated herein by reference to such information included in the Company’s Proxy Statement for the 2014 Annual Meeting of Shareholders.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5"/>
          <w:szCs w:val="15"/>
          <w:b w:val="1"/>
          <w:bCs w:val="1"/>
          <w:color w:val="auto"/>
        </w:rPr>
        <w:t>PART IV</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(a)(1)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Included in Item 8 of Part II of this annual report on Form 10-K are the following:</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Report of Independent Registered Public Accounting Firm;</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Consolidated Balance Sheets as of December 31, 2013, and 2012;</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Income for the years ended December 31, 2013, 2012, and 2011;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Comprehensive Income for the years ended December 31, 2013, 2012, and 2011;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Shareholders’ Equity for the years ended December 31, 2013, 2012, and 2011;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Cash Flows for the years ended December 31, 2013, 2012, and 2011; 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(a)(2) Financial Statement Schedules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These schedules are omitted as the required information is inapplicable or the information is presented in the consolidated financial statements or related notes.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00" w:type="dxa"/>
            <w:vAlign w:val="bottom"/>
            <w:gridSpan w:val="2"/>
          </w:tcPr>
          <w:p>
            <w:pPr>
              <w:spacing w:after="0"/>
              <w:rPr>
                <w:sz w:val="20"/>
                <w:szCs w:val="20"/>
                <w:color w:val="auto"/>
              </w:rPr>
            </w:pPr>
            <w:r>
              <w:rPr>
                <w:rFonts w:ascii="Arial" w:cs="Arial" w:eastAsia="Arial" w:hAnsi="Arial"/>
                <w:sz w:val="15"/>
                <w:szCs w:val="15"/>
                <w:b w:val="1"/>
                <w:bCs w:val="1"/>
                <w:color w:val="auto"/>
              </w:rPr>
              <w:t>(a)(3) Exhibits</w:t>
            </w:r>
          </w:p>
        </w:tc>
        <w:tc>
          <w:tcPr>
            <w:tcW w:w="4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350"/>
        </w:trPr>
        <w:tc>
          <w:tcPr>
            <w:tcW w:w="1500" w:type="dxa"/>
            <w:vAlign w:val="bottom"/>
            <w:gridSpan w:val="2"/>
          </w:tcPr>
          <w:p>
            <w:pPr>
              <w:spacing w:after="0"/>
              <w:rPr>
                <w:sz w:val="20"/>
                <w:szCs w:val="20"/>
                <w:color w:val="auto"/>
              </w:rPr>
            </w:pPr>
            <w:r>
              <w:rPr>
                <w:rFonts w:ascii="Arial" w:cs="Arial" w:eastAsia="Arial" w:hAnsi="Arial"/>
                <w:sz w:val="15"/>
                <w:szCs w:val="15"/>
                <w:b w:val="1"/>
                <w:bCs w:val="1"/>
                <w:color w:val="auto"/>
              </w:rPr>
              <w:t>Index to Exhibits:</w:t>
            </w:r>
          </w:p>
        </w:tc>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19"/>
        </w:trPr>
        <w:tc>
          <w:tcPr>
            <w:tcW w:w="150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9980" w:type="dxa"/>
            <w:vAlign w:val="bottom"/>
            <w:gridSpan w:val="3"/>
          </w:tcPr>
          <w:p>
            <w:pPr>
              <w:ind w:left="4280"/>
              <w:spacing w:after="0"/>
              <w:rPr>
                <w:sz w:val="20"/>
                <w:szCs w:val="20"/>
                <w:color w:val="auto"/>
              </w:rPr>
            </w:pPr>
            <w:r>
              <w:rPr>
                <w:rFonts w:ascii="Arial" w:cs="Arial" w:eastAsia="Arial" w:hAnsi="Arial"/>
                <w:sz w:val="15"/>
                <w:szCs w:val="15"/>
                <w:b w:val="1"/>
                <w:bCs w:val="1"/>
                <w:color w:val="auto"/>
              </w:rPr>
              <w:t>Identification of Exhibit</w:t>
            </w:r>
          </w:p>
        </w:tc>
      </w:tr>
      <w:tr>
        <w:trPr>
          <w:trHeight w:val="155"/>
        </w:trPr>
        <w:tc>
          <w:tcPr>
            <w:tcW w:w="1500" w:type="dxa"/>
            <w:vAlign w:val="bottom"/>
            <w:gridSpan w:val="2"/>
          </w:tcPr>
          <w:p>
            <w:pPr>
              <w:spacing w:after="0" w:line="155" w:lineRule="exact"/>
              <w:rPr>
                <w:sz w:val="20"/>
                <w:szCs w:val="20"/>
                <w:color w:val="auto"/>
              </w:rPr>
            </w:pPr>
            <w:r>
              <w:rPr>
                <w:rFonts w:ascii="Arial" w:cs="Arial" w:eastAsia="Arial" w:hAnsi="Arial"/>
                <w:sz w:val="15"/>
                <w:szCs w:val="15"/>
                <w:b w:val="1"/>
                <w:bCs w:val="1"/>
                <w:color w:val="auto"/>
              </w:rPr>
              <w:t>No.</w:t>
            </w:r>
          </w:p>
        </w:tc>
        <w:tc>
          <w:tcPr>
            <w:tcW w:w="428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4200" w:type="dxa"/>
            <w:vAlign w:val="bottom"/>
          </w:tcPr>
          <w:p>
            <w:pPr>
              <w:spacing w:after="0"/>
              <w:rPr>
                <w:sz w:val="13"/>
                <w:szCs w:val="13"/>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352"/>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2.1</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3"/>
              </w:rPr>
              <w:t>Asset Purchase Agreement, dated March 19, 2010 (incorporated herein by reference to Exhibit 2.1 of the Company’s Current Report on Form 8-K (File No.</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000-20797) filed March 25, 2010)</w:t>
            </w:r>
          </w:p>
        </w:tc>
      </w:tr>
      <w:tr>
        <w:trPr>
          <w:trHeight w:val="341"/>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2.2</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5"/>
              </w:rPr>
              <w:t>Amendment #1, dated as of May 24, 2010, to Asset Purchase Agreement, dated March 19, 2010 (incorporated herein by reference to Exhibit 2.1 of the</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Company’s Current Report on Form 8-K (File No. 000-20797) filed May 26, 2010)</w:t>
            </w:r>
          </w:p>
        </w:tc>
      </w:tr>
      <w:tr>
        <w:trPr>
          <w:trHeight w:val="341"/>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3.1</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2"/>
              </w:rPr>
              <w:t>Restated Articles of Incorporation of Rush Enterprises, Inc. (incorporated herein by reference to Exhibit 3.1 of the Company’s Quarterly Report on Form 10-Q</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(File No. 000-20797) for the quarter ended June 30, 2008)</w:t>
            </w:r>
          </w:p>
        </w:tc>
      </w:tr>
      <w:tr>
        <w:trPr>
          <w:trHeight w:val="341"/>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3.2</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1"/>
              </w:rPr>
              <w:t>Rush Enterprises, Inc. Amended and Restated Bylaws (incorporated herein by reference to Exhibit 3.1 of the Company’s Current Report on Form 8-K (File No.</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000-20797) filed May 21, 2013)</w:t>
            </w:r>
          </w:p>
        </w:tc>
      </w:tr>
      <w:tr>
        <w:trPr>
          <w:trHeight w:val="341"/>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4.1</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1"/>
              </w:rPr>
              <w:t>Specimen of certificate representing Common Stock (now Class B Common Stock), $.01 par value, of Rush Enterprises, Inc. (incorporated herein by reference</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to Exhibit 4.1 of the Company’s Registration Statement No. 333-03346 on Form S-1 filed April 10, 1996)</w:t>
            </w:r>
          </w:p>
        </w:tc>
      </w:tr>
      <w:tr>
        <w:trPr>
          <w:trHeight w:val="341"/>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4.2</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7"/>
              </w:rPr>
              <w:t>Specimen of certificate representing Class A Common Stock, $.01 par value, of the Registrant (incorporated herein by reference to Exhibit 4.1 of the</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Company’s Registration Statement on Form 8-A filed July 9, 2002)</w:t>
            </w:r>
          </w:p>
        </w:tc>
      </w:tr>
      <w:tr>
        <w:trPr>
          <w:trHeight w:val="341"/>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10.1</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2"/>
              </w:rPr>
              <w:t>Right of First Refusal dated December 19, 2012 between Peterbilt Motors Company and W. Marvin Rush (incorporated herein by reference to Exhibit 10.2 of</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the Company’s Current Report on Form 8-K (File No. 000-20797) filed December 20, 2012)</w:t>
            </w:r>
          </w:p>
        </w:tc>
      </w:tr>
      <w:tr>
        <w:trPr>
          <w:trHeight w:val="341"/>
        </w:trPr>
        <w:tc>
          <w:tcPr>
            <w:tcW w:w="1500" w:type="dxa"/>
            <w:vAlign w:val="bottom"/>
            <w:gridSpan w:val="2"/>
          </w:tcPr>
          <w:p>
            <w:pPr>
              <w:ind w:left="140"/>
              <w:spacing w:after="0"/>
              <w:rPr>
                <w:sz w:val="20"/>
                <w:szCs w:val="20"/>
                <w:color w:val="auto"/>
              </w:rPr>
            </w:pPr>
            <w:r>
              <w:rPr>
                <w:rFonts w:ascii="Arial" w:cs="Arial" w:eastAsia="Arial" w:hAnsi="Arial"/>
                <w:sz w:val="15"/>
                <w:szCs w:val="15"/>
                <w:color w:val="auto"/>
              </w:rPr>
              <w:t>10.2</w:t>
            </w: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w w:val="92"/>
              </w:rPr>
              <w:t>Right of First Refusal dated December 19, 2012 between Peterbilt Motors Company and W.M. “Rusty” Rush (incorporated herein by reference to Exhibit 10.</w:t>
            </w:r>
          </w:p>
        </w:tc>
      </w:tr>
      <w:tr>
        <w:trPr>
          <w:trHeight w:val="18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980" w:type="dxa"/>
            <w:vAlign w:val="bottom"/>
            <w:gridSpan w:val="3"/>
          </w:tcPr>
          <w:p>
            <w:pPr>
              <w:ind w:left="380"/>
              <w:spacing w:after="0"/>
              <w:rPr>
                <w:sz w:val="20"/>
                <w:szCs w:val="20"/>
                <w:color w:val="auto"/>
              </w:rPr>
            </w:pPr>
            <w:r>
              <w:rPr>
                <w:rFonts w:ascii="Arial" w:cs="Arial" w:eastAsia="Arial" w:hAnsi="Arial"/>
                <w:sz w:val="15"/>
                <w:szCs w:val="15"/>
                <w:color w:val="auto"/>
              </w:rPr>
              <w:t>of the Company’s Current Report on Form 8-K (File No. 000-20797) filed December 20, 2012)</w:t>
            </w:r>
          </w:p>
        </w:tc>
      </w:tr>
      <w:tr>
        <w:trPr>
          <w:trHeight w:val="590"/>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780" w:type="dxa"/>
            <w:vAlign w:val="bottom"/>
            <w:gridSpan w:val="2"/>
          </w:tcPr>
          <w:p>
            <w:pPr>
              <w:ind w:left="4160"/>
              <w:spacing w:after="0"/>
              <w:rPr>
                <w:sz w:val="20"/>
                <w:szCs w:val="20"/>
                <w:color w:val="auto"/>
              </w:rPr>
            </w:pPr>
            <w:r>
              <w:rPr>
                <w:rFonts w:ascii="Arial" w:cs="Arial" w:eastAsia="Arial" w:hAnsi="Arial"/>
                <w:sz w:val="15"/>
                <w:szCs w:val="15"/>
                <w:color w:val="auto"/>
              </w:rPr>
              <w:t>80</w:t>
            </w:r>
          </w:p>
        </w:tc>
        <w:tc>
          <w:tcPr>
            <w:tcW w:w="4200" w:type="dxa"/>
            <w:vAlign w:val="bottom"/>
          </w:tcPr>
          <w:p>
            <w:pPr>
              <w:spacing w:after="0"/>
              <w:rPr>
                <w:sz w:val="24"/>
                <w:szCs w:val="24"/>
                <w:color w:val="auto"/>
              </w:rPr>
            </w:pPr>
          </w:p>
        </w:tc>
      </w:tr>
      <w:tr>
        <w:trPr>
          <w:trHeight w:val="117"/>
        </w:trPr>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5"/>
        </w:trPr>
        <w:tc>
          <w:tcPr>
            <w:tcW w:w="1220" w:type="dxa"/>
            <w:vAlign w:val="bottom"/>
          </w:tcPr>
          <w:p>
            <w:pPr>
              <w:ind w:left="140"/>
              <w:spacing w:after="0"/>
              <w:rPr>
                <w:sz w:val="20"/>
                <w:szCs w:val="20"/>
                <w:color w:val="auto"/>
              </w:rPr>
            </w:pPr>
            <w:r>
              <w:rPr>
                <w:rFonts w:ascii="Arial" w:cs="Arial" w:eastAsia="Arial" w:hAnsi="Arial"/>
                <w:sz w:val="15"/>
                <w:szCs w:val="15"/>
                <w:color w:val="auto"/>
              </w:rPr>
              <w:t>10.3+</w:t>
            </w: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Rush Enterprises, Inc. Long-Term Incentive Plan, as amended (incorporated herein by reference to Exhibit 4.1 of the Company’s Registration Statement No.</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333-117305 on Form S-8 filed July 12, 2004)</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10.4+</w:t>
            </w:r>
          </w:p>
        </w:tc>
        <w:tc>
          <w:tcPr>
            <w:tcW w:w="10260" w:type="dxa"/>
            <w:vAlign w:val="bottom"/>
          </w:tcPr>
          <w:p>
            <w:pPr>
              <w:ind w:left="660"/>
              <w:spacing w:after="0"/>
              <w:rPr>
                <w:sz w:val="20"/>
                <w:szCs w:val="20"/>
                <w:color w:val="auto"/>
              </w:rPr>
            </w:pPr>
            <w:r>
              <w:rPr>
                <w:rFonts w:ascii="Arial" w:cs="Arial" w:eastAsia="Arial" w:hAnsi="Arial"/>
                <w:sz w:val="15"/>
                <w:szCs w:val="15"/>
                <w:color w:val="auto"/>
                <w:w w:val="95"/>
              </w:rPr>
              <w:t>Form of Rush Enterprises, Inc. Long-Term Incentive Plan Stock Option Agreement (incorporated herein by reference to Exhibit 10.85 of the Company’s</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Registration Statement No. 333-03346 on Form S-1 filed April 10, 1996)</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10.5+</w:t>
            </w:r>
          </w:p>
        </w:tc>
        <w:tc>
          <w:tcPr>
            <w:tcW w:w="10260" w:type="dxa"/>
            <w:vAlign w:val="bottom"/>
          </w:tcPr>
          <w:p>
            <w:pPr>
              <w:ind w:left="660"/>
              <w:spacing w:after="0"/>
              <w:rPr>
                <w:sz w:val="20"/>
                <w:szCs w:val="20"/>
                <w:color w:val="auto"/>
              </w:rPr>
            </w:pPr>
            <w:r>
              <w:rPr>
                <w:rFonts w:ascii="Arial" w:cs="Arial" w:eastAsia="Arial" w:hAnsi="Arial"/>
                <w:sz w:val="15"/>
                <w:szCs w:val="15"/>
                <w:color w:val="auto"/>
                <w:w w:val="91"/>
              </w:rPr>
              <w:t>Rush Enterprises, Inc. Amended and Restated 1997 Non-Employee Director Stock Option Plan, as amended (incorporated herein by reference to Exhibit 10.1</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of the Company’s Quarterly Report on Form 10-Q (File No. 000-20797) for the quarter ended December 31, 2010)</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10.6+</w:t>
            </w:r>
          </w:p>
        </w:tc>
        <w:tc>
          <w:tcPr>
            <w:tcW w:w="10260" w:type="dxa"/>
            <w:vAlign w:val="bottom"/>
          </w:tcPr>
          <w:p>
            <w:pPr>
              <w:ind w:left="660"/>
              <w:spacing w:after="0"/>
              <w:rPr>
                <w:sz w:val="20"/>
                <w:szCs w:val="20"/>
                <w:color w:val="auto"/>
              </w:rPr>
            </w:pPr>
            <w:r>
              <w:rPr>
                <w:rFonts w:ascii="Arial" w:cs="Arial" w:eastAsia="Arial" w:hAnsi="Arial"/>
                <w:sz w:val="15"/>
                <w:szCs w:val="15"/>
                <w:color w:val="auto"/>
                <w:w w:val="95"/>
              </w:rPr>
              <w:t>Form of Rush Enterprises, Inc. 1997 Non-Employee Director Stock Option Agreement (incorporated herein by reference to Exhibit 4.4 of the Company’s</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Registration Statement No. 333-117305 on Form S-8 filed July 12, 2004)</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10.7+</w:t>
            </w:r>
          </w:p>
        </w:tc>
        <w:tc>
          <w:tcPr>
            <w:tcW w:w="10260" w:type="dxa"/>
            <w:vAlign w:val="bottom"/>
          </w:tcPr>
          <w:p>
            <w:pPr>
              <w:ind w:left="660"/>
              <w:spacing w:after="0"/>
              <w:rPr>
                <w:sz w:val="20"/>
                <w:szCs w:val="20"/>
                <w:color w:val="auto"/>
              </w:rPr>
            </w:pPr>
            <w:r>
              <w:rPr>
                <w:rFonts w:ascii="Arial" w:cs="Arial" w:eastAsia="Arial" w:hAnsi="Arial"/>
                <w:sz w:val="15"/>
                <w:szCs w:val="15"/>
                <w:color w:val="auto"/>
                <w:w w:val="94"/>
              </w:rPr>
              <w:t>Rush Enterprises, Inc. 2004 Employee Stock Purchase Plan, as amended (incorporated herein by reference to Exhibit 4.1 of the Company’s Registration</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Statement No. 333-121355 on Form S-8 filed December 17, 2004)</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10.8+</w:t>
            </w: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Rush Enterprises, Inc. Amended and Restated 2006 Non-Employee Director Stock Plan (incorporated herein by reference to Exhibit 10.10 of the Company’s</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Form 10-K (File No. 000-20797) for the year ended December 31, 2010)</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10.9+</w:t>
            </w:r>
          </w:p>
        </w:tc>
        <w:tc>
          <w:tcPr>
            <w:tcW w:w="10260" w:type="dxa"/>
            <w:vAlign w:val="bottom"/>
          </w:tcPr>
          <w:p>
            <w:pPr>
              <w:ind w:left="660"/>
              <w:spacing w:after="0"/>
              <w:rPr>
                <w:sz w:val="20"/>
                <w:szCs w:val="20"/>
                <w:color w:val="auto"/>
              </w:rPr>
            </w:pPr>
            <w:r>
              <w:rPr>
                <w:rFonts w:ascii="Arial" w:cs="Arial" w:eastAsia="Arial" w:hAnsi="Arial"/>
                <w:sz w:val="15"/>
                <w:szCs w:val="15"/>
                <w:color w:val="auto"/>
                <w:w w:val="95"/>
              </w:rPr>
              <w:t>Form of Rush Enterprises, Inc. 2006 Non-Employee Director Stock Option Agreement (incorporated herein by reference to Exhibit 4.4 of the Company’s</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Registration Statement No. 333-138556 on Form S-8 filed November 9, 2006)</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10.10+</w:t>
            </w: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Form of Rush Enterprises, Inc. 2006 Non-Employee Director Stock Plan Restricted Stock Unit Award Agreement (incorporated herein by reference to Exhibit</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10.1 of the Company’s Form 10-Q (File No. 000-20797) for the quarter ended June 30, 2012)</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10.11+</w:t>
            </w:r>
          </w:p>
        </w:tc>
        <w:tc>
          <w:tcPr>
            <w:tcW w:w="10260" w:type="dxa"/>
            <w:vAlign w:val="bottom"/>
          </w:tcPr>
          <w:p>
            <w:pPr>
              <w:ind w:left="660"/>
              <w:spacing w:after="0"/>
              <w:rPr>
                <w:sz w:val="20"/>
                <w:szCs w:val="20"/>
                <w:color w:val="auto"/>
              </w:rPr>
            </w:pPr>
            <w:r>
              <w:rPr>
                <w:rFonts w:ascii="Arial" w:cs="Arial" w:eastAsia="Arial" w:hAnsi="Arial"/>
                <w:sz w:val="15"/>
                <w:szCs w:val="15"/>
                <w:color w:val="auto"/>
                <w:w w:val="95"/>
              </w:rPr>
              <w:t>Rush Enterprises, Inc. 2007 Long-Term Incentive Plan (incorporated herein by reference to Appendix A to the Company’s Definitive Proxy Statement on</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Schedule 14A filed April 6, 2010)</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10.12+</w:t>
            </w:r>
          </w:p>
        </w:tc>
        <w:tc>
          <w:tcPr>
            <w:tcW w:w="10260" w:type="dxa"/>
            <w:vAlign w:val="bottom"/>
          </w:tcPr>
          <w:p>
            <w:pPr>
              <w:ind w:left="660"/>
              <w:spacing w:after="0"/>
              <w:rPr>
                <w:sz w:val="20"/>
                <w:szCs w:val="20"/>
                <w:color w:val="auto"/>
              </w:rPr>
            </w:pPr>
            <w:r>
              <w:rPr>
                <w:rFonts w:ascii="Arial" w:cs="Arial" w:eastAsia="Arial" w:hAnsi="Arial"/>
                <w:sz w:val="15"/>
                <w:szCs w:val="15"/>
                <w:color w:val="auto"/>
                <w:w w:val="97"/>
              </w:rPr>
              <w:t>Form of Rush Enterprises Inc. 2007 Long-Term Incentive Plan Restricted Stock Agreement (incorporated herein by reference to Exhibit 10.13 of the</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Company’s Form 10-K (File No. 000-20797) for the year ended December 31, 2008)</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10.13+</w:t>
            </w:r>
          </w:p>
        </w:tc>
        <w:tc>
          <w:tcPr>
            <w:tcW w:w="10260" w:type="dxa"/>
            <w:vAlign w:val="bottom"/>
          </w:tcPr>
          <w:p>
            <w:pPr>
              <w:ind w:left="660"/>
              <w:spacing w:after="0"/>
              <w:rPr>
                <w:sz w:val="20"/>
                <w:szCs w:val="20"/>
                <w:color w:val="auto"/>
              </w:rPr>
            </w:pPr>
            <w:r>
              <w:rPr>
                <w:rFonts w:ascii="Arial" w:cs="Arial" w:eastAsia="Arial" w:hAnsi="Arial"/>
                <w:sz w:val="15"/>
                <w:szCs w:val="15"/>
                <w:color w:val="auto"/>
                <w:w w:val="95"/>
              </w:rPr>
              <w:t>Form of Rush Enterprises, Inc. 2007 Long-Term Incentive Plan Restricted Stock Unit Agreement (incorporated herein by reference to Exhibit 10.1 of the</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Company’s Current Report on Form 8-K (File No. 000-20797) filed March 14, 2012)</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10.14+</w:t>
            </w:r>
          </w:p>
        </w:tc>
        <w:tc>
          <w:tcPr>
            <w:tcW w:w="10260" w:type="dxa"/>
            <w:vAlign w:val="bottom"/>
          </w:tcPr>
          <w:p>
            <w:pPr>
              <w:ind w:left="660"/>
              <w:spacing w:after="0"/>
              <w:rPr>
                <w:sz w:val="20"/>
                <w:szCs w:val="20"/>
                <w:color w:val="auto"/>
              </w:rPr>
            </w:pPr>
            <w:r>
              <w:rPr>
                <w:rFonts w:ascii="Arial" w:cs="Arial" w:eastAsia="Arial" w:hAnsi="Arial"/>
                <w:sz w:val="15"/>
                <w:szCs w:val="15"/>
                <w:color w:val="auto"/>
                <w:w w:val="93"/>
              </w:rPr>
              <w:t>Form of Rush Enterprises, Inc. 2007 Long-Term Incentive Plan Stock Option Agreement (incorporated herein by reference to Exhibit 4.4 of the Company’s</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Form S-8 (File No. 333-144821) filed July 24, 2007)</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10.15</w:t>
            </w: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Form of dealer agreement between Peterbilt Motors Company and Rush Truck Centers (incorporated herein by reference to Exhibit 10.18 of the Company’s</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Form 10-K (File No. 000-20797) for the year ended December 31, 1999)</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10.16</w:t>
            </w:r>
          </w:p>
        </w:tc>
        <w:tc>
          <w:tcPr>
            <w:tcW w:w="10260" w:type="dxa"/>
            <w:vAlign w:val="bottom"/>
          </w:tcPr>
          <w:p>
            <w:pPr>
              <w:ind w:left="660"/>
              <w:spacing w:after="0"/>
              <w:rPr>
                <w:sz w:val="20"/>
                <w:szCs w:val="20"/>
                <w:color w:val="auto"/>
              </w:rPr>
            </w:pPr>
            <w:r>
              <w:rPr>
                <w:rFonts w:ascii="Arial" w:cs="Arial" w:eastAsia="Arial" w:hAnsi="Arial"/>
                <w:sz w:val="15"/>
                <w:szCs w:val="15"/>
                <w:color w:val="auto"/>
                <w:w w:val="91"/>
              </w:rPr>
              <w:t>Amended and Restated Amendment to Dealer Sales and Service Agreements, dated December 19, 2012, by and among Peterbilt Motors Company, a division</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1"/>
              </w:rPr>
              <w:t>of PACCAR, Inc., Rush Enterprises, Inc. and the subsidiaries of Rush Enterprises, Inc. named a party therein (incorporated herein by reference to Exhibit 10.1</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of the Company's Form 8-K (File No. 000-20797) filed December 20, 2012)</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10.17</w:t>
            </w:r>
          </w:p>
        </w:tc>
        <w:tc>
          <w:tcPr>
            <w:tcW w:w="10260" w:type="dxa"/>
            <w:vAlign w:val="bottom"/>
          </w:tcPr>
          <w:p>
            <w:pPr>
              <w:ind w:left="660"/>
              <w:spacing w:after="0"/>
              <w:rPr>
                <w:sz w:val="20"/>
                <w:szCs w:val="20"/>
                <w:color w:val="auto"/>
              </w:rPr>
            </w:pPr>
            <w:r>
              <w:rPr>
                <w:rFonts w:ascii="Arial" w:cs="Arial" w:eastAsia="Arial" w:hAnsi="Arial"/>
                <w:sz w:val="15"/>
                <w:szCs w:val="15"/>
                <w:color w:val="auto"/>
                <w:w w:val="96"/>
              </w:rPr>
              <w:t>Guaranty Agreement, dated December 31, 2010, by Rush Enterprises, Inc. and each other Guarantor party thereto in favor of General Electric Capital</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4"/>
              </w:rPr>
              <w:t>Corporation. (incorporated herein by reference to Exhibit 10.2 of the Company’s Current Report on Form 8-K (File No. 000-20797) filed January 6, 2011)</w:t>
            </w:r>
          </w:p>
        </w:tc>
      </w:tr>
      <w:tr>
        <w:trPr>
          <w:trHeight w:val="590"/>
        </w:trPr>
        <w:tc>
          <w:tcPr>
            <w:tcW w:w="1220" w:type="dxa"/>
            <w:vAlign w:val="bottom"/>
          </w:tcPr>
          <w:p>
            <w:pPr>
              <w:spacing w:after="0"/>
              <w:rPr>
                <w:sz w:val="24"/>
                <w:szCs w:val="24"/>
                <w:color w:val="auto"/>
              </w:rPr>
            </w:pPr>
          </w:p>
        </w:tc>
        <w:tc>
          <w:tcPr>
            <w:tcW w:w="10260" w:type="dxa"/>
            <w:vAlign w:val="bottom"/>
          </w:tcPr>
          <w:p>
            <w:pPr>
              <w:ind w:left="4440"/>
              <w:spacing w:after="0"/>
              <w:rPr>
                <w:sz w:val="20"/>
                <w:szCs w:val="20"/>
                <w:color w:val="auto"/>
              </w:rPr>
            </w:pPr>
            <w:r>
              <w:rPr>
                <w:rFonts w:ascii="Arial" w:cs="Arial" w:eastAsia="Arial" w:hAnsi="Arial"/>
                <w:sz w:val="15"/>
                <w:szCs w:val="15"/>
                <w:color w:val="auto"/>
              </w:rPr>
              <w:t>81</w:t>
            </w:r>
          </w:p>
        </w:tc>
      </w:tr>
      <w:tr>
        <w:trPr>
          <w:trHeight w:val="117"/>
        </w:trPr>
        <w:tc>
          <w:tcPr>
            <w:tcW w:w="122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5"/>
        </w:trPr>
        <w:tc>
          <w:tcPr>
            <w:tcW w:w="1220" w:type="dxa"/>
            <w:vAlign w:val="bottom"/>
          </w:tcPr>
          <w:p>
            <w:pPr>
              <w:ind w:left="140"/>
              <w:spacing w:after="0"/>
              <w:rPr>
                <w:sz w:val="20"/>
                <w:szCs w:val="20"/>
                <w:color w:val="auto"/>
              </w:rPr>
            </w:pPr>
            <w:r>
              <w:rPr>
                <w:rFonts w:ascii="Arial" w:cs="Arial" w:eastAsia="Arial" w:hAnsi="Arial"/>
                <w:sz w:val="15"/>
                <w:szCs w:val="15"/>
                <w:color w:val="auto"/>
              </w:rPr>
              <w:t>10.18</w:t>
            </w: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Amended and Restated Credit Agreement, dated January 31, 2012, among Rush Truck Centers of Alabama, Inc., Rush Truck Centers of Arizona, Inc., Rush</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3"/>
              </w:rPr>
              <w:t>Truck Centers of California, Inc., Rush Medium Duty Truck Centers of Colorado, Inc., Rush Truck Centers of Colorado, Inc., Rush Truck Centers of Florida,</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0"/>
              </w:rPr>
              <w:t>Inc., Rush Truck Centers of Georgia, Inc., Rush Truck Centers of New Mexico, Inc., Rush Truck Centers of Oklahoma, Inc., Rush Truck Centers of Tennessee,</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3"/>
              </w:rPr>
              <w:t>Inc., Rush Truck Centers of North Carolina, Inc., Rush Truck Centers of Idaho, Inc., Rush Truck Centers of Utah, Inc., and Rush Truck Centers of Oregon,</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Inc., Rush Truck Centers of Texas, L.P., Rush Enterprises, Inc., the Lenders party thereto, and General Electric Capital Corporation (incorporated herein by</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reference to Exhibit 10.1 of the Company’s Current Report on Form 8-K (File No. 000-20797) filed February 2, 2012)</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10.19</w:t>
            </w:r>
          </w:p>
        </w:tc>
        <w:tc>
          <w:tcPr>
            <w:tcW w:w="10260" w:type="dxa"/>
            <w:vAlign w:val="bottom"/>
          </w:tcPr>
          <w:p>
            <w:pPr>
              <w:ind w:left="660"/>
              <w:spacing w:after="0"/>
              <w:rPr>
                <w:sz w:val="20"/>
                <w:szCs w:val="20"/>
                <w:color w:val="auto"/>
              </w:rPr>
            </w:pPr>
            <w:r>
              <w:rPr>
                <w:rFonts w:ascii="Arial" w:cs="Arial" w:eastAsia="Arial" w:hAnsi="Arial"/>
                <w:sz w:val="15"/>
                <w:szCs w:val="15"/>
                <w:color w:val="auto"/>
                <w:w w:val="91"/>
              </w:rPr>
              <w:t>First Amendment to Credit Agreement, dated March 29, 2012, by and among Rush Truck Centers of Alabama, Inc., Rush Truck Centers of Arizona, Inc., Rush</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3"/>
              </w:rPr>
              <w:t>Truck Centers of California, Inc., Rush Medium Duty Truck Centers of Colorado, Inc., Rush Truck Centers of Colorado, Inc., Rush Truck Centers of Florida,</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0"/>
              </w:rPr>
              <w:t>Inc., Rush Truck Centers of Georgia, Inc., Rush Truck Centers of New Mexico, Inc., Rush Truck Centers of Oklahoma, Inc., Rush Truck Centers of Tennessee,</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3"/>
              </w:rPr>
              <w:t>Inc., Rush Truck Centers of North Carolina, Inc., Rush Truck Centers of Idaho, Inc., Rush Truck Centers of Utah, Inc., and Rush Truck Centers of Oregon,</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Inc., Rush Truck Centers of Texas, L.P., Rush Enterprises, Inc., the Lenders party thereto, and General Electric Capital Corporation (incorporated herein by</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reference to Exhibit 10.3 of the Company’s Form 10-Q (File No. 000-20797) for the quarter ended March 31, 2012)</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10.20</w:t>
            </w:r>
          </w:p>
        </w:tc>
        <w:tc>
          <w:tcPr>
            <w:tcW w:w="10260" w:type="dxa"/>
            <w:vAlign w:val="bottom"/>
          </w:tcPr>
          <w:p>
            <w:pPr>
              <w:ind w:left="660"/>
              <w:spacing w:after="0"/>
              <w:rPr>
                <w:sz w:val="20"/>
                <w:szCs w:val="20"/>
                <w:color w:val="auto"/>
              </w:rPr>
            </w:pPr>
            <w:r>
              <w:rPr>
                <w:rFonts w:ascii="Arial" w:cs="Arial" w:eastAsia="Arial" w:hAnsi="Arial"/>
                <w:sz w:val="15"/>
                <w:szCs w:val="15"/>
                <w:color w:val="auto"/>
                <w:w w:val="91"/>
              </w:rPr>
              <w:t>Second Amendment to Credit Agreement, dated December 31, 2012, among Rush Truck Centers of Alabama, Inc., Rush Truck Centers of Arizona, Inc., Rush</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3"/>
              </w:rPr>
              <w:t>Truck Centers of California, Inc., Rush Medium Duty Truck Centers of Colorado, Inc., Rush Truck Centers of Colorado, Inc., Rush Truck Centers of Florida,</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0"/>
              </w:rPr>
              <w:t>Inc., Rush Truck Centers of Georgia, Inc., Rush Truck Centers of New Mexico, Inc., Rush Truck Centers of Oklahoma, Inc., Rush Truck Centers of Tennessee,</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3"/>
              </w:rPr>
              <w:t>Inc., Rush Truck Centers of North Carolina, Inc., Rush Truck Centers of Idaho, Inc., Rush Truck Centers of Utah, Inc., and Rush Truck Centers of Oregon,</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4"/>
              </w:rPr>
              <w:t>Inc., Rush Truck Centers of Texas, L.P., Rush Truck Centers of Ohio, Inc., Rush Enterprises, Inc., the Lenders party thereto, and General Electric Capital</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5"/>
              </w:rPr>
              <w:t>Corporation (incorporated herein by reference to Exhibit 10.1 of the Company’s Current Report on Form 8-K (File No. 000-20797) filed January 3, 2013)</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10.21</w:t>
            </w: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Third Amendment to Credit Agreement, dated July 11, 2013, among Rush Truck Centers of Alabama, Inc., Rush Truck Centers of Arizona, Inc., Rush Truck</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4"/>
              </w:rPr>
              <w:t>Centers of California, Inc., Rush Medium Duty Truck Centers of Colorado, Inc., Rush Truck Centers of Colorado, Inc., Rush Truck Centers of Florida, Inc.,</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0"/>
              </w:rPr>
              <w:t>Rush Truck Centers of Georgia, Inc., Rush Truck Centers of New Mexico, Inc., Rush Truck Centers of Oklahoma, Inc., Rush Truck Centers of Tennessee, Inc.,</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Rush Truck Centers of North Carolina, Inc., Rush Truck Centers of Idaho, Inc., Rush Truck Centers of Utah, Inc., Rush Truck Centers of Oregon, Inc., Rush</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Truck Centers of Ohio, Inc., Rush Truck Centers of Kansas, Inc., Rush Truck Centers of Missouri, Inc., Rush Truck Centers of Texas, L.P., Rush Enterprises,</w:t>
            </w:r>
          </w:p>
        </w:tc>
      </w:tr>
      <w:tr>
        <w:trPr>
          <w:trHeight w:val="175"/>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w w:val="91"/>
              </w:rPr>
              <w:t>Inc., the Lenders party thereto, and GE Capital Commercial Inc. (incorporated herein by reference to Exhibit 10.1 of the Company’s Current Report on Form 8-</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K (File No. 000-20797) filed July 16, 2013)</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10.20+</w:t>
            </w:r>
          </w:p>
        </w:tc>
        <w:tc>
          <w:tcPr>
            <w:tcW w:w="10260" w:type="dxa"/>
            <w:vAlign w:val="bottom"/>
          </w:tcPr>
          <w:p>
            <w:pPr>
              <w:ind w:left="660"/>
              <w:spacing w:after="0"/>
              <w:rPr>
                <w:sz w:val="20"/>
                <w:szCs w:val="20"/>
                <w:color w:val="auto"/>
              </w:rPr>
            </w:pPr>
            <w:r>
              <w:rPr>
                <w:rFonts w:ascii="Arial" w:cs="Arial" w:eastAsia="Arial" w:hAnsi="Arial"/>
                <w:sz w:val="15"/>
                <w:szCs w:val="15"/>
                <w:color w:val="auto"/>
                <w:w w:val="91"/>
              </w:rPr>
              <w:t>Rush Enterprises, Inc. Deferred Compensation Plan (incorporated herein by reference to Exhibit 10.1 of the Company’s Current Report on Form 8-K (File No.</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000-20797) filed November 12, 2010)</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10.23+</w:t>
            </w:r>
          </w:p>
        </w:tc>
        <w:tc>
          <w:tcPr>
            <w:tcW w:w="10260" w:type="dxa"/>
            <w:vAlign w:val="bottom"/>
          </w:tcPr>
          <w:p>
            <w:pPr>
              <w:ind w:left="660"/>
              <w:spacing w:after="0"/>
              <w:rPr>
                <w:sz w:val="20"/>
                <w:szCs w:val="20"/>
                <w:color w:val="auto"/>
              </w:rPr>
            </w:pPr>
            <w:r>
              <w:rPr>
                <w:rFonts w:ascii="Arial" w:cs="Arial" w:eastAsia="Arial" w:hAnsi="Arial"/>
                <w:sz w:val="15"/>
                <w:szCs w:val="15"/>
                <w:color w:val="auto"/>
                <w:w w:val="94"/>
              </w:rPr>
              <w:t>Form of Indemnity Agreement (incorporated herein by reference to Exhibit 10.1 of the Company’s Current Report on Form 8-K (File No. 000-20797) filed</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February 27, 2007)</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10.24+</w:t>
            </w:r>
          </w:p>
        </w:tc>
        <w:tc>
          <w:tcPr>
            <w:tcW w:w="10260" w:type="dxa"/>
            <w:vAlign w:val="bottom"/>
          </w:tcPr>
          <w:p>
            <w:pPr>
              <w:ind w:left="660"/>
              <w:spacing w:after="0"/>
              <w:rPr>
                <w:sz w:val="20"/>
                <w:szCs w:val="20"/>
                <w:color w:val="auto"/>
              </w:rPr>
            </w:pPr>
            <w:r>
              <w:rPr>
                <w:rFonts w:ascii="Arial" w:cs="Arial" w:eastAsia="Arial" w:hAnsi="Arial"/>
                <w:sz w:val="15"/>
                <w:szCs w:val="15"/>
                <w:color w:val="auto"/>
                <w:w w:val="94"/>
              </w:rPr>
              <w:t>Rush Enterprises, Inc. Executive Transition Plan (incorporated herein by reference to Exhibit 10.1 of the Company’s Current Report on Form 8-K (File No.</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000-20797) filed July 25, 2008)</w:t>
            </w:r>
          </w:p>
        </w:tc>
      </w:tr>
      <w:tr>
        <w:trPr>
          <w:trHeight w:val="341"/>
        </w:trPr>
        <w:tc>
          <w:tcPr>
            <w:tcW w:w="1220" w:type="dxa"/>
            <w:vAlign w:val="bottom"/>
          </w:tcPr>
          <w:p>
            <w:pPr>
              <w:ind w:left="140"/>
              <w:spacing w:after="0"/>
              <w:rPr>
                <w:sz w:val="20"/>
                <w:szCs w:val="20"/>
                <w:color w:val="auto"/>
              </w:rPr>
            </w:pPr>
            <w:r>
              <w:rPr>
                <w:rFonts w:ascii="Arial" w:cs="Arial" w:eastAsia="Arial" w:hAnsi="Arial"/>
                <w:sz w:val="15"/>
                <w:szCs w:val="15"/>
                <w:color w:val="auto"/>
              </w:rPr>
              <w:t>10.25+</w:t>
            </w:r>
          </w:p>
        </w:tc>
        <w:tc>
          <w:tcPr>
            <w:tcW w:w="10260" w:type="dxa"/>
            <w:vAlign w:val="bottom"/>
          </w:tcPr>
          <w:p>
            <w:pPr>
              <w:ind w:left="660"/>
              <w:spacing w:after="0"/>
              <w:rPr>
                <w:sz w:val="20"/>
                <w:szCs w:val="20"/>
                <w:color w:val="auto"/>
              </w:rPr>
            </w:pPr>
            <w:r>
              <w:rPr>
                <w:rFonts w:ascii="Arial" w:cs="Arial" w:eastAsia="Arial" w:hAnsi="Arial"/>
                <w:sz w:val="15"/>
                <w:szCs w:val="15"/>
                <w:color w:val="auto"/>
                <w:w w:val="92"/>
              </w:rPr>
              <w:t>Retirement and Transition Agreement, dated May 20, 2013, by and between the Company and W. Marvin Rush (incorporated herein by reference to Exhibit</w:t>
            </w:r>
          </w:p>
        </w:tc>
      </w:tr>
      <w:tr>
        <w:trPr>
          <w:trHeight w:val="184"/>
        </w:trPr>
        <w:tc>
          <w:tcPr>
            <w:tcW w:w="1220" w:type="dxa"/>
            <w:vAlign w:val="bottom"/>
          </w:tcPr>
          <w:p>
            <w:pPr>
              <w:spacing w:after="0"/>
              <w:rPr>
                <w:sz w:val="15"/>
                <w:szCs w:val="15"/>
                <w:color w:val="auto"/>
              </w:rPr>
            </w:pPr>
          </w:p>
        </w:tc>
        <w:tc>
          <w:tcPr>
            <w:tcW w:w="10260" w:type="dxa"/>
            <w:vAlign w:val="bottom"/>
          </w:tcPr>
          <w:p>
            <w:pPr>
              <w:ind w:left="660"/>
              <w:spacing w:after="0"/>
              <w:rPr>
                <w:sz w:val="20"/>
                <w:szCs w:val="20"/>
                <w:color w:val="auto"/>
              </w:rPr>
            </w:pPr>
            <w:r>
              <w:rPr>
                <w:rFonts w:ascii="Arial" w:cs="Arial" w:eastAsia="Arial" w:hAnsi="Arial"/>
                <w:sz w:val="15"/>
                <w:szCs w:val="15"/>
                <w:color w:val="auto"/>
              </w:rPr>
              <w:t>10.1 of the Company’s Current Report on Form 8-K (File No. 000-20797) filed May 21, 2013)</w:t>
            </w:r>
          </w:p>
        </w:tc>
      </w:tr>
      <w:tr>
        <w:trPr>
          <w:trHeight w:val="350"/>
        </w:trPr>
        <w:tc>
          <w:tcPr>
            <w:tcW w:w="1220" w:type="dxa"/>
            <w:vAlign w:val="bottom"/>
          </w:tcPr>
          <w:p>
            <w:pPr>
              <w:ind w:left="140"/>
              <w:spacing w:after="0"/>
              <w:rPr>
                <w:sz w:val="20"/>
                <w:szCs w:val="20"/>
                <w:color w:val="auto"/>
              </w:rPr>
            </w:pPr>
            <w:r>
              <w:rPr>
                <w:rFonts w:ascii="Arial" w:cs="Arial" w:eastAsia="Arial" w:hAnsi="Arial"/>
                <w:sz w:val="15"/>
                <w:szCs w:val="15"/>
                <w:color w:val="auto"/>
              </w:rPr>
              <w:t>21.1*</w:t>
            </w:r>
          </w:p>
        </w:tc>
        <w:tc>
          <w:tcPr>
            <w:tcW w:w="10260" w:type="dxa"/>
            <w:vAlign w:val="bottom"/>
          </w:tcPr>
          <w:p>
            <w:pPr>
              <w:ind w:left="660"/>
              <w:spacing w:after="0"/>
              <w:rPr>
                <w:sz w:val="20"/>
                <w:szCs w:val="20"/>
                <w:color w:val="auto"/>
              </w:rPr>
            </w:pPr>
            <w:r>
              <w:rPr>
                <w:rFonts w:ascii="Arial" w:cs="Arial" w:eastAsia="Arial" w:hAnsi="Arial"/>
                <w:sz w:val="15"/>
                <w:szCs w:val="15"/>
                <w:color w:val="auto"/>
              </w:rPr>
              <w:t>Subsidiaries of the Company</w:t>
            </w:r>
          </w:p>
        </w:tc>
      </w:tr>
      <w:tr>
        <w:trPr>
          <w:trHeight w:val="590"/>
        </w:trPr>
        <w:tc>
          <w:tcPr>
            <w:tcW w:w="1220" w:type="dxa"/>
            <w:vAlign w:val="bottom"/>
          </w:tcPr>
          <w:p>
            <w:pPr>
              <w:spacing w:after="0"/>
              <w:rPr>
                <w:sz w:val="24"/>
                <w:szCs w:val="24"/>
                <w:color w:val="auto"/>
              </w:rPr>
            </w:pPr>
          </w:p>
        </w:tc>
        <w:tc>
          <w:tcPr>
            <w:tcW w:w="10260" w:type="dxa"/>
            <w:vAlign w:val="bottom"/>
          </w:tcPr>
          <w:p>
            <w:pPr>
              <w:ind w:left="4440"/>
              <w:spacing w:after="0"/>
              <w:rPr>
                <w:sz w:val="20"/>
                <w:szCs w:val="20"/>
                <w:color w:val="auto"/>
              </w:rPr>
            </w:pPr>
            <w:r>
              <w:rPr>
                <w:rFonts w:ascii="Arial" w:cs="Arial" w:eastAsia="Arial" w:hAnsi="Arial"/>
                <w:sz w:val="15"/>
                <w:szCs w:val="15"/>
                <w:color w:val="auto"/>
              </w:rPr>
              <w:t>82</w:t>
            </w:r>
          </w:p>
        </w:tc>
      </w:tr>
      <w:tr>
        <w:trPr>
          <w:trHeight w:val="117"/>
        </w:trPr>
        <w:tc>
          <w:tcPr>
            <w:tcW w:w="122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85" w:name="page86"/>
    <w:bookmarkEnd w:id="85"/>
    <w:p>
      <w:pPr>
        <w:ind w:left="133"/>
        <w:spacing w:after="0"/>
        <w:rPr>
          <w:sz w:val="20"/>
          <w:szCs w:val="20"/>
          <w:color w:val="auto"/>
        </w:rPr>
      </w:pPr>
      <w:r>
        <w:rPr>
          <w:rFonts w:ascii="Arial" w:cs="Arial" w:eastAsia="Arial" w:hAnsi="Arial"/>
          <w:sz w:val="12"/>
          <w:szCs w:val="12"/>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Consent of Ernst &amp; Young LLP</w:t>
      </w:r>
    </w:p>
    <w:p>
      <w:pPr>
        <w:spacing w:after="0" w:line="200" w:lineRule="exact"/>
        <w:rPr>
          <w:sz w:val="20"/>
          <w:szCs w:val="20"/>
          <w:color w:val="auto"/>
        </w:rPr>
      </w:pPr>
    </w:p>
    <w:p>
      <w:pPr>
        <w:sectPr>
          <w:pgSz w:w="11900" w:h="16838" w:orient="portrait"/>
          <w:cols w:equalWidth="0" w:num="2">
            <w:col w:w="1153" w:space="720"/>
            <w:col w:w="9480"/>
          </w:cols>
          <w:pgMar w:left="227" w:top="500" w:right="319" w:bottom="1440" w:gutter="0" w:footer="0" w:header="0"/>
        </w:sectPr>
      </w:pPr>
    </w:p>
    <w:p>
      <w:pPr>
        <w:spacing w:after="0" w:line="12" w:lineRule="exact"/>
        <w:rPr>
          <w:sz w:val="20"/>
          <w:szCs w:val="20"/>
          <w:color w:val="auto"/>
        </w:rPr>
      </w:pPr>
    </w:p>
    <w:p>
      <w:pPr>
        <w:ind w:left="133"/>
        <w:spacing w:after="0"/>
        <w:rPr>
          <w:sz w:val="20"/>
          <w:szCs w:val="20"/>
          <w:color w:val="auto"/>
        </w:rPr>
      </w:pPr>
      <w:r>
        <w:rPr>
          <w:rFonts w:ascii="Arial" w:cs="Arial" w:eastAsia="Arial" w:hAnsi="Arial"/>
          <w:sz w:val="12"/>
          <w:szCs w:val="12"/>
          <w:color w:val="auto"/>
        </w:rPr>
        <w:t>31.1*</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5"/>
          <w:szCs w:val="15"/>
          <w:color w:val="auto"/>
        </w:rPr>
        <w:t>Certification of President and Chief Executive Officer pursuant to Rules 13a-14(a) and 15d-14(a), as adopted pursuant to Section 302 of the Sarbanes-Oxley Act of 2002</w:t>
      </w:r>
    </w:p>
    <w:p>
      <w:pPr>
        <w:spacing w:after="0" w:line="152" w:lineRule="exact"/>
        <w:rPr>
          <w:sz w:val="20"/>
          <w:szCs w:val="20"/>
          <w:color w:val="auto"/>
        </w:rPr>
      </w:pPr>
    </w:p>
    <w:p>
      <w:pPr>
        <w:sectPr>
          <w:pgSz w:w="11900" w:h="16838" w:orient="portrait"/>
          <w:cols w:equalWidth="0" w:num="2">
            <w:col w:w="1153" w:space="720"/>
            <w:col w:w="9480"/>
          </w:cols>
          <w:pgMar w:left="227" w:top="500" w:right="319" w:bottom="1440" w:gutter="0" w:footer="0" w:header="0"/>
          <w:type w:val="continuous"/>
        </w:sectPr>
      </w:pPr>
    </w:p>
    <w:p>
      <w:pPr>
        <w:ind w:left="133"/>
        <w:spacing w:after="0"/>
        <w:rPr>
          <w:sz w:val="20"/>
          <w:szCs w:val="20"/>
          <w:color w:val="auto"/>
        </w:rPr>
      </w:pPr>
      <w:r>
        <w:rPr>
          <w:rFonts w:ascii="Arial" w:cs="Arial" w:eastAsia="Arial" w:hAnsi="Arial"/>
          <w:sz w:val="12"/>
          <w:szCs w:val="12"/>
          <w:color w:val="auto"/>
        </w:rPr>
        <w:t>31.2*</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5"/>
          <w:szCs w:val="15"/>
          <w:color w:val="auto"/>
        </w:rPr>
        <w:t>Certification of Vice President and Chief Financial Officer pursuant to Rules 13a-14(a) and 15d-14(a), as adopted pursuant to Section 302 of the Sarbanes-Oxley Act of 2002</w:t>
      </w:r>
    </w:p>
    <w:p>
      <w:pPr>
        <w:spacing w:after="0" w:line="152" w:lineRule="exact"/>
        <w:rPr>
          <w:sz w:val="20"/>
          <w:szCs w:val="20"/>
          <w:color w:val="auto"/>
        </w:rPr>
      </w:pPr>
    </w:p>
    <w:p>
      <w:pPr>
        <w:sectPr>
          <w:pgSz w:w="11900" w:h="16838" w:orient="portrait"/>
          <w:cols w:equalWidth="0" w:num="2">
            <w:col w:w="1153" w:space="720"/>
            <w:col w:w="9480"/>
          </w:cols>
          <w:pgMar w:left="227" w:top="500" w:right="319" w:bottom="1440" w:gutter="0" w:footer="0" w:header="0"/>
          <w:type w:val="continuous"/>
        </w:sectPr>
      </w:pPr>
    </w:p>
    <w:p>
      <w:pPr>
        <w:ind w:left="133"/>
        <w:spacing w:after="0"/>
        <w:rPr>
          <w:sz w:val="20"/>
          <w:szCs w:val="20"/>
          <w:color w:val="auto"/>
        </w:rPr>
      </w:pPr>
      <w:r>
        <w:rPr>
          <w:rFonts w:ascii="Arial" w:cs="Arial" w:eastAsia="Arial" w:hAnsi="Arial"/>
          <w:sz w:val="12"/>
          <w:szCs w:val="12"/>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153" w:space="720"/>
            <w:col w:w="9480"/>
          </w:cols>
          <w:pgMar w:left="227" w:top="500" w:right="319" w:bottom="1440" w:gutter="0" w:footer="0" w:header="0"/>
          <w:type w:val="continuous"/>
        </w:sectPr>
      </w:pPr>
    </w:p>
    <w:p>
      <w:pPr>
        <w:spacing w:after="0" w:line="12" w:lineRule="exact"/>
        <w:rPr>
          <w:sz w:val="20"/>
          <w:szCs w:val="20"/>
          <w:color w:val="auto"/>
        </w:rPr>
      </w:pPr>
    </w:p>
    <w:p>
      <w:pPr>
        <w:ind w:left="133"/>
        <w:spacing w:after="0"/>
        <w:rPr>
          <w:sz w:val="20"/>
          <w:szCs w:val="20"/>
          <w:color w:val="auto"/>
        </w:rPr>
      </w:pPr>
      <w:r>
        <w:rPr>
          <w:rFonts w:ascii="Arial" w:cs="Arial" w:eastAsia="Arial" w:hAnsi="Arial"/>
          <w:sz w:val="12"/>
          <w:szCs w:val="12"/>
          <w:color w:val="auto"/>
        </w:rPr>
        <w:t>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153" w:space="720"/>
            <w:col w:w="9480"/>
          </w:cols>
          <w:pgMar w:left="227" w:top="500" w:right="319" w:bottom="1440" w:gutter="0" w:footer="0" w:header="0"/>
          <w:type w:val="continuous"/>
        </w:sectPr>
      </w:pPr>
    </w:p>
    <w:p>
      <w:pPr>
        <w:spacing w:after="0" w:line="12" w:lineRule="exact"/>
        <w:rPr>
          <w:sz w:val="20"/>
          <w:szCs w:val="20"/>
          <w:color w:val="auto"/>
        </w:rPr>
      </w:pPr>
    </w:p>
    <w:p>
      <w:pPr>
        <w:ind w:left="133"/>
        <w:spacing w:after="0"/>
        <w:rPr>
          <w:sz w:val="20"/>
          <w:szCs w:val="20"/>
          <w:color w:val="auto"/>
        </w:rPr>
      </w:pPr>
      <w:r>
        <w:rPr>
          <w:rFonts w:ascii="Arial" w:cs="Arial" w:eastAsia="Arial" w:hAnsi="Arial"/>
          <w:sz w:val="15"/>
          <w:szCs w:val="15"/>
          <w:color w:val="auto"/>
        </w:rPr>
        <w:t>101.INS*</w:t>
      </w:r>
    </w:p>
    <w:p>
      <w:pPr>
        <w:spacing w:after="0" w:line="11" w:lineRule="exact"/>
        <w:rPr>
          <w:sz w:val="20"/>
          <w:szCs w:val="20"/>
          <w:color w:val="auto"/>
        </w:rPr>
      </w:pPr>
    </w:p>
    <w:p>
      <w:pPr>
        <w:ind w:left="133"/>
        <w:spacing w:after="0"/>
        <w:rPr>
          <w:sz w:val="20"/>
          <w:szCs w:val="20"/>
          <w:color w:val="auto"/>
        </w:rPr>
      </w:pPr>
      <w:r>
        <w:rPr>
          <w:rFonts w:ascii="Arial" w:cs="Arial" w:eastAsia="Arial" w:hAnsi="Arial"/>
          <w:sz w:val="12"/>
          <w:szCs w:val="12"/>
          <w:color w:val="auto"/>
        </w:rPr>
        <w:t>101.SCH*</w:t>
      </w:r>
    </w:p>
    <w:p>
      <w:pPr>
        <w:spacing w:after="0" w:line="37" w:lineRule="exact"/>
        <w:rPr>
          <w:sz w:val="20"/>
          <w:szCs w:val="20"/>
          <w:color w:val="auto"/>
        </w:rPr>
      </w:pPr>
    </w:p>
    <w:p>
      <w:pPr>
        <w:ind w:left="133"/>
        <w:spacing w:after="0"/>
        <w:rPr>
          <w:sz w:val="20"/>
          <w:szCs w:val="20"/>
          <w:color w:val="auto"/>
        </w:rPr>
      </w:pPr>
      <w:r>
        <w:rPr>
          <w:rFonts w:ascii="Arial" w:cs="Arial" w:eastAsia="Arial" w:hAnsi="Arial"/>
          <w:sz w:val="14"/>
          <w:szCs w:val="14"/>
          <w:color w:val="auto"/>
        </w:rPr>
        <w:t>101.CAL*</w:t>
      </w:r>
    </w:p>
    <w:p>
      <w:pPr>
        <w:spacing w:after="0" w:line="14" w:lineRule="exact"/>
        <w:rPr>
          <w:sz w:val="20"/>
          <w:szCs w:val="20"/>
          <w:color w:val="auto"/>
        </w:rPr>
      </w:pPr>
    </w:p>
    <w:p>
      <w:pPr>
        <w:ind w:left="133"/>
        <w:spacing w:after="0"/>
        <w:rPr>
          <w:sz w:val="20"/>
          <w:szCs w:val="20"/>
          <w:color w:val="auto"/>
        </w:rPr>
      </w:pPr>
      <w:r>
        <w:rPr>
          <w:rFonts w:ascii="Arial" w:cs="Arial" w:eastAsia="Arial" w:hAnsi="Arial"/>
          <w:sz w:val="14"/>
          <w:szCs w:val="14"/>
          <w:color w:val="auto"/>
        </w:rPr>
        <w:t>101.DEF*</w:t>
      </w:r>
    </w:p>
    <w:p>
      <w:pPr>
        <w:spacing w:after="0" w:line="14" w:lineRule="exact"/>
        <w:rPr>
          <w:sz w:val="20"/>
          <w:szCs w:val="20"/>
          <w:color w:val="auto"/>
        </w:rPr>
      </w:pPr>
    </w:p>
    <w:p>
      <w:pPr>
        <w:ind w:left="133"/>
        <w:spacing w:after="0"/>
        <w:rPr>
          <w:sz w:val="20"/>
          <w:szCs w:val="20"/>
          <w:color w:val="auto"/>
        </w:rPr>
      </w:pPr>
      <w:r>
        <w:rPr>
          <w:rFonts w:ascii="Arial" w:cs="Arial" w:eastAsia="Arial" w:hAnsi="Arial"/>
          <w:sz w:val="14"/>
          <w:szCs w:val="14"/>
          <w:color w:val="auto"/>
        </w:rPr>
        <w:t>101.LAB*</w:t>
      </w:r>
    </w:p>
    <w:p>
      <w:pPr>
        <w:spacing w:after="0" w:line="14" w:lineRule="exact"/>
        <w:rPr>
          <w:sz w:val="20"/>
          <w:szCs w:val="20"/>
          <w:color w:val="auto"/>
        </w:rPr>
      </w:pPr>
    </w:p>
    <w:p>
      <w:pPr>
        <w:ind w:left="133"/>
        <w:spacing w:after="0"/>
        <w:rPr>
          <w:sz w:val="20"/>
          <w:szCs w:val="20"/>
          <w:color w:val="auto"/>
        </w:rPr>
      </w:pPr>
      <w:r>
        <w:rPr>
          <w:rFonts w:ascii="Arial" w:cs="Arial" w:eastAsia="Arial" w:hAnsi="Arial"/>
          <w:sz w:val="14"/>
          <w:szCs w:val="14"/>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Instance Document.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Schema Document.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Calculation Linkbase Document.</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Definition Linkbase Document.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Label Linkbase Document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Presentation Linkbase Document</w:t>
      </w:r>
    </w:p>
    <w:p>
      <w:pPr>
        <w:spacing w:after="0" w:line="223" w:lineRule="exact"/>
        <w:rPr>
          <w:sz w:val="20"/>
          <w:szCs w:val="20"/>
          <w:color w:val="auto"/>
        </w:rPr>
      </w:pPr>
    </w:p>
    <w:p>
      <w:pPr>
        <w:sectPr>
          <w:pgSz w:w="11900" w:h="16838" w:orient="portrait"/>
          <w:cols w:equalWidth="0" w:num="2">
            <w:col w:w="1153" w:space="720"/>
            <w:col w:w="9480"/>
          </w:cols>
          <w:pgMar w:left="227" w:top="500" w:right="319" w:bottom="1440" w:gutter="0" w:footer="0" w:header="0"/>
          <w:type w:val="continuous"/>
        </w:sectPr>
      </w:pPr>
    </w:p>
    <w:p>
      <w:pPr>
        <w:spacing w:after="0" w:line="155" w:lineRule="exact"/>
        <w:rPr>
          <w:sz w:val="20"/>
          <w:szCs w:val="20"/>
          <w:color w:val="auto"/>
        </w:rPr>
      </w:pPr>
    </w:p>
    <w:p>
      <w:pPr>
        <w:ind w:left="253" w:hanging="253"/>
        <w:spacing w:after="0"/>
        <w:tabs>
          <w:tab w:leader="none" w:pos="253" w:val="left"/>
        </w:tabs>
        <w:numPr>
          <w:ilvl w:val="0"/>
          <w:numId w:val="26"/>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11" w:lineRule="exact"/>
        <w:rPr>
          <w:sz w:val="20"/>
          <w:szCs w:val="20"/>
          <w:color w:val="auto"/>
        </w:rPr>
      </w:pPr>
    </w:p>
    <w:p>
      <w:pPr>
        <w:ind w:left="273" w:hanging="273"/>
        <w:spacing w:after="0"/>
        <w:tabs>
          <w:tab w:leader="none" w:pos="273"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2" w:lineRule="exact"/>
        <w:rPr>
          <w:sz w:val="20"/>
          <w:szCs w:val="20"/>
          <w:color w:val="auto"/>
        </w:rPr>
      </w:pPr>
    </w:p>
    <w:p>
      <w:pPr>
        <w:ind w:left="-7" w:firstLine="7"/>
        <w:spacing w:after="0" w:line="329" w:lineRule="auto"/>
        <w:tabs>
          <w:tab w:leader="none" w:pos="2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95" w:lineRule="exact"/>
        <w:rPr>
          <w:sz w:val="20"/>
          <w:szCs w:val="20"/>
          <w:color w:val="auto"/>
        </w:rPr>
      </w:pPr>
    </w:p>
    <w:p>
      <w:pPr>
        <w:jc w:val="center"/>
        <w:ind w:right="-92"/>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292340" cy="33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53"/>
          </w:cols>
          <w:pgMar w:left="227" w:top="500" w:right="31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5"/>
          <w:szCs w:val="15"/>
          <w:b w:val="1"/>
          <w:bCs w:val="1"/>
          <w:color w:val="auto"/>
        </w:rPr>
        <w:t>SIGNATURES</w:t>
      </w:r>
    </w:p>
    <w:p>
      <w:pPr>
        <w:spacing w:after="0" w:line="181" w:lineRule="exact"/>
        <w:rPr>
          <w:sz w:val="20"/>
          <w:szCs w:val="20"/>
          <w:color w:val="auto"/>
        </w:rPr>
      </w:pPr>
    </w:p>
    <w:p>
      <w:pPr>
        <w:ind w:firstLine="525"/>
        <w:spacing w:after="0" w:line="259"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4780" w:type="dxa"/>
            <w:vAlign w:val="bottom"/>
            <w:gridSpan w:val="3"/>
          </w:tcPr>
          <w:p>
            <w:pPr>
              <w:spacing w:after="0"/>
              <w:rPr>
                <w:sz w:val="20"/>
                <w:szCs w:val="20"/>
                <w:color w:val="auto"/>
              </w:rPr>
            </w:pPr>
            <w:r>
              <w:rPr>
                <w:rFonts w:ascii="Arial" w:cs="Arial" w:eastAsia="Arial" w:hAnsi="Arial"/>
                <w:sz w:val="15"/>
                <w:szCs w:val="15"/>
                <w:color w:val="auto"/>
              </w:rPr>
              <w:t>RUSH ENTERPRISES, INC.</w:t>
            </w:r>
          </w:p>
        </w:tc>
        <w:tc>
          <w:tcPr>
            <w:tcW w:w="3480" w:type="dxa"/>
            <w:vAlign w:val="bottom"/>
          </w:tcPr>
          <w:p>
            <w:pPr>
              <w:spacing w:after="0"/>
              <w:rPr>
                <w:sz w:val="15"/>
                <w:szCs w:val="15"/>
                <w:color w:val="auto"/>
              </w:rPr>
            </w:pPr>
          </w:p>
        </w:tc>
      </w:tr>
      <w:tr>
        <w:trPr>
          <w:trHeight w:val="319"/>
        </w:trPr>
        <w:tc>
          <w:tcPr>
            <w:tcW w:w="4780" w:type="dxa"/>
            <w:vAlign w:val="bottom"/>
            <w:gridSpan w:val="3"/>
          </w:tcPr>
          <w:p>
            <w:pPr>
              <w:spacing w:after="0"/>
              <w:rPr>
                <w:sz w:val="20"/>
                <w:szCs w:val="20"/>
                <w:color w:val="auto"/>
              </w:rPr>
            </w:pPr>
            <w:r>
              <w:rPr>
                <w:rFonts w:ascii="Arial" w:cs="Arial" w:eastAsia="Arial" w:hAnsi="Arial"/>
                <w:sz w:val="15"/>
                <w:szCs w:val="15"/>
                <w:color w:val="auto"/>
              </w:rPr>
              <w:t>By: /s/ W. M.”RUSTY” RUSH</w:t>
            </w:r>
          </w:p>
        </w:tc>
        <w:tc>
          <w:tcPr>
            <w:tcW w:w="3480" w:type="dxa"/>
            <w:vAlign w:val="bottom"/>
          </w:tcPr>
          <w:p>
            <w:pPr>
              <w:ind w:left="2280"/>
              <w:spacing w:after="0"/>
              <w:rPr>
                <w:sz w:val="20"/>
                <w:szCs w:val="20"/>
                <w:color w:val="auto"/>
              </w:rPr>
            </w:pPr>
            <w:r>
              <w:rPr>
                <w:rFonts w:ascii="Arial" w:cs="Arial" w:eastAsia="Arial" w:hAnsi="Arial"/>
                <w:sz w:val="15"/>
                <w:szCs w:val="15"/>
                <w:color w:val="auto"/>
                <w:w w:val="86"/>
              </w:rPr>
              <w:t>Date: March 3, 2014</w:t>
            </w:r>
          </w:p>
        </w:tc>
      </w:tr>
      <w:tr>
        <w:trPr>
          <w:trHeight w:val="177"/>
        </w:trPr>
        <w:tc>
          <w:tcPr>
            <w:tcW w:w="240" w:type="dxa"/>
            <w:vAlign w:val="bottom"/>
          </w:tcPr>
          <w:p>
            <w:pPr>
              <w:spacing w:after="0"/>
              <w:rPr>
                <w:sz w:val="15"/>
                <w:szCs w:val="15"/>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 M. “Rusty” Rush</w:t>
            </w:r>
          </w:p>
        </w:tc>
        <w:tc>
          <w:tcPr>
            <w:tcW w:w="296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175"/>
        </w:trPr>
        <w:tc>
          <w:tcPr>
            <w:tcW w:w="24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Arial" w:cs="Arial" w:eastAsia="Arial" w:hAnsi="Arial"/>
                <w:sz w:val="15"/>
                <w:szCs w:val="15"/>
                <w:color w:val="auto"/>
              </w:rPr>
              <w:t>President, Chief Executive Officer and</w:t>
            </w:r>
          </w:p>
        </w:tc>
        <w:tc>
          <w:tcPr>
            <w:tcW w:w="3480" w:type="dxa"/>
            <w:vAlign w:val="bottom"/>
          </w:tcPr>
          <w:p>
            <w:pPr>
              <w:spacing w:after="0"/>
              <w:rPr>
                <w:sz w:val="15"/>
                <w:szCs w:val="15"/>
                <w:color w:val="auto"/>
              </w:rPr>
            </w:pPr>
          </w:p>
        </w:tc>
      </w:tr>
      <w:tr>
        <w:trPr>
          <w:trHeight w:val="184"/>
        </w:trPr>
        <w:tc>
          <w:tcPr>
            <w:tcW w:w="24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Arial" w:cs="Arial" w:eastAsia="Arial" w:hAnsi="Arial"/>
                <w:sz w:val="15"/>
                <w:szCs w:val="15"/>
                <w:color w:val="auto"/>
              </w:rPr>
              <w:t>Chairman of the Board</w:t>
            </w:r>
          </w:p>
        </w:tc>
        <w:tc>
          <w:tcPr>
            <w:tcW w:w="3480" w:type="dxa"/>
            <w:vAlign w:val="bottom"/>
          </w:tcPr>
          <w:p>
            <w:pPr>
              <w:spacing w:after="0"/>
              <w:rPr>
                <w:sz w:val="15"/>
                <w:szCs w:val="15"/>
                <w:color w:val="auto"/>
              </w:rPr>
            </w:pPr>
          </w:p>
        </w:tc>
      </w:tr>
    </w:tbl>
    <w:p>
      <w:pPr>
        <w:spacing w:after="0" w:line="341" w:lineRule="exact"/>
        <w:rPr>
          <w:sz w:val="20"/>
          <w:szCs w:val="20"/>
          <w:color w:val="auto"/>
        </w:rPr>
      </w:pPr>
    </w:p>
    <w:p>
      <w:pPr>
        <w:ind w:firstLine="525"/>
        <w:spacing w:after="0" w:line="259"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on the dates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gridSpan w:val="6"/>
          </w:tcPr>
          <w:p>
            <w:pPr>
              <w:spacing w:after="0"/>
              <w:rPr>
                <w:sz w:val="20"/>
                <w:szCs w:val="20"/>
                <w:color w:val="auto"/>
              </w:rPr>
            </w:pPr>
            <w:r>
              <w:rPr>
                <w:rFonts w:ascii="Arial" w:cs="Arial" w:eastAsia="Arial" w:hAnsi="Arial"/>
                <w:sz w:val="15"/>
                <w:szCs w:val="15"/>
                <w:color w:val="auto"/>
                <w:w w:val="84"/>
              </w:rPr>
              <w:t>Signature</w:t>
            </w:r>
          </w:p>
        </w:tc>
        <w:tc>
          <w:tcPr>
            <w:tcW w:w="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5"/>
              </w:rPr>
              <w:t>Capacity</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Date</w:t>
            </w:r>
          </w:p>
        </w:tc>
        <w:tc>
          <w:tcPr>
            <w:tcW w:w="300" w:type="dxa"/>
            <w:vAlign w:val="bottom"/>
          </w:tcPr>
          <w:p>
            <w:pPr>
              <w:spacing w:after="0"/>
              <w:rPr>
                <w:sz w:val="14"/>
                <w:szCs w:val="14"/>
                <w:color w:val="auto"/>
              </w:rPr>
            </w:pPr>
          </w:p>
        </w:tc>
      </w:tr>
      <w:tr>
        <w:trPr>
          <w:trHeight w:val="330"/>
        </w:trPr>
        <w:tc>
          <w:tcPr>
            <w:tcW w:w="40" w:type="dxa"/>
            <w:vAlign w:val="bottom"/>
          </w:tcPr>
          <w:p>
            <w:pPr>
              <w:spacing w:after="0"/>
              <w:rPr>
                <w:sz w:val="24"/>
                <w:szCs w:val="24"/>
                <w:color w:val="auto"/>
              </w:rPr>
            </w:pPr>
          </w:p>
        </w:tc>
        <w:tc>
          <w:tcPr>
            <w:tcW w:w="162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w w:val="93"/>
              </w:rPr>
              <w:t>/s/ W. M.”RUSTY” RUSH</w:t>
            </w:r>
          </w:p>
        </w:tc>
        <w:tc>
          <w:tcPr>
            <w:tcW w:w="1340" w:type="dxa"/>
            <w:vAlign w:val="bottom"/>
            <w:gridSpan w:val="6"/>
          </w:tcPr>
          <w:p>
            <w:pPr>
              <w:spacing w:after="0"/>
              <w:rPr>
                <w:sz w:val="24"/>
                <w:szCs w:val="24"/>
                <w:color w:val="auto"/>
              </w:rPr>
            </w:pP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President, Chief Executive Officer, and</w:t>
            </w:r>
          </w:p>
        </w:tc>
        <w:tc>
          <w:tcPr>
            <w:tcW w:w="2200" w:type="dxa"/>
            <w:vAlign w:val="bottom"/>
            <w:gridSpan w:val="3"/>
          </w:tcPr>
          <w:p>
            <w:pPr>
              <w:jc w:val="center"/>
              <w:ind w:left="1207"/>
              <w:spacing w:after="0"/>
              <w:rPr>
                <w:sz w:val="20"/>
                <w:szCs w:val="20"/>
                <w:color w:val="auto"/>
              </w:rPr>
            </w:pPr>
            <w:r>
              <w:rPr>
                <w:rFonts w:ascii="Arial" w:cs="Arial" w:eastAsia="Arial" w:hAnsi="Arial"/>
                <w:sz w:val="15"/>
                <w:szCs w:val="15"/>
                <w:color w:val="auto"/>
                <w:w w:val="87"/>
              </w:rPr>
              <w:t>March 3, 2014</w:t>
            </w:r>
          </w:p>
        </w:tc>
      </w:tr>
      <w:tr>
        <w:trPr>
          <w:trHeight w:val="177"/>
        </w:trPr>
        <w:tc>
          <w:tcPr>
            <w:tcW w:w="3000" w:type="dxa"/>
            <w:vAlign w:val="bottom"/>
            <w:gridSpan w:val="12"/>
          </w:tcPr>
          <w:p>
            <w:pPr>
              <w:ind w:left="40"/>
              <w:spacing w:after="0"/>
              <w:rPr>
                <w:sz w:val="20"/>
                <w:szCs w:val="20"/>
                <w:color w:val="auto"/>
              </w:rPr>
            </w:pPr>
            <w:r>
              <w:rPr>
                <w:rFonts w:ascii="Arial" w:cs="Arial" w:eastAsia="Arial" w:hAnsi="Arial"/>
                <w:sz w:val="15"/>
                <w:szCs w:val="15"/>
                <w:color w:val="auto"/>
              </w:rPr>
              <w:t>W. M. “Rusty” Rush</w:t>
            </w: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Chairman of the Board</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(Principal Executive Officer)</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494"/>
        </w:trPr>
        <w:tc>
          <w:tcPr>
            <w:tcW w:w="40" w:type="dxa"/>
            <w:vAlign w:val="bottom"/>
          </w:tcPr>
          <w:p>
            <w:pPr>
              <w:spacing w:after="0"/>
              <w:rPr>
                <w:sz w:val="24"/>
                <w:szCs w:val="24"/>
                <w:color w:val="auto"/>
              </w:rPr>
            </w:pPr>
          </w:p>
        </w:tc>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5"/>
                <w:szCs w:val="15"/>
                <w:color w:val="auto"/>
              </w:rPr>
              <w:t>/s/ STEVEN L. KELLER</w:t>
            </w:r>
          </w:p>
        </w:tc>
        <w:tc>
          <w:tcPr>
            <w:tcW w:w="1280" w:type="dxa"/>
            <w:vAlign w:val="bottom"/>
            <w:gridSpan w:val="5"/>
          </w:tcPr>
          <w:p>
            <w:pPr>
              <w:spacing w:after="0"/>
              <w:rPr>
                <w:sz w:val="24"/>
                <w:szCs w:val="24"/>
                <w:color w:val="auto"/>
              </w:rPr>
            </w:pP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Senior Vice President and</w:t>
            </w:r>
          </w:p>
        </w:tc>
        <w:tc>
          <w:tcPr>
            <w:tcW w:w="2200" w:type="dxa"/>
            <w:vAlign w:val="bottom"/>
            <w:gridSpan w:val="3"/>
          </w:tcPr>
          <w:p>
            <w:pPr>
              <w:ind w:left="1360"/>
              <w:spacing w:after="0"/>
              <w:rPr>
                <w:sz w:val="20"/>
                <w:szCs w:val="20"/>
                <w:color w:val="auto"/>
              </w:rPr>
            </w:pPr>
            <w:r>
              <w:rPr>
                <w:rFonts w:ascii="Arial" w:cs="Arial" w:eastAsia="Arial" w:hAnsi="Arial"/>
                <w:sz w:val="15"/>
                <w:szCs w:val="15"/>
                <w:color w:val="auto"/>
                <w:w w:val="85"/>
              </w:rPr>
              <w:t>March 3, 2014</w:t>
            </w:r>
          </w:p>
        </w:tc>
      </w:tr>
      <w:tr>
        <w:trPr>
          <w:trHeight w:val="177"/>
        </w:trPr>
        <w:tc>
          <w:tcPr>
            <w:tcW w:w="40" w:type="dxa"/>
            <w:vAlign w:val="bottom"/>
          </w:tcPr>
          <w:p>
            <w:pPr>
              <w:spacing w:after="0"/>
              <w:rPr>
                <w:sz w:val="15"/>
                <w:szCs w:val="15"/>
                <w:color w:val="auto"/>
              </w:rPr>
            </w:pPr>
          </w:p>
        </w:tc>
        <w:tc>
          <w:tcPr>
            <w:tcW w:w="2960" w:type="dxa"/>
            <w:vAlign w:val="bottom"/>
            <w:gridSpan w:val="11"/>
          </w:tcPr>
          <w:p>
            <w:pPr>
              <w:spacing w:after="0"/>
              <w:rPr>
                <w:sz w:val="20"/>
                <w:szCs w:val="20"/>
                <w:color w:val="auto"/>
              </w:rPr>
            </w:pPr>
            <w:r>
              <w:rPr>
                <w:rFonts w:ascii="Arial" w:cs="Arial" w:eastAsia="Arial" w:hAnsi="Arial"/>
                <w:sz w:val="15"/>
                <w:szCs w:val="15"/>
                <w:color w:val="auto"/>
              </w:rPr>
              <w:t>Steven L. Keller</w:t>
            </w: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Chief Financial Officer</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(Principal Financial and Accounting Officer)</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494"/>
        </w:trPr>
        <w:tc>
          <w:tcPr>
            <w:tcW w:w="4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5"/>
              </w:rPr>
              <w:t>/s/ THOMAS A. AKIN</w:t>
            </w:r>
          </w:p>
        </w:tc>
        <w:tc>
          <w:tcPr>
            <w:tcW w:w="1580" w:type="dxa"/>
            <w:vAlign w:val="bottom"/>
            <w:gridSpan w:val="9"/>
          </w:tcPr>
          <w:p>
            <w:pPr>
              <w:spacing w:after="0"/>
              <w:rPr>
                <w:sz w:val="24"/>
                <w:szCs w:val="24"/>
                <w:color w:val="auto"/>
              </w:rPr>
            </w:pPr>
          </w:p>
        </w:tc>
        <w:tc>
          <w:tcPr>
            <w:tcW w:w="4720" w:type="dxa"/>
            <w:vAlign w:val="bottom"/>
            <w:gridSpan w:val="3"/>
          </w:tcPr>
          <w:p>
            <w:pPr>
              <w:ind w:left="820"/>
              <w:spacing w:after="0"/>
              <w:rPr>
                <w:sz w:val="20"/>
                <w:szCs w:val="20"/>
                <w:color w:val="auto"/>
              </w:rPr>
            </w:pPr>
            <w:r>
              <w:rPr>
                <w:rFonts w:ascii="Arial" w:cs="Arial" w:eastAsia="Arial" w:hAnsi="Arial"/>
                <w:sz w:val="15"/>
                <w:szCs w:val="15"/>
                <w:color w:val="auto"/>
              </w:rPr>
              <w:t>Director</w:t>
            </w:r>
          </w:p>
        </w:tc>
        <w:tc>
          <w:tcPr>
            <w:tcW w:w="2200" w:type="dxa"/>
            <w:vAlign w:val="bottom"/>
            <w:gridSpan w:val="3"/>
          </w:tcPr>
          <w:p>
            <w:pPr>
              <w:jc w:val="center"/>
              <w:ind w:left="1247"/>
              <w:spacing w:after="0"/>
              <w:rPr>
                <w:sz w:val="20"/>
                <w:szCs w:val="20"/>
                <w:color w:val="auto"/>
              </w:rPr>
            </w:pPr>
            <w:r>
              <w:rPr>
                <w:rFonts w:ascii="Arial" w:cs="Arial" w:eastAsia="Arial" w:hAnsi="Arial"/>
                <w:sz w:val="15"/>
                <w:szCs w:val="15"/>
                <w:color w:val="auto"/>
                <w:w w:val="87"/>
              </w:rPr>
              <w:t>March 3, 2014</w:t>
            </w:r>
          </w:p>
        </w:tc>
      </w:tr>
      <w:tr>
        <w:trPr>
          <w:trHeight w:val="186"/>
        </w:trPr>
        <w:tc>
          <w:tcPr>
            <w:tcW w:w="40" w:type="dxa"/>
            <w:vAlign w:val="bottom"/>
          </w:tcPr>
          <w:p>
            <w:pPr>
              <w:spacing w:after="0"/>
              <w:rPr>
                <w:sz w:val="16"/>
                <w:szCs w:val="16"/>
                <w:color w:val="auto"/>
              </w:rPr>
            </w:pPr>
          </w:p>
        </w:tc>
        <w:tc>
          <w:tcPr>
            <w:tcW w:w="2960" w:type="dxa"/>
            <w:vAlign w:val="bottom"/>
            <w:gridSpan w:val="11"/>
          </w:tcPr>
          <w:p>
            <w:pPr>
              <w:spacing w:after="0"/>
              <w:rPr>
                <w:sz w:val="20"/>
                <w:szCs w:val="20"/>
                <w:color w:val="auto"/>
              </w:rPr>
            </w:pPr>
            <w:r>
              <w:rPr>
                <w:rFonts w:ascii="Arial" w:cs="Arial" w:eastAsia="Arial" w:hAnsi="Arial"/>
                <w:sz w:val="15"/>
                <w:szCs w:val="15"/>
                <w:color w:val="auto"/>
              </w:rPr>
              <w:t>Thomas A. Akin</w:t>
            </w:r>
          </w:p>
        </w:tc>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94"/>
        </w:trPr>
        <w:tc>
          <w:tcPr>
            <w:tcW w:w="40" w:type="dxa"/>
            <w:vAlign w:val="bottom"/>
          </w:tcPr>
          <w:p>
            <w:pPr>
              <w:spacing w:after="0"/>
              <w:rPr>
                <w:sz w:val="24"/>
                <w:szCs w:val="24"/>
                <w:color w:val="auto"/>
              </w:rPr>
            </w:pPr>
          </w:p>
        </w:tc>
        <w:tc>
          <w:tcPr>
            <w:tcW w:w="1820" w:type="dxa"/>
            <w:vAlign w:val="bottom"/>
            <w:tcBorders>
              <w:bottom w:val="single" w:sz="8" w:color="auto"/>
            </w:tcBorders>
            <w:gridSpan w:val="8"/>
          </w:tcPr>
          <w:p>
            <w:pPr>
              <w:spacing w:after="0"/>
              <w:rPr>
                <w:sz w:val="20"/>
                <w:szCs w:val="20"/>
                <w:color w:val="auto"/>
              </w:rPr>
            </w:pPr>
            <w:r>
              <w:rPr>
                <w:rFonts w:ascii="Arial" w:cs="Arial" w:eastAsia="Arial" w:hAnsi="Arial"/>
                <w:sz w:val="15"/>
                <w:szCs w:val="15"/>
                <w:color w:val="auto"/>
                <w:w w:val="96"/>
              </w:rPr>
              <w:t>/s/ HAROLD D. MARSHALL</w:t>
            </w:r>
          </w:p>
        </w:tc>
        <w:tc>
          <w:tcPr>
            <w:tcW w:w="1140" w:type="dxa"/>
            <w:vAlign w:val="bottom"/>
            <w:gridSpan w:val="3"/>
          </w:tcPr>
          <w:p>
            <w:pPr>
              <w:spacing w:after="0"/>
              <w:rPr>
                <w:sz w:val="24"/>
                <w:szCs w:val="24"/>
                <w:color w:val="auto"/>
              </w:rPr>
            </w:pPr>
          </w:p>
        </w:tc>
        <w:tc>
          <w:tcPr>
            <w:tcW w:w="4720" w:type="dxa"/>
            <w:vAlign w:val="bottom"/>
            <w:gridSpan w:val="3"/>
          </w:tcPr>
          <w:p>
            <w:pPr>
              <w:ind w:left="820"/>
              <w:spacing w:after="0"/>
              <w:rPr>
                <w:sz w:val="20"/>
                <w:szCs w:val="20"/>
                <w:color w:val="auto"/>
              </w:rPr>
            </w:pPr>
            <w:r>
              <w:rPr>
                <w:rFonts w:ascii="Arial" w:cs="Arial" w:eastAsia="Arial" w:hAnsi="Arial"/>
                <w:sz w:val="15"/>
                <w:szCs w:val="15"/>
                <w:color w:val="auto"/>
              </w:rPr>
              <w:t>Director</w:t>
            </w:r>
          </w:p>
        </w:tc>
        <w:tc>
          <w:tcPr>
            <w:tcW w:w="2200" w:type="dxa"/>
            <w:vAlign w:val="bottom"/>
            <w:gridSpan w:val="3"/>
          </w:tcPr>
          <w:p>
            <w:pPr>
              <w:jc w:val="center"/>
              <w:ind w:left="1247"/>
              <w:spacing w:after="0"/>
              <w:rPr>
                <w:sz w:val="20"/>
                <w:szCs w:val="20"/>
                <w:color w:val="auto"/>
              </w:rPr>
            </w:pPr>
            <w:r>
              <w:rPr>
                <w:rFonts w:ascii="Arial" w:cs="Arial" w:eastAsia="Arial" w:hAnsi="Arial"/>
                <w:sz w:val="15"/>
                <w:szCs w:val="15"/>
                <w:color w:val="auto"/>
                <w:w w:val="87"/>
              </w:rPr>
              <w:t>March 3, 2014</w:t>
            </w:r>
          </w:p>
        </w:tc>
      </w:tr>
      <w:tr>
        <w:trPr>
          <w:trHeight w:val="186"/>
        </w:trPr>
        <w:tc>
          <w:tcPr>
            <w:tcW w:w="40" w:type="dxa"/>
            <w:vAlign w:val="bottom"/>
          </w:tcPr>
          <w:p>
            <w:pPr>
              <w:spacing w:after="0"/>
              <w:rPr>
                <w:sz w:val="16"/>
                <w:szCs w:val="16"/>
                <w:color w:val="auto"/>
              </w:rPr>
            </w:pPr>
          </w:p>
        </w:tc>
        <w:tc>
          <w:tcPr>
            <w:tcW w:w="2960" w:type="dxa"/>
            <w:vAlign w:val="bottom"/>
            <w:gridSpan w:val="11"/>
          </w:tcPr>
          <w:p>
            <w:pPr>
              <w:spacing w:after="0"/>
              <w:rPr>
                <w:sz w:val="20"/>
                <w:szCs w:val="20"/>
                <w:color w:val="auto"/>
              </w:rPr>
            </w:pPr>
            <w:r>
              <w:rPr>
                <w:rFonts w:ascii="Arial" w:cs="Arial" w:eastAsia="Arial" w:hAnsi="Arial"/>
                <w:sz w:val="15"/>
                <w:szCs w:val="15"/>
                <w:color w:val="auto"/>
              </w:rPr>
              <w:t>Harold D. Marshall</w:t>
            </w:r>
          </w:p>
        </w:tc>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93"/>
        </w:trPr>
        <w:tc>
          <w:tcPr>
            <w:tcW w:w="40" w:type="dxa"/>
            <w:vAlign w:val="bottom"/>
          </w:tcPr>
          <w:p>
            <w:pPr>
              <w:spacing w:after="0"/>
              <w:rPr>
                <w:sz w:val="24"/>
                <w:szCs w:val="24"/>
                <w:color w:val="auto"/>
              </w:rPr>
            </w:pPr>
          </w:p>
        </w:tc>
        <w:tc>
          <w:tcPr>
            <w:tcW w:w="1800" w:type="dxa"/>
            <w:vAlign w:val="bottom"/>
            <w:tcBorders>
              <w:bottom w:val="single" w:sz="8" w:color="auto"/>
            </w:tcBorders>
            <w:gridSpan w:val="7"/>
          </w:tcPr>
          <w:p>
            <w:pPr>
              <w:spacing w:after="0"/>
              <w:rPr>
                <w:sz w:val="20"/>
                <w:szCs w:val="20"/>
                <w:color w:val="auto"/>
              </w:rPr>
            </w:pPr>
            <w:r>
              <w:rPr>
                <w:rFonts w:ascii="Arial" w:cs="Arial" w:eastAsia="Arial" w:hAnsi="Arial"/>
                <w:sz w:val="15"/>
                <w:szCs w:val="15"/>
                <w:color w:val="auto"/>
                <w:w w:val="91"/>
              </w:rPr>
              <w:t>/s/ JAMES C. UNDERWOOD</w:t>
            </w:r>
          </w:p>
        </w:tc>
        <w:tc>
          <w:tcPr>
            <w:tcW w:w="1160" w:type="dxa"/>
            <w:vAlign w:val="bottom"/>
            <w:gridSpan w:val="4"/>
          </w:tcPr>
          <w:p>
            <w:pPr>
              <w:spacing w:after="0"/>
              <w:rPr>
                <w:sz w:val="24"/>
                <w:szCs w:val="24"/>
                <w:color w:val="auto"/>
              </w:rPr>
            </w:pPr>
          </w:p>
        </w:tc>
        <w:tc>
          <w:tcPr>
            <w:tcW w:w="4720" w:type="dxa"/>
            <w:vAlign w:val="bottom"/>
            <w:gridSpan w:val="3"/>
          </w:tcPr>
          <w:p>
            <w:pPr>
              <w:ind w:left="820"/>
              <w:spacing w:after="0"/>
              <w:rPr>
                <w:sz w:val="20"/>
                <w:szCs w:val="20"/>
                <w:color w:val="auto"/>
              </w:rPr>
            </w:pPr>
            <w:r>
              <w:rPr>
                <w:rFonts w:ascii="Arial" w:cs="Arial" w:eastAsia="Arial" w:hAnsi="Arial"/>
                <w:sz w:val="15"/>
                <w:szCs w:val="15"/>
                <w:color w:val="auto"/>
              </w:rPr>
              <w:t>Director</w:t>
            </w:r>
          </w:p>
        </w:tc>
        <w:tc>
          <w:tcPr>
            <w:tcW w:w="2200" w:type="dxa"/>
            <w:vAlign w:val="bottom"/>
            <w:gridSpan w:val="3"/>
          </w:tcPr>
          <w:p>
            <w:pPr>
              <w:jc w:val="center"/>
              <w:ind w:left="1247"/>
              <w:spacing w:after="0"/>
              <w:rPr>
                <w:sz w:val="20"/>
                <w:szCs w:val="20"/>
                <w:color w:val="auto"/>
              </w:rPr>
            </w:pPr>
            <w:r>
              <w:rPr>
                <w:rFonts w:ascii="Arial" w:cs="Arial" w:eastAsia="Arial" w:hAnsi="Arial"/>
                <w:sz w:val="15"/>
                <w:szCs w:val="15"/>
                <w:color w:val="auto"/>
                <w:w w:val="87"/>
              </w:rPr>
              <w:t>March 3, 2014</w:t>
            </w:r>
          </w:p>
        </w:tc>
      </w:tr>
      <w:tr>
        <w:trPr>
          <w:trHeight w:val="186"/>
        </w:trPr>
        <w:tc>
          <w:tcPr>
            <w:tcW w:w="40" w:type="dxa"/>
            <w:vAlign w:val="bottom"/>
          </w:tcPr>
          <w:p>
            <w:pPr>
              <w:spacing w:after="0"/>
              <w:rPr>
                <w:sz w:val="16"/>
                <w:szCs w:val="16"/>
                <w:color w:val="auto"/>
              </w:rPr>
            </w:pPr>
          </w:p>
        </w:tc>
        <w:tc>
          <w:tcPr>
            <w:tcW w:w="2960" w:type="dxa"/>
            <w:vAlign w:val="bottom"/>
            <w:gridSpan w:val="11"/>
          </w:tcPr>
          <w:p>
            <w:pPr>
              <w:spacing w:after="0"/>
              <w:rPr>
                <w:sz w:val="20"/>
                <w:szCs w:val="20"/>
                <w:color w:val="auto"/>
              </w:rPr>
            </w:pPr>
            <w:r>
              <w:rPr>
                <w:rFonts w:ascii="Arial" w:cs="Arial" w:eastAsia="Arial" w:hAnsi="Arial"/>
                <w:sz w:val="15"/>
                <w:szCs w:val="15"/>
                <w:color w:val="auto"/>
              </w:rPr>
              <w:t>James C. Underwood</w:t>
            </w:r>
          </w:p>
        </w:tc>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93"/>
        </w:trPr>
        <w:tc>
          <w:tcPr>
            <w:tcW w:w="40" w:type="dxa"/>
            <w:vAlign w:val="bottom"/>
          </w:tcPr>
          <w:p>
            <w:pPr>
              <w:spacing w:after="0"/>
              <w:rPr>
                <w:sz w:val="24"/>
                <w:szCs w:val="24"/>
                <w:color w:val="auto"/>
              </w:rPr>
            </w:pPr>
          </w:p>
        </w:tc>
        <w:tc>
          <w:tcPr>
            <w:tcW w:w="1940" w:type="dxa"/>
            <w:vAlign w:val="bottom"/>
            <w:tcBorders>
              <w:bottom w:val="single" w:sz="8" w:color="auto"/>
            </w:tcBorders>
            <w:gridSpan w:val="9"/>
          </w:tcPr>
          <w:p>
            <w:pPr>
              <w:spacing w:after="0"/>
              <w:rPr>
                <w:sz w:val="20"/>
                <w:szCs w:val="20"/>
                <w:color w:val="auto"/>
              </w:rPr>
            </w:pPr>
            <w:r>
              <w:rPr>
                <w:rFonts w:ascii="Arial" w:cs="Arial" w:eastAsia="Arial" w:hAnsi="Arial"/>
                <w:sz w:val="15"/>
                <w:szCs w:val="15"/>
                <w:color w:val="auto"/>
                <w:w w:val="91"/>
              </w:rPr>
              <w:t>/s/ GERALD R. SZCZEPANSKI</w:t>
            </w:r>
          </w:p>
        </w:tc>
        <w:tc>
          <w:tcPr>
            <w:tcW w:w="1020" w:type="dxa"/>
            <w:vAlign w:val="bottom"/>
            <w:gridSpan w:val="2"/>
          </w:tcPr>
          <w:p>
            <w:pPr>
              <w:spacing w:after="0"/>
              <w:rPr>
                <w:sz w:val="24"/>
                <w:szCs w:val="24"/>
                <w:color w:val="auto"/>
              </w:rPr>
            </w:pPr>
          </w:p>
        </w:tc>
        <w:tc>
          <w:tcPr>
            <w:tcW w:w="4720" w:type="dxa"/>
            <w:vAlign w:val="bottom"/>
            <w:gridSpan w:val="3"/>
          </w:tcPr>
          <w:p>
            <w:pPr>
              <w:ind w:left="820"/>
              <w:spacing w:after="0"/>
              <w:rPr>
                <w:sz w:val="20"/>
                <w:szCs w:val="20"/>
                <w:color w:val="auto"/>
              </w:rPr>
            </w:pPr>
            <w:r>
              <w:rPr>
                <w:rFonts w:ascii="Arial" w:cs="Arial" w:eastAsia="Arial" w:hAnsi="Arial"/>
                <w:sz w:val="15"/>
                <w:szCs w:val="15"/>
                <w:color w:val="auto"/>
              </w:rPr>
              <w:t>Director</w:t>
            </w:r>
          </w:p>
        </w:tc>
        <w:tc>
          <w:tcPr>
            <w:tcW w:w="2200" w:type="dxa"/>
            <w:vAlign w:val="bottom"/>
            <w:gridSpan w:val="3"/>
          </w:tcPr>
          <w:p>
            <w:pPr>
              <w:jc w:val="center"/>
              <w:ind w:left="1247"/>
              <w:spacing w:after="0"/>
              <w:rPr>
                <w:sz w:val="20"/>
                <w:szCs w:val="20"/>
                <w:color w:val="auto"/>
              </w:rPr>
            </w:pPr>
            <w:r>
              <w:rPr>
                <w:rFonts w:ascii="Arial" w:cs="Arial" w:eastAsia="Arial" w:hAnsi="Arial"/>
                <w:sz w:val="15"/>
                <w:szCs w:val="15"/>
                <w:color w:val="auto"/>
                <w:w w:val="87"/>
              </w:rPr>
              <w:t>March 3, 2014</w:t>
            </w:r>
          </w:p>
        </w:tc>
      </w:tr>
      <w:tr>
        <w:trPr>
          <w:trHeight w:val="186"/>
        </w:trPr>
        <w:tc>
          <w:tcPr>
            <w:tcW w:w="40" w:type="dxa"/>
            <w:vAlign w:val="bottom"/>
          </w:tcPr>
          <w:p>
            <w:pPr>
              <w:spacing w:after="0"/>
              <w:rPr>
                <w:sz w:val="16"/>
                <w:szCs w:val="16"/>
                <w:color w:val="auto"/>
              </w:rPr>
            </w:pPr>
          </w:p>
        </w:tc>
        <w:tc>
          <w:tcPr>
            <w:tcW w:w="2960" w:type="dxa"/>
            <w:vAlign w:val="bottom"/>
            <w:gridSpan w:val="11"/>
          </w:tcPr>
          <w:p>
            <w:pPr>
              <w:spacing w:after="0"/>
              <w:rPr>
                <w:sz w:val="20"/>
                <w:szCs w:val="20"/>
                <w:color w:val="auto"/>
              </w:rPr>
            </w:pPr>
            <w:r>
              <w:rPr>
                <w:rFonts w:ascii="Arial" w:cs="Arial" w:eastAsia="Arial" w:hAnsi="Arial"/>
                <w:sz w:val="15"/>
                <w:szCs w:val="15"/>
                <w:color w:val="auto"/>
              </w:rPr>
              <w:t>Gerald R. Szczepanski</w:t>
            </w:r>
          </w:p>
        </w:tc>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93"/>
        </w:trPr>
        <w:tc>
          <w:tcPr>
            <w:tcW w:w="3000" w:type="dxa"/>
            <w:vAlign w:val="bottom"/>
            <w:gridSpan w:val="12"/>
          </w:tcPr>
          <w:p>
            <w:pPr>
              <w:spacing w:after="0"/>
              <w:rPr>
                <w:sz w:val="20"/>
                <w:szCs w:val="20"/>
                <w:color w:val="auto"/>
              </w:rPr>
            </w:pPr>
            <w:r>
              <w:rPr>
                <w:rFonts w:ascii="Arial" w:cs="Arial" w:eastAsia="Arial" w:hAnsi="Arial"/>
                <w:sz w:val="15"/>
                <w:szCs w:val="15"/>
                <w:color w:val="auto"/>
              </w:rPr>
              <w:t>/s/ W. MARVIN RUSH</w:t>
            </w: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Director</w:t>
            </w:r>
          </w:p>
        </w:tc>
        <w:tc>
          <w:tcPr>
            <w:tcW w:w="2200" w:type="dxa"/>
            <w:vAlign w:val="bottom"/>
            <w:gridSpan w:val="3"/>
          </w:tcPr>
          <w:p>
            <w:pPr>
              <w:jc w:val="center"/>
              <w:ind w:left="1207"/>
              <w:spacing w:after="0"/>
              <w:rPr>
                <w:sz w:val="20"/>
                <w:szCs w:val="20"/>
                <w:color w:val="auto"/>
              </w:rPr>
            </w:pPr>
            <w:r>
              <w:rPr>
                <w:rFonts w:ascii="Arial" w:cs="Arial" w:eastAsia="Arial" w:hAnsi="Arial"/>
                <w:sz w:val="15"/>
                <w:szCs w:val="15"/>
                <w:color w:val="auto"/>
                <w:w w:val="87"/>
              </w:rPr>
              <w:t>March 3, 2014</w:t>
            </w:r>
          </w:p>
        </w:tc>
      </w:tr>
      <w:tr>
        <w:trPr>
          <w:trHeight w:val="186"/>
        </w:trPr>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W. Marvin Rush</w:t>
            </w:r>
          </w:p>
        </w:tc>
        <w:tc>
          <w:tcPr>
            <w:tcW w:w="1620" w:type="dxa"/>
            <w:vAlign w:val="bottom"/>
            <w:gridSpan w:val="10"/>
          </w:tcPr>
          <w:p>
            <w:pPr>
              <w:spacing w:after="0"/>
              <w:rPr>
                <w:sz w:val="16"/>
                <w:szCs w:val="16"/>
                <w:color w:val="auto"/>
              </w:rPr>
            </w:pPr>
          </w:p>
        </w:tc>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19"/>
        </w:trPr>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w w:val="90"/>
              </w:rPr>
              <w:t>/s/ RAYMOND J. CHESS</w:t>
            </w:r>
          </w:p>
        </w:tc>
        <w:tc>
          <w:tcPr>
            <w:tcW w:w="1460" w:type="dxa"/>
            <w:vAlign w:val="bottom"/>
            <w:gridSpan w:val="8"/>
          </w:tcPr>
          <w:p>
            <w:pPr>
              <w:spacing w:after="0"/>
              <w:rPr>
                <w:sz w:val="24"/>
                <w:szCs w:val="24"/>
                <w:color w:val="auto"/>
              </w:rPr>
            </w:pPr>
          </w:p>
        </w:tc>
        <w:tc>
          <w:tcPr>
            <w:tcW w:w="4720" w:type="dxa"/>
            <w:vAlign w:val="bottom"/>
            <w:gridSpan w:val="3"/>
          </w:tcPr>
          <w:p>
            <w:pPr>
              <w:ind w:left="780"/>
              <w:spacing w:after="0"/>
              <w:rPr>
                <w:sz w:val="20"/>
                <w:szCs w:val="20"/>
                <w:color w:val="auto"/>
              </w:rPr>
            </w:pPr>
            <w:r>
              <w:rPr>
                <w:rFonts w:ascii="Arial" w:cs="Arial" w:eastAsia="Arial" w:hAnsi="Arial"/>
                <w:sz w:val="15"/>
                <w:szCs w:val="15"/>
                <w:color w:val="auto"/>
              </w:rPr>
              <w:t>Director</w:t>
            </w:r>
          </w:p>
        </w:tc>
        <w:tc>
          <w:tcPr>
            <w:tcW w:w="2200" w:type="dxa"/>
            <w:vAlign w:val="bottom"/>
            <w:gridSpan w:val="3"/>
          </w:tcPr>
          <w:p>
            <w:pPr>
              <w:jc w:val="center"/>
              <w:ind w:left="1207"/>
              <w:spacing w:after="0"/>
              <w:rPr>
                <w:sz w:val="20"/>
                <w:szCs w:val="20"/>
                <w:color w:val="auto"/>
              </w:rPr>
            </w:pPr>
            <w:r>
              <w:rPr>
                <w:rFonts w:ascii="Arial" w:cs="Arial" w:eastAsia="Arial" w:hAnsi="Arial"/>
                <w:sz w:val="15"/>
                <w:szCs w:val="15"/>
                <w:color w:val="auto"/>
                <w:w w:val="87"/>
              </w:rPr>
              <w:t>March 3, 2014</w:t>
            </w:r>
          </w:p>
        </w:tc>
      </w:tr>
      <w:tr>
        <w:trPr>
          <w:trHeight w:val="186"/>
        </w:trPr>
        <w:tc>
          <w:tcPr>
            <w:tcW w:w="3000" w:type="dxa"/>
            <w:vAlign w:val="bottom"/>
            <w:gridSpan w:val="12"/>
          </w:tcPr>
          <w:p>
            <w:pPr>
              <w:spacing w:after="0"/>
              <w:rPr>
                <w:sz w:val="20"/>
                <w:szCs w:val="20"/>
                <w:color w:val="auto"/>
              </w:rPr>
            </w:pPr>
            <w:r>
              <w:rPr>
                <w:rFonts w:ascii="Arial" w:cs="Arial" w:eastAsia="Arial" w:hAnsi="Arial"/>
                <w:sz w:val="15"/>
                <w:szCs w:val="15"/>
                <w:color w:val="auto"/>
              </w:rPr>
              <w:t>Raymond J. Chess</w:t>
            </w:r>
          </w:p>
        </w:tc>
        <w:tc>
          <w:tcPr>
            <w:tcW w:w="2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bl>
    <w:p>
      <w:pPr>
        <w:sectPr>
          <w:pgSz w:w="11900" w:h="16838" w:orient="portrait"/>
          <w:cols w:equalWidth="0" w:num="1">
            <w:col w:w="11460"/>
          </w:cols>
          <w:pgMar w:left="220" w:top="496"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15"/>
          <w:szCs w:val="15"/>
          <w:color w:val="auto"/>
        </w:rPr>
        <w:t>EXHIBIT 21.1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80" w:type="dxa"/>
            <w:vAlign w:val="bottom"/>
            <w:gridSpan w:val="5"/>
          </w:tcPr>
          <w:p>
            <w:pPr>
              <w:ind w:left="160"/>
              <w:spacing w:after="0"/>
              <w:rPr>
                <w:sz w:val="20"/>
                <w:szCs w:val="20"/>
                <w:color w:val="auto"/>
              </w:rPr>
            </w:pPr>
            <w:r>
              <w:rPr>
                <w:rFonts w:ascii="Arial" w:cs="Arial" w:eastAsia="Arial" w:hAnsi="Arial"/>
                <w:sz w:val="15"/>
                <w:szCs w:val="15"/>
                <w:color w:val="auto"/>
              </w:rPr>
              <w:t>SUBSIDIARIES OF THE COMPANY</w:t>
            </w:r>
          </w:p>
        </w:tc>
      </w:tr>
      <w:tr>
        <w:trPr>
          <w:trHeight w:val="332"/>
        </w:trPr>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5"/>
                <w:szCs w:val="15"/>
                <w:color w:val="auto"/>
                <w:w w:val="85"/>
              </w:rPr>
              <w:t>State of</w:t>
            </w:r>
          </w:p>
        </w:tc>
        <w:tc>
          <w:tcPr>
            <w:tcW w:w="1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1720" w:type="dxa"/>
            <w:vAlign w:val="bottom"/>
          </w:tcPr>
          <w:p>
            <w:pPr>
              <w:spacing w:after="0"/>
              <w:rPr>
                <w:sz w:val="13"/>
                <w:szCs w:val="13"/>
                <w:color w:val="auto"/>
              </w:rPr>
            </w:pPr>
          </w:p>
        </w:tc>
        <w:tc>
          <w:tcPr>
            <w:tcW w:w="1700" w:type="dxa"/>
            <w:vAlign w:val="bottom"/>
            <w:gridSpan w:val="2"/>
          </w:tcPr>
          <w:p>
            <w:pPr>
              <w:spacing w:after="0" w:line="153" w:lineRule="exact"/>
              <w:rPr>
                <w:sz w:val="20"/>
                <w:szCs w:val="20"/>
                <w:color w:val="auto"/>
              </w:rPr>
            </w:pPr>
            <w:r>
              <w:rPr>
                <w:rFonts w:ascii="Arial" w:cs="Arial" w:eastAsia="Arial" w:hAnsi="Arial"/>
                <w:sz w:val="15"/>
                <w:szCs w:val="15"/>
                <w:color w:val="auto"/>
              </w:rPr>
              <w:t>Name</w:t>
            </w:r>
          </w:p>
        </w:tc>
        <w:tc>
          <w:tcPr>
            <w:tcW w:w="10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5"/>
                <w:szCs w:val="15"/>
                <w:color w:val="auto"/>
                <w:w w:val="91"/>
              </w:rPr>
              <w:t>Incorporation</w:t>
            </w:r>
          </w:p>
        </w:tc>
        <w:tc>
          <w:tcPr>
            <w:tcW w:w="4140" w:type="dxa"/>
            <w:vAlign w:val="bottom"/>
            <w:gridSpan w:val="3"/>
          </w:tcPr>
          <w:p>
            <w:pPr>
              <w:ind w:left="1360"/>
              <w:spacing w:after="0" w:line="153" w:lineRule="exact"/>
              <w:rPr>
                <w:sz w:val="20"/>
                <w:szCs w:val="20"/>
                <w:color w:val="auto"/>
              </w:rPr>
            </w:pPr>
            <w:r>
              <w:rPr>
                <w:rFonts w:ascii="Arial" w:cs="Arial" w:eastAsia="Arial" w:hAnsi="Arial"/>
                <w:sz w:val="15"/>
                <w:szCs w:val="15"/>
                <w:color w:val="auto"/>
                <w:w w:val="87"/>
              </w:rPr>
              <w:t>Names Under Which Subsidiary Does Business</w:t>
            </w:r>
          </w:p>
        </w:tc>
      </w:tr>
      <w:tr>
        <w:trPr>
          <w:trHeight w:val="20"/>
        </w:trPr>
        <w:tc>
          <w:tcPr>
            <w:tcW w:w="1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3420" w:type="dxa"/>
            <w:vAlign w:val="bottom"/>
            <w:gridSpan w:val="3"/>
          </w:tcPr>
          <w:p>
            <w:pPr>
              <w:spacing w:after="0"/>
              <w:rPr>
                <w:sz w:val="20"/>
                <w:szCs w:val="20"/>
                <w:color w:val="auto"/>
              </w:rPr>
            </w:pPr>
            <w:r>
              <w:rPr>
                <w:rFonts w:ascii="Arial" w:cs="Arial" w:eastAsia="Arial" w:hAnsi="Arial"/>
                <w:sz w:val="15"/>
                <w:szCs w:val="15"/>
                <w:color w:val="auto"/>
              </w:rPr>
              <w:t>Rush Truck Centers of Alabama, Inc.</w:t>
            </w:r>
          </w:p>
        </w:tc>
        <w:tc>
          <w:tcPr>
            <w:tcW w:w="2160" w:type="dxa"/>
            <w:vAlign w:val="bottom"/>
            <w:gridSpan w:val="3"/>
          </w:tcPr>
          <w:p>
            <w:pPr>
              <w:ind w:left="340"/>
              <w:spacing w:after="0"/>
              <w:rPr>
                <w:sz w:val="20"/>
                <w:szCs w:val="20"/>
                <w:color w:val="auto"/>
              </w:rPr>
            </w:pPr>
            <w:r>
              <w:rPr>
                <w:rFonts w:ascii="Arial" w:cs="Arial" w:eastAsia="Arial" w:hAnsi="Arial"/>
                <w:sz w:val="15"/>
                <w:szCs w:val="15"/>
                <w:color w:val="auto"/>
              </w:rPr>
              <w:t>Delaware</w:t>
            </w: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Mobile</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Mobile</w:t>
            </w:r>
          </w:p>
        </w:tc>
      </w:tr>
      <w:tr>
        <w:trPr>
          <w:trHeight w:val="175"/>
        </w:trPr>
        <w:tc>
          <w:tcPr>
            <w:tcW w:w="3420" w:type="dxa"/>
            <w:vAlign w:val="bottom"/>
            <w:gridSpan w:val="3"/>
          </w:tcPr>
          <w:p>
            <w:pPr>
              <w:spacing w:after="0"/>
              <w:rPr>
                <w:sz w:val="20"/>
                <w:szCs w:val="20"/>
                <w:color w:val="auto"/>
              </w:rPr>
            </w:pPr>
            <w:r>
              <w:rPr>
                <w:rFonts w:ascii="Arial" w:cs="Arial" w:eastAsia="Arial" w:hAnsi="Arial"/>
                <w:sz w:val="15"/>
                <w:szCs w:val="15"/>
                <w:color w:val="auto"/>
              </w:rPr>
              <w:t>Rush Truck Centers of Arizona, Inc.</w:t>
            </w:r>
          </w:p>
        </w:tc>
        <w:tc>
          <w:tcPr>
            <w:tcW w:w="2160" w:type="dxa"/>
            <w:vAlign w:val="bottom"/>
            <w:gridSpan w:val="3"/>
          </w:tcPr>
          <w:p>
            <w:pPr>
              <w:ind w:left="340"/>
              <w:spacing w:after="0"/>
              <w:rPr>
                <w:sz w:val="20"/>
                <w:szCs w:val="20"/>
                <w:color w:val="auto"/>
              </w:rPr>
            </w:pPr>
            <w:r>
              <w:rPr>
                <w:rFonts w:ascii="Arial" w:cs="Arial" w:eastAsia="Arial" w:hAnsi="Arial"/>
                <w:sz w:val="15"/>
                <w:szCs w:val="15"/>
                <w:color w:val="auto"/>
              </w:rPr>
              <w:t>Delaware</w:t>
            </w: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Phoenix</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Phoenix</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Flagstaff</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Flagstaff</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Tucson</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Tucson</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Yuma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Yuma</w:t>
            </w:r>
          </w:p>
        </w:tc>
      </w:tr>
      <w:tr>
        <w:trPr>
          <w:trHeight w:val="175"/>
        </w:trPr>
        <w:tc>
          <w:tcPr>
            <w:tcW w:w="3420" w:type="dxa"/>
            <w:vAlign w:val="bottom"/>
            <w:gridSpan w:val="3"/>
          </w:tcPr>
          <w:p>
            <w:pPr>
              <w:spacing w:after="0"/>
              <w:rPr>
                <w:sz w:val="20"/>
                <w:szCs w:val="20"/>
                <w:color w:val="auto"/>
              </w:rPr>
            </w:pPr>
            <w:r>
              <w:rPr>
                <w:rFonts w:ascii="Arial" w:cs="Arial" w:eastAsia="Arial" w:hAnsi="Arial"/>
                <w:sz w:val="15"/>
                <w:szCs w:val="15"/>
                <w:color w:val="auto"/>
              </w:rPr>
              <w:t>Rush Truck Centers of California, Inc.</w:t>
            </w:r>
          </w:p>
        </w:tc>
        <w:tc>
          <w:tcPr>
            <w:tcW w:w="2160" w:type="dxa"/>
            <w:vAlign w:val="bottom"/>
            <w:gridSpan w:val="3"/>
          </w:tcPr>
          <w:p>
            <w:pPr>
              <w:ind w:left="340"/>
              <w:spacing w:after="0"/>
              <w:rPr>
                <w:sz w:val="20"/>
                <w:szCs w:val="20"/>
                <w:color w:val="auto"/>
              </w:rPr>
            </w:pPr>
            <w:r>
              <w:rPr>
                <w:rFonts w:ascii="Arial" w:cs="Arial" w:eastAsia="Arial" w:hAnsi="Arial"/>
                <w:sz w:val="15"/>
                <w:szCs w:val="15"/>
                <w:color w:val="auto"/>
              </w:rPr>
              <w:t>Delaware</w:t>
            </w: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Pico Rivera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Pico Rivera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Fontana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Fontana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Medium Duty Truck Center, Fontana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Isuzu Trucks, Fontana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Medium Duty Truck Center, Fontana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Towing Systems, Fontana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Fontana Used Trucks</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Sylmar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Sylmar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Escondido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Escondido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San Diego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San Diego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Whittier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Isuzu Truck, Whittier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Whittier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Towing Systems, Fontana</w:t>
            </w:r>
          </w:p>
        </w:tc>
      </w:tr>
      <w:tr>
        <w:trPr>
          <w:trHeight w:val="175"/>
        </w:trPr>
        <w:tc>
          <w:tcPr>
            <w:tcW w:w="3420" w:type="dxa"/>
            <w:vAlign w:val="bottom"/>
            <w:gridSpan w:val="3"/>
          </w:tcPr>
          <w:p>
            <w:pPr>
              <w:spacing w:after="0"/>
              <w:rPr>
                <w:sz w:val="20"/>
                <w:szCs w:val="20"/>
                <w:color w:val="auto"/>
              </w:rPr>
            </w:pPr>
            <w:r>
              <w:rPr>
                <w:rFonts w:ascii="Arial" w:cs="Arial" w:eastAsia="Arial" w:hAnsi="Arial"/>
                <w:sz w:val="15"/>
                <w:szCs w:val="15"/>
                <w:color w:val="auto"/>
                <w:w w:val="99"/>
              </w:rPr>
              <w:t>Rush Medium Duty Truck Centers of Colorado, Inc.</w:t>
            </w:r>
          </w:p>
        </w:tc>
        <w:tc>
          <w:tcPr>
            <w:tcW w:w="2160" w:type="dxa"/>
            <w:vAlign w:val="bottom"/>
            <w:gridSpan w:val="3"/>
          </w:tcPr>
          <w:p>
            <w:pPr>
              <w:ind w:left="340"/>
              <w:spacing w:after="0"/>
              <w:rPr>
                <w:sz w:val="20"/>
                <w:szCs w:val="20"/>
                <w:color w:val="auto"/>
              </w:rPr>
            </w:pPr>
            <w:r>
              <w:rPr>
                <w:rFonts w:ascii="Arial" w:cs="Arial" w:eastAsia="Arial" w:hAnsi="Arial"/>
                <w:sz w:val="15"/>
                <w:szCs w:val="15"/>
                <w:color w:val="auto"/>
              </w:rPr>
              <w:t>Delaware</w:t>
            </w: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Medium Duty Truck Center, Denver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Medium Duty Ford Trucks, Denver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Isuzu Trucks, Denver</w:t>
            </w:r>
          </w:p>
        </w:tc>
      </w:tr>
      <w:tr>
        <w:trPr>
          <w:trHeight w:val="175"/>
        </w:trPr>
        <w:tc>
          <w:tcPr>
            <w:tcW w:w="3420" w:type="dxa"/>
            <w:vAlign w:val="bottom"/>
            <w:gridSpan w:val="3"/>
          </w:tcPr>
          <w:p>
            <w:pPr>
              <w:spacing w:after="0"/>
              <w:rPr>
                <w:sz w:val="20"/>
                <w:szCs w:val="20"/>
                <w:color w:val="auto"/>
              </w:rPr>
            </w:pPr>
            <w:r>
              <w:rPr>
                <w:rFonts w:ascii="Arial" w:cs="Arial" w:eastAsia="Arial" w:hAnsi="Arial"/>
                <w:sz w:val="15"/>
                <w:szCs w:val="15"/>
                <w:color w:val="auto"/>
              </w:rPr>
              <w:t>Rush Truck Centers of Colorado, Inc.</w:t>
            </w:r>
          </w:p>
        </w:tc>
        <w:tc>
          <w:tcPr>
            <w:tcW w:w="2160" w:type="dxa"/>
            <w:vAlign w:val="bottom"/>
            <w:gridSpan w:val="3"/>
          </w:tcPr>
          <w:p>
            <w:pPr>
              <w:ind w:left="340"/>
              <w:spacing w:after="0"/>
              <w:rPr>
                <w:sz w:val="20"/>
                <w:szCs w:val="20"/>
                <w:color w:val="auto"/>
              </w:rPr>
            </w:pPr>
            <w:r>
              <w:rPr>
                <w:rFonts w:ascii="Arial" w:cs="Arial" w:eastAsia="Arial" w:hAnsi="Arial"/>
                <w:sz w:val="15"/>
                <w:szCs w:val="15"/>
                <w:color w:val="auto"/>
              </w:rPr>
              <w:t>Delaware</w:t>
            </w: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Centers, Inc.</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Denver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Denver</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Greeley</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Greeley</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Pueblo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Pueblo</w:t>
            </w:r>
          </w:p>
        </w:tc>
      </w:tr>
      <w:tr>
        <w:trPr>
          <w:trHeight w:val="175"/>
        </w:trPr>
        <w:tc>
          <w:tcPr>
            <w:tcW w:w="3420" w:type="dxa"/>
            <w:vAlign w:val="bottom"/>
            <w:gridSpan w:val="3"/>
          </w:tcPr>
          <w:p>
            <w:pPr>
              <w:spacing w:after="0"/>
              <w:rPr>
                <w:sz w:val="20"/>
                <w:szCs w:val="20"/>
                <w:color w:val="auto"/>
              </w:rPr>
            </w:pPr>
            <w:r>
              <w:rPr>
                <w:rFonts w:ascii="Arial" w:cs="Arial" w:eastAsia="Arial" w:hAnsi="Arial"/>
                <w:sz w:val="15"/>
                <w:szCs w:val="15"/>
                <w:color w:val="auto"/>
              </w:rPr>
              <w:t>Rush Truck Centers of Florida, Inc.</w:t>
            </w:r>
          </w:p>
        </w:tc>
        <w:tc>
          <w:tcPr>
            <w:tcW w:w="2160" w:type="dxa"/>
            <w:vAlign w:val="bottom"/>
            <w:gridSpan w:val="3"/>
          </w:tcPr>
          <w:p>
            <w:pPr>
              <w:ind w:left="340"/>
              <w:spacing w:after="0"/>
              <w:rPr>
                <w:sz w:val="20"/>
                <w:szCs w:val="20"/>
                <w:color w:val="auto"/>
              </w:rPr>
            </w:pPr>
            <w:r>
              <w:rPr>
                <w:rFonts w:ascii="Arial" w:cs="Arial" w:eastAsia="Arial" w:hAnsi="Arial"/>
                <w:sz w:val="15"/>
                <w:szCs w:val="15"/>
                <w:color w:val="auto"/>
              </w:rPr>
              <w:t>Delaware</w:t>
            </w: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Isuzu Trucks, Orlando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Orlando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Isuzu Truck Center, Orlando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Orlando</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Orlando Light and Medium Duty</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Orlando South</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Isuzu Trucks, Winter Garden</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Haines City</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Haines City</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Tampa</w:t>
            </w:r>
          </w:p>
        </w:tc>
      </w:tr>
      <w:tr>
        <w:trPr>
          <w:trHeight w:val="175"/>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Peterbilt Truck Center, Tampa</w:t>
            </w:r>
          </w:p>
        </w:tc>
      </w:tr>
      <w:tr>
        <w:trPr>
          <w:trHeight w:val="184"/>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3"/>
          </w:tcPr>
          <w:p>
            <w:pPr>
              <w:ind w:left="340"/>
              <w:spacing w:after="0"/>
              <w:rPr>
                <w:sz w:val="20"/>
                <w:szCs w:val="20"/>
                <w:color w:val="auto"/>
              </w:rPr>
            </w:pPr>
            <w:r>
              <w:rPr>
                <w:rFonts w:ascii="Arial" w:cs="Arial" w:eastAsia="Arial" w:hAnsi="Arial"/>
                <w:sz w:val="15"/>
                <w:szCs w:val="15"/>
                <w:color w:val="auto"/>
              </w:rPr>
              <w:t>Rush Truck Center, Jacksonville</w:t>
            </w:r>
          </w:p>
        </w:tc>
      </w:tr>
    </w:tbl>
    <w:p>
      <w:pPr>
        <w:ind w:left="5920"/>
        <w:spacing w:after="0"/>
        <w:rPr>
          <w:sz w:val="20"/>
          <w:szCs w:val="20"/>
          <w:color w:val="auto"/>
        </w:rPr>
      </w:pPr>
      <w:r>
        <w:rPr>
          <w:rFonts w:ascii="Arial" w:cs="Arial" w:eastAsia="Arial" w:hAnsi="Arial"/>
          <w:sz w:val="15"/>
          <w:szCs w:val="15"/>
          <w:color w:val="auto"/>
        </w:rPr>
        <w:t>Rush Peterbilt Truck Center, Jacksonville</w:t>
      </w:r>
    </w:p>
    <w:p>
      <w:pPr>
        <w:spacing w:after="0" w:line="2"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Rush Peterbilt Truck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401955</wp:posOffset>
            </wp:positionV>
            <wp:extent cx="7292340" cy="3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Georgia,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Medium Duty Truck Center, Atlanta</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Isuzu Trucks, Atlanta</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Atlanta</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Bus Center, Atlanta</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International Truck Center, Atlanta</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Collision Center, Atlanta</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Atlanta Collision Center</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Doraville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International Truck Center, Doraville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Isuzu Trucks, Doraville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Smyrna</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Tifton</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Bus Center, Tifton</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Columbus</w:t>
            </w:r>
          </w:p>
        </w:tc>
      </w:t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Idaho,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International Truck Center, Boise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International Truck Center, Twin Falls</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International Truck Center, Idaho Falls</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International Truck Center, Lewiston</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Boise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Twin Falls</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Idaho Falls</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Lewiston</w:t>
            </w:r>
          </w:p>
        </w:tc>
      </w:t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Illinois,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Bloomington</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Decatur</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Champaign</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Quincy</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Springfield Collision Center</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Champaign Collision Center</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Springfield, Illinois</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Chambersburg</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Springfield East</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Springfield West</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Carol Stream</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Chicago</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Grayslake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Huntley</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Joliet</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Kankakee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Ottawa</w:t>
            </w:r>
          </w:p>
        </w:tc>
      </w:t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Indiana,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Gary</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Brazil</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Indianapolis</w:t>
            </w:r>
          </w:p>
        </w:tc>
      </w:t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Kansas,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Kansas</w:t>
            </w:r>
          </w:p>
        </w:tc>
      </w:t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Missouri,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St. Peters</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St. Louis</w:t>
            </w:r>
          </w:p>
        </w:tc>
      </w:t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New Mexico,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Albuquerque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Peterbilt Truck Center, Albuquerque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Las Cruces</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Peterbilt Truck Center, Las Cruces</w:t>
            </w:r>
          </w:p>
        </w:tc>
      </w:tr>
      <w:tr>
        <w:trPr>
          <w:trHeight w:val="175"/>
        </w:trPr>
        <w:tc>
          <w:tcPr>
            <w:tcW w:w="3160" w:type="dxa"/>
            <w:vAlign w:val="bottom"/>
          </w:tcPr>
          <w:p>
            <w:pPr>
              <w:spacing w:after="0"/>
              <w:rPr>
                <w:sz w:val="20"/>
                <w:szCs w:val="20"/>
                <w:color w:val="auto"/>
              </w:rPr>
            </w:pPr>
            <w:r>
              <w:rPr>
                <w:rFonts w:ascii="Arial" w:cs="Arial" w:eastAsia="Arial" w:hAnsi="Arial"/>
                <w:sz w:val="15"/>
                <w:szCs w:val="15"/>
                <w:color w:val="auto"/>
              </w:rPr>
              <w:t>Rush Truck Centers of North Carolina, Inc.</w:t>
            </w:r>
          </w:p>
        </w:tc>
        <w:tc>
          <w:tcPr>
            <w:tcW w:w="1940" w:type="dxa"/>
            <w:vAlign w:val="bottom"/>
          </w:tcPr>
          <w:p>
            <w:pPr>
              <w:ind w:left="620"/>
              <w:spacing w:after="0"/>
              <w:rPr>
                <w:sz w:val="20"/>
                <w:szCs w:val="20"/>
                <w:color w:val="auto"/>
              </w:rPr>
            </w:pPr>
            <w:r>
              <w:rPr>
                <w:rFonts w:ascii="Arial" w:cs="Arial" w:eastAsia="Arial" w:hAnsi="Arial"/>
                <w:sz w:val="15"/>
                <w:szCs w:val="15"/>
                <w:color w:val="auto"/>
              </w:rPr>
              <w:t>Delaware</w:t>
            </w:r>
          </w:p>
        </w:tc>
        <w:tc>
          <w:tcPr>
            <w:tcW w:w="6380" w:type="dxa"/>
            <w:vAlign w:val="bottom"/>
          </w:tcPr>
          <w:p>
            <w:pPr>
              <w:ind w:left="780"/>
              <w:spacing w:after="0"/>
              <w:rPr>
                <w:sz w:val="20"/>
                <w:szCs w:val="20"/>
                <w:color w:val="auto"/>
              </w:rPr>
            </w:pPr>
            <w:r>
              <w:rPr>
                <w:rFonts w:ascii="Arial" w:cs="Arial" w:eastAsia="Arial" w:hAnsi="Arial"/>
                <w:sz w:val="15"/>
                <w:szCs w:val="15"/>
                <w:color w:val="auto"/>
              </w:rPr>
              <w:t>Rush Collision Center, Charlotte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International Truck Center, Charlotte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Isuzu Trucks, Charlotte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Peterbilt Truck Center, Charlotte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Charlotte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Body Shop, Charlotte</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Charlotte Collision Center</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Hickory</w:t>
            </w:r>
          </w:p>
        </w:tc>
      </w:tr>
      <w:tr>
        <w:trPr>
          <w:trHeight w:val="175"/>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Statesville</w:t>
            </w:r>
          </w:p>
        </w:tc>
      </w:tr>
      <w:tr>
        <w:trPr>
          <w:trHeight w:val="184"/>
        </w:trPr>
        <w:tc>
          <w:tcPr>
            <w:tcW w:w="3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380" w:type="dxa"/>
            <w:vAlign w:val="bottom"/>
          </w:tcPr>
          <w:p>
            <w:pPr>
              <w:ind w:left="780"/>
              <w:spacing w:after="0"/>
              <w:rPr>
                <w:sz w:val="20"/>
                <w:szCs w:val="20"/>
                <w:color w:val="auto"/>
              </w:rPr>
            </w:pPr>
            <w:r>
              <w:rPr>
                <w:rFonts w:ascii="Arial" w:cs="Arial" w:eastAsia="Arial" w:hAnsi="Arial"/>
                <w:sz w:val="15"/>
                <w:szCs w:val="15"/>
                <w:color w:val="auto"/>
              </w:rPr>
              <w:t>Rush Truck Center, Asheville</w:t>
            </w:r>
          </w:p>
        </w:tc>
      </w:tr>
      <w:tr>
        <w:trPr>
          <w:trHeight w:val="708"/>
        </w:trPr>
        <w:tc>
          <w:tcPr>
            <w:tcW w:w="31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5"/>
        </w:trPr>
        <w:tc>
          <w:tcPr>
            <w:tcW w:w="3020" w:type="dxa"/>
            <w:vAlign w:val="bottom"/>
          </w:tcPr>
          <w:p>
            <w:pPr>
              <w:spacing w:after="0"/>
              <w:rPr>
                <w:sz w:val="20"/>
                <w:szCs w:val="20"/>
                <w:color w:val="auto"/>
              </w:rPr>
            </w:pPr>
            <w:r>
              <w:rPr>
                <w:rFonts w:ascii="Arial" w:cs="Arial" w:eastAsia="Arial" w:hAnsi="Arial"/>
                <w:sz w:val="15"/>
                <w:szCs w:val="15"/>
                <w:color w:val="auto"/>
              </w:rPr>
              <w:t>Rush Truck Centers of Ohio, Inc.</w:t>
            </w:r>
          </w:p>
        </w:tc>
        <w:tc>
          <w:tcPr>
            <w:tcW w:w="2100" w:type="dxa"/>
            <w:vAlign w:val="bottom"/>
          </w:tcPr>
          <w:p>
            <w:pPr>
              <w:ind w:left="760"/>
              <w:spacing w:after="0"/>
              <w:rPr>
                <w:sz w:val="20"/>
                <w:szCs w:val="20"/>
                <w:color w:val="auto"/>
              </w:rPr>
            </w:pPr>
            <w:r>
              <w:rPr>
                <w:rFonts w:ascii="Arial" w:cs="Arial" w:eastAsia="Arial" w:hAnsi="Arial"/>
                <w:sz w:val="15"/>
                <w:szCs w:val="15"/>
                <w:color w:val="auto"/>
              </w:rPr>
              <w:t>Delaware</w:t>
            </w: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Akron</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Akron</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Cincinnati</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Cincinnati</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Cleveland</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Cleveland</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Columbus East</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Columbus East</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Columbus West</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Columbus West</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Dayton</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Dayton</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Findlay</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Findlay</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Lima</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Lima</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Springfield, Ohio</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Cincinnati</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RTC Truck Parts</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Akron</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Cleveland</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Columbus East</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Columbus West</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Dayton</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Findlay</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Bus Center, Lima</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Rig Tough Truck Parts, Cincinnati</w:t>
            </w:r>
          </w:p>
        </w:tc>
      </w:tr>
      <w:tr>
        <w:trPr>
          <w:trHeight w:val="175"/>
        </w:trPr>
        <w:tc>
          <w:tcPr>
            <w:tcW w:w="3020" w:type="dxa"/>
            <w:vAlign w:val="bottom"/>
          </w:tcPr>
          <w:p>
            <w:pPr>
              <w:spacing w:after="0"/>
              <w:rPr>
                <w:sz w:val="20"/>
                <w:szCs w:val="20"/>
                <w:color w:val="auto"/>
              </w:rPr>
            </w:pPr>
            <w:r>
              <w:rPr>
                <w:rFonts w:ascii="Arial" w:cs="Arial" w:eastAsia="Arial" w:hAnsi="Arial"/>
                <w:sz w:val="15"/>
                <w:szCs w:val="15"/>
                <w:color w:val="auto"/>
              </w:rPr>
              <w:t>Rush Truck Centers of Oklahoma, Inc.</w:t>
            </w:r>
          </w:p>
        </w:tc>
        <w:tc>
          <w:tcPr>
            <w:tcW w:w="2100" w:type="dxa"/>
            <w:vAlign w:val="bottom"/>
          </w:tcPr>
          <w:p>
            <w:pPr>
              <w:ind w:left="760"/>
              <w:spacing w:after="0"/>
              <w:rPr>
                <w:sz w:val="20"/>
                <w:szCs w:val="20"/>
                <w:color w:val="auto"/>
              </w:rPr>
            </w:pPr>
            <w:r>
              <w:rPr>
                <w:rFonts w:ascii="Arial" w:cs="Arial" w:eastAsia="Arial" w:hAnsi="Arial"/>
                <w:sz w:val="15"/>
                <w:szCs w:val="15"/>
                <w:color w:val="auto"/>
              </w:rPr>
              <w:t>Delaware</w:t>
            </w:r>
          </w:p>
        </w:tc>
        <w:tc>
          <w:tcPr>
            <w:tcW w:w="6360" w:type="dxa"/>
            <w:vAlign w:val="bottom"/>
          </w:tcPr>
          <w:p>
            <w:pPr>
              <w:ind w:left="780"/>
              <w:spacing w:after="0"/>
              <w:rPr>
                <w:sz w:val="20"/>
                <w:szCs w:val="20"/>
                <w:color w:val="auto"/>
              </w:rPr>
            </w:pPr>
            <w:r>
              <w:rPr>
                <w:rFonts w:ascii="Arial" w:cs="Arial" w:eastAsia="Arial" w:hAnsi="Arial"/>
                <w:sz w:val="15"/>
                <w:szCs w:val="15"/>
                <w:color w:val="auto"/>
              </w:rPr>
              <w:t>Rush Peterbilt Truck Center, Ardmore</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Peterbilt Truck Center, Oklahoma City</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Peterbilt Truck Center, Tulsa</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Ardmore</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Oklahoma City</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Tulsa</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Isuzu Trucks, Oklahoma City</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Used Truck Center, Tulsa</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Rigging</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Perfection Equipment</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Perfection Truck Parts &amp; Equipment, Oklahoma City</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Perfection Truck Parts &amp; Equipment, Tulsa</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Perfection Crane Services</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Translease</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Oklahoma Trucks, Inc.</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Tulsa Trucks, Inc.</w:t>
            </w:r>
          </w:p>
        </w:tc>
      </w:tr>
      <w:tr>
        <w:trPr>
          <w:trHeight w:val="175"/>
        </w:trPr>
        <w:tc>
          <w:tcPr>
            <w:tcW w:w="3020" w:type="dxa"/>
            <w:vAlign w:val="bottom"/>
          </w:tcPr>
          <w:p>
            <w:pPr>
              <w:spacing w:after="0"/>
              <w:rPr>
                <w:sz w:val="20"/>
                <w:szCs w:val="20"/>
                <w:color w:val="auto"/>
              </w:rPr>
            </w:pPr>
            <w:r>
              <w:rPr>
                <w:rFonts w:ascii="Arial" w:cs="Arial" w:eastAsia="Arial" w:hAnsi="Arial"/>
                <w:sz w:val="15"/>
                <w:szCs w:val="15"/>
                <w:color w:val="auto"/>
              </w:rPr>
              <w:t>Rush Truck Centers of Oregon, Inc.</w:t>
            </w:r>
          </w:p>
        </w:tc>
        <w:tc>
          <w:tcPr>
            <w:tcW w:w="2100" w:type="dxa"/>
            <w:vAlign w:val="bottom"/>
          </w:tcPr>
          <w:p>
            <w:pPr>
              <w:ind w:left="760"/>
              <w:spacing w:after="0"/>
              <w:rPr>
                <w:sz w:val="20"/>
                <w:szCs w:val="20"/>
                <w:color w:val="auto"/>
              </w:rPr>
            </w:pPr>
            <w:r>
              <w:rPr>
                <w:rFonts w:ascii="Arial" w:cs="Arial" w:eastAsia="Arial" w:hAnsi="Arial"/>
                <w:sz w:val="15"/>
                <w:szCs w:val="15"/>
                <w:color w:val="auto"/>
              </w:rPr>
              <w:t>Delaware</w:t>
            </w:r>
          </w:p>
        </w:tc>
        <w:tc>
          <w:tcPr>
            <w:tcW w:w="6360" w:type="dxa"/>
            <w:vAlign w:val="bottom"/>
          </w:tcPr>
          <w:p>
            <w:pPr>
              <w:ind w:left="780"/>
              <w:spacing w:after="0"/>
              <w:rPr>
                <w:sz w:val="20"/>
                <w:szCs w:val="20"/>
                <w:color w:val="auto"/>
              </w:rPr>
            </w:pPr>
            <w:r>
              <w:rPr>
                <w:rFonts w:ascii="Arial" w:cs="Arial" w:eastAsia="Arial" w:hAnsi="Arial"/>
                <w:sz w:val="15"/>
                <w:szCs w:val="15"/>
                <w:color w:val="auto"/>
              </w:rPr>
              <w:t>Rush International Truck Center, Ontario</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Ontario</w:t>
            </w:r>
          </w:p>
        </w:tc>
      </w:tr>
      <w:tr>
        <w:trPr>
          <w:trHeight w:val="175"/>
        </w:trPr>
        <w:tc>
          <w:tcPr>
            <w:tcW w:w="3020" w:type="dxa"/>
            <w:vAlign w:val="bottom"/>
          </w:tcPr>
          <w:p>
            <w:pPr>
              <w:spacing w:after="0"/>
              <w:rPr>
                <w:sz w:val="20"/>
                <w:szCs w:val="20"/>
                <w:color w:val="auto"/>
              </w:rPr>
            </w:pPr>
            <w:r>
              <w:rPr>
                <w:rFonts w:ascii="Arial" w:cs="Arial" w:eastAsia="Arial" w:hAnsi="Arial"/>
                <w:sz w:val="15"/>
                <w:szCs w:val="15"/>
                <w:color w:val="auto"/>
              </w:rPr>
              <w:t>Rush Truck Centers of Tennessee, Inc.</w:t>
            </w:r>
          </w:p>
        </w:tc>
        <w:tc>
          <w:tcPr>
            <w:tcW w:w="2100" w:type="dxa"/>
            <w:vAlign w:val="bottom"/>
          </w:tcPr>
          <w:p>
            <w:pPr>
              <w:ind w:left="760"/>
              <w:spacing w:after="0"/>
              <w:rPr>
                <w:sz w:val="20"/>
                <w:szCs w:val="20"/>
                <w:color w:val="auto"/>
              </w:rPr>
            </w:pPr>
            <w:r>
              <w:rPr>
                <w:rFonts w:ascii="Arial" w:cs="Arial" w:eastAsia="Arial" w:hAnsi="Arial"/>
                <w:sz w:val="15"/>
                <w:szCs w:val="15"/>
                <w:color w:val="auto"/>
              </w:rPr>
              <w:t>Delaware</w:t>
            </w:r>
          </w:p>
        </w:tc>
        <w:tc>
          <w:tcPr>
            <w:tcW w:w="6360" w:type="dxa"/>
            <w:vAlign w:val="bottom"/>
          </w:tcPr>
          <w:p>
            <w:pPr>
              <w:ind w:left="780"/>
              <w:spacing w:after="0"/>
              <w:rPr>
                <w:sz w:val="20"/>
                <w:szCs w:val="20"/>
                <w:color w:val="auto"/>
              </w:rPr>
            </w:pPr>
            <w:r>
              <w:rPr>
                <w:rFonts w:ascii="Arial" w:cs="Arial" w:eastAsia="Arial" w:hAnsi="Arial"/>
                <w:sz w:val="15"/>
                <w:szCs w:val="15"/>
                <w:color w:val="auto"/>
              </w:rPr>
              <w:t>Rush Truck Center, Nashville</w:t>
            </w:r>
          </w:p>
        </w:tc>
      </w:tr>
      <w:tr>
        <w:trPr>
          <w:trHeight w:val="175"/>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Peterbilt Truck Center, Nashville</w:t>
            </w:r>
          </w:p>
        </w:tc>
      </w:tr>
      <w:tr>
        <w:trPr>
          <w:trHeight w:val="184"/>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360" w:type="dxa"/>
            <w:vAlign w:val="bottom"/>
          </w:tcPr>
          <w:p>
            <w:pPr>
              <w:ind w:left="780"/>
              <w:spacing w:after="0"/>
              <w:rPr>
                <w:sz w:val="20"/>
                <w:szCs w:val="20"/>
                <w:color w:val="auto"/>
              </w:rPr>
            </w:pPr>
            <w:r>
              <w:rPr>
                <w:rFonts w:ascii="Arial" w:cs="Arial" w:eastAsia="Arial" w:hAnsi="Arial"/>
                <w:sz w:val="15"/>
                <w:szCs w:val="15"/>
                <w:color w:val="auto"/>
              </w:rPr>
              <w:t>Rush Towing Systems, Nashville</w:t>
            </w:r>
          </w:p>
        </w:tc>
      </w:tr>
      <w:tr>
        <w:trPr>
          <w:trHeight w:val="708"/>
        </w:trPr>
        <w:tc>
          <w:tcPr>
            <w:tcW w:w="30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90" w:name="page91"/>
    <w:bookmarkEnd w:id="90"/>
    <w:p>
      <w:pPr>
        <w:spacing w:after="0"/>
        <w:rPr>
          <w:sz w:val="20"/>
          <w:szCs w:val="20"/>
          <w:color w:val="auto"/>
        </w:rPr>
      </w:pPr>
      <w:r>
        <w:rPr>
          <w:rFonts w:ascii="Arial" w:cs="Arial" w:eastAsia="Arial" w:hAnsi="Arial"/>
          <w:sz w:val="12"/>
          <w:szCs w:val="12"/>
          <w:color w:val="auto"/>
        </w:rPr>
        <w:t>Rush Truck Centers of Texas, L.P.</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Arial" w:cs="Arial" w:eastAsia="Arial" w:hAnsi="Arial"/>
          <w:sz w:val="12"/>
          <w:szCs w:val="12"/>
          <w:color w:val="auto"/>
        </w:rPr>
        <w:t>Texas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Custom Vehicle Solutions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Houston Peterbilt, Inc.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Laredo Peterbilt, Inc.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Lufkin Peterbilt, Inc.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Alice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Austin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Corpus Christi</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Dallas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Dallas, Number 2</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Fort Worth</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Houston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Laredo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Lufkin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Pharr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San Antonio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San Antonio, Number 2</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Sealy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Selma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Texarkana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Tyler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Bus Center, Waco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GMC Truck Center of El Paso, Inc.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Trucks, Austin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 Corpus Christi</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Trucks, Dallas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Trucks, Texarkana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Trucks, El Paso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Trucks, Sealy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Trucks, Waco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Isuzu Trucks, Dallas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Medium Duty Truck Center, Dallas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Rush Medium Duty Truck Center, San Antonio</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Rush Medium Duty Truck Center, Waco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Abilene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Alice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Amarillo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Austin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Corpus Christi</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Dalhart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Dallas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El Paso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Fort Worth</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Hereford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Houston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Rush Peterbilt Truck Center, Houston Northwest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Laredo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Lubbock</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Lufkin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Odessa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Pharr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San Antonio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Sealy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Texarkana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Tyler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Waco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Refuse Systems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Towing Systems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Towing Systems, Houston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Towing Systems, San Antonio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Abilene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Alice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Amarillo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Austin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Corpus Christi</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Dalhart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Dallas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Dallas Medium Duty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Rush Truck Center, Dallas Light and Medium Duty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Denton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El Paso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Fort Worth</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Hereford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Houston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Laredo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Lubbock</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Lufkin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Odessa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Pharr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San Antonio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Sealy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Texarkana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Tyler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Truck Center, Waco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Rush Used Truck Center, Austin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Rush Crane and Refuse Systems International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San Antonio Peterbilt, Inc.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San Antonio Peterbilt-GMC Truck, Inc.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World Wide Tires</w:t>
      </w:r>
    </w:p>
    <w:p>
      <w:pPr>
        <w:sectPr>
          <w:pgSz w:w="11900" w:h="16838" w:orient="portrait"/>
          <w:cols w:equalWidth="0" w:num="3">
            <w:col w:w="3040" w:space="720"/>
            <w:col w:w="1380" w:space="720"/>
            <w:col w:w="4379"/>
          </w:cols>
          <w:pgMar w:left="220" w:top="500" w:right="1440" w:bottom="204"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20"/>
                <w:szCs w:val="20"/>
                <w:color w:val="auto"/>
              </w:rPr>
            </w:pPr>
            <w:r>
              <w:rPr>
                <w:rFonts w:ascii="Arial" w:cs="Arial" w:eastAsia="Arial" w:hAnsi="Arial"/>
                <w:sz w:val="15"/>
                <w:szCs w:val="15"/>
                <w:color w:val="auto"/>
              </w:rPr>
              <w:t>Rush Truck Centers of Utah, Inc.</w:t>
            </w:r>
          </w:p>
        </w:tc>
        <w:tc>
          <w:tcPr>
            <w:tcW w:w="2140" w:type="dxa"/>
            <w:vAlign w:val="bottom"/>
          </w:tcPr>
          <w:p>
            <w:pPr>
              <w:ind w:left="700"/>
              <w:spacing w:after="0"/>
              <w:rPr>
                <w:sz w:val="20"/>
                <w:szCs w:val="20"/>
                <w:color w:val="auto"/>
              </w:rPr>
            </w:pPr>
            <w:r>
              <w:rPr>
                <w:rFonts w:ascii="Arial" w:cs="Arial" w:eastAsia="Arial" w:hAnsi="Arial"/>
                <w:sz w:val="15"/>
                <w:szCs w:val="15"/>
                <w:color w:val="auto"/>
              </w:rPr>
              <w:t>Delaware</w:t>
            </w:r>
          </w:p>
        </w:tc>
        <w:tc>
          <w:tcPr>
            <w:tcW w:w="6260" w:type="dxa"/>
            <w:vAlign w:val="bottom"/>
          </w:tcPr>
          <w:p>
            <w:pPr>
              <w:ind w:left="680"/>
              <w:spacing w:after="0"/>
              <w:rPr>
                <w:sz w:val="20"/>
                <w:szCs w:val="20"/>
                <w:color w:val="auto"/>
              </w:rPr>
            </w:pPr>
            <w:r>
              <w:rPr>
                <w:rFonts w:ascii="Arial" w:cs="Arial" w:eastAsia="Arial" w:hAnsi="Arial"/>
                <w:sz w:val="15"/>
                <w:szCs w:val="15"/>
                <w:color w:val="auto"/>
              </w:rPr>
              <w:t>Rush International Truck Center, Salt Lake City</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International Truck Center, Helper</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International Truck Center, Springville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International Truck Center, St. George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International Truck Center, Ogden</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Salt Lake City</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Helper</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Springville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St. George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Ogden</w:t>
            </w:r>
          </w:p>
        </w:tc>
      </w:tr>
      <w:tr>
        <w:trPr>
          <w:trHeight w:val="175"/>
        </w:trPr>
        <w:tc>
          <w:tcPr>
            <w:tcW w:w="3080" w:type="dxa"/>
            <w:vAlign w:val="bottom"/>
          </w:tcPr>
          <w:p>
            <w:pPr>
              <w:spacing w:after="0"/>
              <w:rPr>
                <w:sz w:val="20"/>
                <w:szCs w:val="20"/>
                <w:color w:val="auto"/>
              </w:rPr>
            </w:pPr>
            <w:r>
              <w:rPr>
                <w:rFonts w:ascii="Arial" w:cs="Arial" w:eastAsia="Arial" w:hAnsi="Arial"/>
                <w:sz w:val="15"/>
                <w:szCs w:val="15"/>
                <w:color w:val="auto"/>
              </w:rPr>
              <w:t>Rush Truck Centers of Virginia, Inc.</w:t>
            </w:r>
          </w:p>
        </w:tc>
        <w:tc>
          <w:tcPr>
            <w:tcW w:w="2140" w:type="dxa"/>
            <w:vAlign w:val="bottom"/>
          </w:tcPr>
          <w:p>
            <w:pPr>
              <w:ind w:left="700"/>
              <w:spacing w:after="0"/>
              <w:rPr>
                <w:sz w:val="20"/>
                <w:szCs w:val="20"/>
                <w:color w:val="auto"/>
              </w:rPr>
            </w:pPr>
            <w:r>
              <w:rPr>
                <w:rFonts w:ascii="Arial" w:cs="Arial" w:eastAsia="Arial" w:hAnsi="Arial"/>
                <w:sz w:val="15"/>
                <w:szCs w:val="15"/>
                <w:color w:val="auto"/>
              </w:rPr>
              <w:t>Delaware</w:t>
            </w: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Richmond</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Chester</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Suffolk</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Truck Center, Fredericksburg</w:t>
            </w:r>
          </w:p>
        </w:tc>
      </w:tr>
      <w:tr>
        <w:trPr>
          <w:trHeight w:val="175"/>
        </w:trPr>
        <w:tc>
          <w:tcPr>
            <w:tcW w:w="3080" w:type="dxa"/>
            <w:vAlign w:val="bottom"/>
          </w:tcPr>
          <w:p>
            <w:pPr>
              <w:spacing w:after="0"/>
              <w:rPr>
                <w:sz w:val="20"/>
                <w:szCs w:val="20"/>
                <w:color w:val="auto"/>
              </w:rPr>
            </w:pPr>
            <w:r>
              <w:rPr>
                <w:rFonts w:ascii="Arial" w:cs="Arial" w:eastAsia="Arial" w:hAnsi="Arial"/>
                <w:sz w:val="15"/>
                <w:szCs w:val="15"/>
                <w:color w:val="auto"/>
              </w:rPr>
              <w:t>Rig Tough, Inc.</w:t>
            </w:r>
          </w:p>
        </w:tc>
        <w:tc>
          <w:tcPr>
            <w:tcW w:w="2140" w:type="dxa"/>
            <w:vAlign w:val="bottom"/>
          </w:tcPr>
          <w:p>
            <w:pPr>
              <w:ind w:left="700"/>
              <w:spacing w:after="0"/>
              <w:rPr>
                <w:sz w:val="20"/>
                <w:szCs w:val="20"/>
                <w:color w:val="auto"/>
              </w:rPr>
            </w:pPr>
            <w:r>
              <w:rPr>
                <w:rFonts w:ascii="Arial" w:cs="Arial" w:eastAsia="Arial" w:hAnsi="Arial"/>
                <w:sz w:val="15"/>
                <w:szCs w:val="15"/>
                <w:color w:val="auto"/>
              </w:rPr>
              <w:t>Delaware</w:t>
            </w:r>
          </w:p>
        </w:tc>
        <w:tc>
          <w:tcPr>
            <w:tcW w:w="6260" w:type="dxa"/>
            <w:vAlign w:val="bottom"/>
          </w:tcPr>
          <w:p>
            <w:pPr>
              <w:ind w:left="680"/>
              <w:spacing w:after="0"/>
              <w:rPr>
                <w:sz w:val="20"/>
                <w:szCs w:val="20"/>
                <w:color w:val="auto"/>
              </w:rPr>
            </w:pPr>
            <w:r>
              <w:rPr>
                <w:rFonts w:ascii="Arial" w:cs="Arial" w:eastAsia="Arial" w:hAnsi="Arial"/>
                <w:sz w:val="15"/>
                <w:szCs w:val="15"/>
                <w:color w:val="auto"/>
              </w:rPr>
              <w:t>None</w:t>
            </w:r>
          </w:p>
        </w:tc>
      </w:tr>
      <w:tr>
        <w:trPr>
          <w:trHeight w:val="175"/>
        </w:trPr>
        <w:tc>
          <w:tcPr>
            <w:tcW w:w="3080" w:type="dxa"/>
            <w:vAlign w:val="bottom"/>
          </w:tcPr>
          <w:p>
            <w:pPr>
              <w:spacing w:after="0"/>
              <w:rPr>
                <w:sz w:val="20"/>
                <w:szCs w:val="20"/>
                <w:color w:val="auto"/>
              </w:rPr>
            </w:pPr>
            <w:r>
              <w:rPr>
                <w:rFonts w:ascii="Arial" w:cs="Arial" w:eastAsia="Arial" w:hAnsi="Arial"/>
                <w:sz w:val="15"/>
                <w:szCs w:val="15"/>
                <w:color w:val="auto"/>
              </w:rPr>
              <w:t>Rush Truck Center of Albuquerque, Inc.</w:t>
            </w:r>
          </w:p>
        </w:tc>
        <w:tc>
          <w:tcPr>
            <w:tcW w:w="2140" w:type="dxa"/>
            <w:vAlign w:val="bottom"/>
          </w:tcPr>
          <w:p>
            <w:pPr>
              <w:ind w:left="700"/>
              <w:spacing w:after="0"/>
              <w:rPr>
                <w:sz w:val="20"/>
                <w:szCs w:val="20"/>
                <w:color w:val="auto"/>
              </w:rPr>
            </w:pPr>
            <w:r>
              <w:rPr>
                <w:rFonts w:ascii="Arial" w:cs="Arial" w:eastAsia="Arial" w:hAnsi="Arial"/>
                <w:sz w:val="15"/>
                <w:szCs w:val="15"/>
                <w:color w:val="auto"/>
              </w:rPr>
              <w:t>New Mexico</w:t>
            </w:r>
          </w:p>
        </w:tc>
        <w:tc>
          <w:tcPr>
            <w:tcW w:w="6260" w:type="dxa"/>
            <w:vAlign w:val="bottom"/>
          </w:tcPr>
          <w:p>
            <w:pPr>
              <w:ind w:left="680"/>
              <w:spacing w:after="0"/>
              <w:rPr>
                <w:sz w:val="20"/>
                <w:szCs w:val="20"/>
                <w:color w:val="auto"/>
              </w:rPr>
            </w:pPr>
            <w:r>
              <w:rPr>
                <w:rFonts w:ascii="Arial" w:cs="Arial" w:eastAsia="Arial" w:hAnsi="Arial"/>
                <w:sz w:val="15"/>
                <w:szCs w:val="15"/>
                <w:color w:val="auto"/>
              </w:rPr>
              <w:t>None</w:t>
            </w:r>
          </w:p>
        </w:tc>
      </w:tr>
      <w:tr>
        <w:trPr>
          <w:trHeight w:val="175"/>
        </w:trPr>
        <w:tc>
          <w:tcPr>
            <w:tcW w:w="3080" w:type="dxa"/>
            <w:vAlign w:val="bottom"/>
          </w:tcPr>
          <w:p>
            <w:pPr>
              <w:spacing w:after="0"/>
              <w:rPr>
                <w:sz w:val="20"/>
                <w:szCs w:val="20"/>
                <w:color w:val="auto"/>
              </w:rPr>
            </w:pPr>
            <w:r>
              <w:rPr>
                <w:rFonts w:ascii="Arial" w:cs="Arial" w:eastAsia="Arial" w:hAnsi="Arial"/>
                <w:sz w:val="15"/>
                <w:szCs w:val="15"/>
                <w:color w:val="auto"/>
              </w:rPr>
              <w:t>Rush GMC Truck Center of Tucson, Inc.</w:t>
            </w:r>
          </w:p>
        </w:tc>
        <w:tc>
          <w:tcPr>
            <w:tcW w:w="2140" w:type="dxa"/>
            <w:vAlign w:val="bottom"/>
          </w:tcPr>
          <w:p>
            <w:pPr>
              <w:ind w:left="700"/>
              <w:spacing w:after="0"/>
              <w:rPr>
                <w:sz w:val="20"/>
                <w:szCs w:val="20"/>
                <w:color w:val="auto"/>
              </w:rPr>
            </w:pPr>
            <w:r>
              <w:rPr>
                <w:rFonts w:ascii="Arial" w:cs="Arial" w:eastAsia="Arial" w:hAnsi="Arial"/>
                <w:sz w:val="15"/>
                <w:szCs w:val="15"/>
                <w:color w:val="auto"/>
              </w:rPr>
              <w:t>Delaware</w:t>
            </w:r>
          </w:p>
        </w:tc>
        <w:tc>
          <w:tcPr>
            <w:tcW w:w="6260" w:type="dxa"/>
            <w:vAlign w:val="bottom"/>
          </w:tcPr>
          <w:p>
            <w:pPr>
              <w:ind w:left="680"/>
              <w:spacing w:after="0"/>
              <w:rPr>
                <w:sz w:val="20"/>
                <w:szCs w:val="20"/>
                <w:color w:val="auto"/>
              </w:rPr>
            </w:pPr>
            <w:r>
              <w:rPr>
                <w:rFonts w:ascii="Arial" w:cs="Arial" w:eastAsia="Arial" w:hAnsi="Arial"/>
                <w:sz w:val="15"/>
                <w:szCs w:val="15"/>
                <w:color w:val="auto"/>
              </w:rPr>
              <w:t>None</w:t>
            </w:r>
          </w:p>
        </w:tc>
      </w:tr>
      <w:tr>
        <w:trPr>
          <w:trHeight w:val="175"/>
        </w:trPr>
        <w:tc>
          <w:tcPr>
            <w:tcW w:w="3080" w:type="dxa"/>
            <w:vAlign w:val="bottom"/>
          </w:tcPr>
          <w:p>
            <w:pPr>
              <w:spacing w:after="0"/>
              <w:rPr>
                <w:sz w:val="20"/>
                <w:szCs w:val="20"/>
                <w:color w:val="auto"/>
              </w:rPr>
            </w:pPr>
            <w:r>
              <w:rPr>
                <w:rFonts w:ascii="Arial" w:cs="Arial" w:eastAsia="Arial" w:hAnsi="Arial"/>
                <w:sz w:val="15"/>
                <w:szCs w:val="15"/>
                <w:color w:val="auto"/>
              </w:rPr>
              <w:t>Rush Accessories Corporation</w:t>
            </w:r>
          </w:p>
        </w:tc>
        <w:tc>
          <w:tcPr>
            <w:tcW w:w="2140" w:type="dxa"/>
            <w:vAlign w:val="bottom"/>
          </w:tcPr>
          <w:p>
            <w:pPr>
              <w:ind w:left="700"/>
              <w:spacing w:after="0"/>
              <w:rPr>
                <w:sz w:val="20"/>
                <w:szCs w:val="20"/>
                <w:color w:val="auto"/>
              </w:rPr>
            </w:pPr>
            <w:r>
              <w:rPr>
                <w:rFonts w:ascii="Arial" w:cs="Arial" w:eastAsia="Arial" w:hAnsi="Arial"/>
                <w:sz w:val="15"/>
                <w:szCs w:val="15"/>
                <w:color w:val="auto"/>
              </w:rPr>
              <w:t>Delaware</w:t>
            </w:r>
          </w:p>
        </w:tc>
        <w:tc>
          <w:tcPr>
            <w:tcW w:w="6260" w:type="dxa"/>
            <w:vAlign w:val="bottom"/>
          </w:tcPr>
          <w:p>
            <w:pPr>
              <w:ind w:left="680"/>
              <w:spacing w:after="0"/>
              <w:rPr>
                <w:sz w:val="20"/>
                <w:szCs w:val="20"/>
                <w:color w:val="auto"/>
              </w:rPr>
            </w:pPr>
            <w:r>
              <w:rPr>
                <w:rFonts w:ascii="Arial" w:cs="Arial" w:eastAsia="Arial" w:hAnsi="Arial"/>
                <w:sz w:val="15"/>
                <w:szCs w:val="15"/>
                <w:color w:val="auto"/>
              </w:rPr>
              <w:t>Chrome Country, Inc.</w:t>
            </w:r>
          </w:p>
        </w:tc>
      </w:tr>
      <w:tr>
        <w:trPr>
          <w:trHeight w:val="175"/>
        </w:trPr>
        <w:tc>
          <w:tcPr>
            <w:tcW w:w="3080" w:type="dxa"/>
            <w:vAlign w:val="bottom"/>
          </w:tcPr>
          <w:p>
            <w:pPr>
              <w:spacing w:after="0"/>
              <w:rPr>
                <w:sz w:val="20"/>
                <w:szCs w:val="20"/>
                <w:color w:val="auto"/>
              </w:rPr>
            </w:pPr>
            <w:r>
              <w:rPr>
                <w:rFonts w:ascii="Arial" w:cs="Arial" w:eastAsia="Arial" w:hAnsi="Arial"/>
                <w:sz w:val="15"/>
                <w:szCs w:val="15"/>
                <w:color w:val="auto"/>
              </w:rPr>
              <w:t>Rush Truck Leasing, Inc.</w:t>
            </w:r>
          </w:p>
        </w:tc>
        <w:tc>
          <w:tcPr>
            <w:tcW w:w="2140" w:type="dxa"/>
            <w:vAlign w:val="bottom"/>
          </w:tcPr>
          <w:p>
            <w:pPr>
              <w:ind w:left="700"/>
              <w:spacing w:after="0"/>
              <w:rPr>
                <w:sz w:val="20"/>
                <w:szCs w:val="20"/>
                <w:color w:val="auto"/>
              </w:rPr>
            </w:pPr>
            <w:r>
              <w:rPr>
                <w:rFonts w:ascii="Arial" w:cs="Arial" w:eastAsia="Arial" w:hAnsi="Arial"/>
                <w:sz w:val="15"/>
                <w:szCs w:val="15"/>
                <w:color w:val="auto"/>
              </w:rPr>
              <w:t>Delaware</w:t>
            </w:r>
          </w:p>
        </w:tc>
        <w:tc>
          <w:tcPr>
            <w:tcW w:w="6260" w:type="dxa"/>
            <w:vAlign w:val="bottom"/>
          </w:tcPr>
          <w:p>
            <w:pPr>
              <w:ind w:left="680"/>
              <w:spacing w:after="0"/>
              <w:rPr>
                <w:sz w:val="20"/>
                <w:szCs w:val="20"/>
                <w:color w:val="auto"/>
              </w:rPr>
            </w:pPr>
            <w:r>
              <w:rPr>
                <w:rFonts w:ascii="Arial" w:cs="Arial" w:eastAsia="Arial" w:hAnsi="Arial"/>
                <w:sz w:val="15"/>
                <w:szCs w:val="15"/>
                <w:color w:val="auto"/>
              </w:rPr>
              <w:t>Rush Crane Systems</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Rush Idealease, Charlotte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Akron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Asheville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Boise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Champaign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Charlotte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Chicago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Cincinnati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Cleveland Idealease West</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Cleveland Idealease East</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Columbus Idealease East</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Columbus Idealease West</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Dayton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Decatur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Findlay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Hickory Idealease</w:t>
            </w:r>
          </w:p>
        </w:tc>
      </w:tr>
      <w:tr>
        <w:trPr>
          <w:trHeight w:val="184"/>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Indianapolis Idealease</w:t>
            </w:r>
          </w:p>
        </w:tc>
      </w:tr>
      <w:tr>
        <w:trPr>
          <w:trHeight w:val="208"/>
        </w:trPr>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Lima Idealease</w:t>
            </w:r>
          </w:p>
        </w:tc>
      </w:tr>
      <w:tr>
        <w:trPr>
          <w:trHeight w:val="177"/>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Norfolk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Quincy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Richmond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Springfield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St. Peters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St. Louis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Salt Lake City Idealease</w:t>
            </w:r>
          </w:p>
        </w:tc>
      </w:tr>
      <w:tr>
        <w:trPr>
          <w:trHeight w:val="175"/>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Statesville Idealease</w:t>
            </w:r>
          </w:p>
        </w:tc>
      </w:tr>
      <w:tr>
        <w:trPr>
          <w:trHeight w:val="184"/>
        </w:trPr>
        <w:tc>
          <w:tcPr>
            <w:tcW w:w="3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60" w:type="dxa"/>
            <w:vAlign w:val="bottom"/>
          </w:tcPr>
          <w:p>
            <w:pPr>
              <w:ind w:left="680"/>
              <w:spacing w:after="0"/>
              <w:rPr>
                <w:sz w:val="20"/>
                <w:szCs w:val="20"/>
                <w:color w:val="auto"/>
              </w:rPr>
            </w:pPr>
            <w:r>
              <w:rPr>
                <w:rFonts w:ascii="Arial" w:cs="Arial" w:eastAsia="Arial" w:hAnsi="Arial"/>
                <w:sz w:val="15"/>
                <w:szCs w:val="15"/>
                <w:color w:val="auto"/>
              </w:rPr>
              <w:t>Tidewater Idealease</w:t>
            </w:r>
          </w:p>
        </w:tc>
      </w:tr>
      <w:tr>
        <w:trPr>
          <w:trHeight w:val="664"/>
        </w:trPr>
        <w:tc>
          <w:tcPr>
            <w:tcW w:w="30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6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 Truck and Trailer Finance,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 Equipment Centers of Texas,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w w:val="95"/>
              </w:rPr>
              <w:t>Rush Equipment Center, Houston</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Rushtex,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Rushco,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 Administrative Services,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 Logistics,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 Real Estate Holdings,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International General Agency</w:t>
            </w:r>
          </w:p>
        </w:tc>
        <w:tc>
          <w:tcPr>
            <w:tcW w:w="2020" w:type="dxa"/>
            <w:vAlign w:val="bottom"/>
          </w:tcPr>
          <w:p>
            <w:pPr>
              <w:ind w:left="660"/>
              <w:spacing w:after="0"/>
              <w:rPr>
                <w:sz w:val="20"/>
                <w:szCs w:val="20"/>
                <w:color w:val="auto"/>
              </w:rPr>
            </w:pPr>
            <w:r>
              <w:rPr>
                <w:rFonts w:ascii="Arial" w:cs="Arial" w:eastAsia="Arial" w:hAnsi="Arial"/>
                <w:sz w:val="15"/>
                <w:szCs w:val="15"/>
                <w:color w:val="auto"/>
              </w:rPr>
              <w:t>Texas</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Los Cuernos,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Los Cuernos Ranch</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AiRush,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Rush Retail Centers,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Associated Acceptance, Inc.</w:t>
            </w:r>
          </w:p>
        </w:tc>
        <w:tc>
          <w:tcPr>
            <w:tcW w:w="2020" w:type="dxa"/>
            <w:vAlign w:val="bottom"/>
          </w:tcPr>
          <w:p>
            <w:pPr>
              <w:ind w:left="660"/>
              <w:spacing w:after="0"/>
              <w:rPr>
                <w:sz w:val="20"/>
                <w:szCs w:val="20"/>
                <w:color w:val="auto"/>
              </w:rPr>
            </w:pPr>
            <w:r>
              <w:rPr>
                <w:rFonts w:ascii="Arial" w:cs="Arial" w:eastAsia="Arial" w:hAnsi="Arial"/>
                <w:sz w:val="15"/>
                <w:szCs w:val="15"/>
                <w:color w:val="auto"/>
              </w:rPr>
              <w:t>Texas</w:t>
            </w:r>
          </w:p>
        </w:tc>
        <w:tc>
          <w:tcPr>
            <w:tcW w:w="2940" w:type="dxa"/>
            <w:vAlign w:val="bottom"/>
          </w:tcPr>
          <w:p>
            <w:pPr>
              <w:ind w:left="780"/>
              <w:spacing w:after="0"/>
              <w:rPr>
                <w:sz w:val="20"/>
                <w:szCs w:val="20"/>
                <w:color w:val="auto"/>
              </w:rPr>
            </w:pPr>
            <w:r>
              <w:rPr>
                <w:rFonts w:ascii="Arial" w:cs="Arial" w:eastAsia="Arial" w:hAnsi="Arial"/>
                <w:sz w:val="15"/>
                <w:szCs w:val="15"/>
                <w:color w:val="auto"/>
              </w:rPr>
              <w:t>Associated Insurance Services</w:t>
            </w:r>
          </w:p>
        </w:tc>
      </w:tr>
      <w:tr>
        <w:trPr>
          <w:trHeight w:val="175"/>
        </w:trPr>
        <w:tc>
          <w:tcPr>
            <w:tcW w:w="3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940" w:type="dxa"/>
            <w:vAlign w:val="bottom"/>
          </w:tcPr>
          <w:p>
            <w:pPr>
              <w:ind w:left="780"/>
              <w:spacing w:after="0"/>
              <w:rPr>
                <w:sz w:val="20"/>
                <w:szCs w:val="20"/>
                <w:color w:val="auto"/>
              </w:rPr>
            </w:pPr>
            <w:r>
              <w:rPr>
                <w:rFonts w:ascii="Arial" w:cs="Arial" w:eastAsia="Arial" w:hAnsi="Arial"/>
                <w:sz w:val="15"/>
                <w:szCs w:val="15"/>
                <w:color w:val="auto"/>
              </w:rPr>
              <w:t>Automotive Industry Insurance</w:t>
            </w:r>
          </w:p>
        </w:tc>
      </w:tr>
      <w:tr>
        <w:trPr>
          <w:trHeight w:val="175"/>
        </w:trPr>
        <w:tc>
          <w:tcPr>
            <w:tcW w:w="3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940" w:type="dxa"/>
            <w:vAlign w:val="bottom"/>
          </w:tcPr>
          <w:p>
            <w:pPr>
              <w:ind w:left="780"/>
              <w:spacing w:after="0"/>
              <w:rPr>
                <w:sz w:val="20"/>
                <w:szCs w:val="20"/>
                <w:color w:val="auto"/>
              </w:rPr>
            </w:pPr>
            <w:r>
              <w:rPr>
                <w:rFonts w:ascii="Arial" w:cs="Arial" w:eastAsia="Arial" w:hAnsi="Arial"/>
                <w:sz w:val="15"/>
                <w:szCs w:val="15"/>
                <w:color w:val="auto"/>
                <w:w w:val="86"/>
              </w:rPr>
              <w:t>Associated Truck Insurance Services</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Associated Acceptance of Florida,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Associated Acceptance of Oklahoma,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Advance Premium Finance, Inc.</w:t>
            </w:r>
          </w:p>
        </w:tc>
        <w:tc>
          <w:tcPr>
            <w:tcW w:w="2020" w:type="dxa"/>
            <w:vAlign w:val="bottom"/>
          </w:tcPr>
          <w:p>
            <w:pPr>
              <w:ind w:left="660"/>
              <w:spacing w:after="0"/>
              <w:rPr>
                <w:sz w:val="20"/>
                <w:szCs w:val="20"/>
                <w:color w:val="auto"/>
              </w:rPr>
            </w:pPr>
            <w:r>
              <w:rPr>
                <w:rFonts w:ascii="Arial" w:cs="Arial" w:eastAsia="Arial" w:hAnsi="Arial"/>
                <w:sz w:val="15"/>
                <w:szCs w:val="15"/>
                <w:color w:val="auto"/>
              </w:rPr>
              <w:t>California</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Adams International Trucks,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r>
        <w:trPr>
          <w:trHeight w:val="184"/>
        </w:trPr>
        <w:tc>
          <w:tcPr>
            <w:tcW w:w="3120" w:type="dxa"/>
            <w:vAlign w:val="bottom"/>
          </w:tcPr>
          <w:p>
            <w:pPr>
              <w:spacing w:after="0"/>
              <w:rPr>
                <w:sz w:val="20"/>
                <w:szCs w:val="20"/>
                <w:color w:val="auto"/>
              </w:rPr>
            </w:pPr>
            <w:r>
              <w:rPr>
                <w:rFonts w:ascii="Arial" w:cs="Arial" w:eastAsia="Arial" w:hAnsi="Arial"/>
                <w:sz w:val="15"/>
                <w:szCs w:val="15"/>
                <w:color w:val="auto"/>
              </w:rPr>
              <w:t>Truck &amp; Trailer Finance, Inc.</w:t>
            </w:r>
          </w:p>
        </w:tc>
        <w:tc>
          <w:tcPr>
            <w:tcW w:w="2020" w:type="dxa"/>
            <w:vAlign w:val="bottom"/>
          </w:tcPr>
          <w:p>
            <w:pPr>
              <w:ind w:left="660"/>
              <w:spacing w:after="0"/>
              <w:rPr>
                <w:sz w:val="20"/>
                <w:szCs w:val="20"/>
                <w:color w:val="auto"/>
              </w:rPr>
            </w:pPr>
            <w:r>
              <w:rPr>
                <w:rFonts w:ascii="Arial" w:cs="Arial" w:eastAsia="Arial" w:hAnsi="Arial"/>
                <w:sz w:val="15"/>
                <w:szCs w:val="15"/>
                <w:color w:val="auto"/>
              </w:rPr>
              <w:t>Delaware</w:t>
            </w:r>
          </w:p>
        </w:tc>
        <w:tc>
          <w:tcPr>
            <w:tcW w:w="2940" w:type="dxa"/>
            <w:vAlign w:val="bottom"/>
          </w:tcPr>
          <w:p>
            <w:pPr>
              <w:ind w:left="780"/>
              <w:spacing w:after="0"/>
              <w:rPr>
                <w:sz w:val="20"/>
                <w:szCs w:val="20"/>
                <w:color w:val="auto"/>
              </w:rPr>
            </w:pPr>
            <w:r>
              <w:rPr>
                <w:rFonts w:ascii="Arial" w:cs="Arial" w:eastAsia="Arial" w:hAnsi="Arial"/>
                <w:sz w:val="15"/>
                <w:szCs w:val="15"/>
                <w:color w:val="auto"/>
              </w:rPr>
              <w:t>None</w:t>
            </w:r>
          </w:p>
        </w:tc>
      </w:tr>
    </w:tbl>
    <w:p>
      <w:pPr>
        <w:sectPr>
          <w:pgSz w:w="11900" w:h="16838" w:orient="portrait"/>
          <w:cols w:equalWidth="0" w:num="1">
            <w:col w:w="10239"/>
          </w:cols>
          <w:pgMar w:left="220" w:top="500"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5"/>
          <w:szCs w:val="15"/>
          <w:color w:val="auto"/>
        </w:rPr>
        <w:t>EXHIBIT 23.1</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177" w:lineRule="exact"/>
        <w:rPr>
          <w:sz w:val="20"/>
          <w:szCs w:val="20"/>
          <w:color w:val="auto"/>
        </w:rPr>
      </w:pPr>
    </w:p>
    <w:p>
      <w:pPr>
        <w:ind w:left="260" w:hanging="253"/>
        <w:spacing w:after="0"/>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333-170732) pertaining to the Rush Enterprises, Inc. Deferred Compensation Plan;</w:t>
      </w:r>
    </w:p>
    <w:p>
      <w:pPr>
        <w:spacing w:after="0" w:line="11" w:lineRule="exact"/>
        <w:rPr>
          <w:rFonts w:ascii="Arial" w:cs="Arial" w:eastAsia="Arial" w:hAnsi="Arial"/>
          <w:sz w:val="15"/>
          <w:szCs w:val="15"/>
          <w:color w:val="auto"/>
        </w:rPr>
      </w:pPr>
    </w:p>
    <w:p>
      <w:pPr>
        <w:ind w:left="260" w:hanging="253"/>
        <w:spacing w:after="0"/>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333-168231) pertaining to the Rush Enterprises, Inc. 2007 Long-Term Incentive Plan;</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333-144821) pertaining to the Rush Enterprises, Inc. 2007 Long-Term Incentive Plan;</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333-138557) pertaining to the Rush Enterprises, Inc. Amended and Restated 1997 Non-Employee Director Stock Option Plan;</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333-138556) pertaining to the Rush Enterprises, Inc. 2006 Non-Employee Director Stock Option Plan;</w:t>
      </w:r>
    </w:p>
    <w:p>
      <w:pPr>
        <w:spacing w:after="0" w:line="2" w:lineRule="exact"/>
        <w:rPr>
          <w:rFonts w:ascii="Arial" w:cs="Arial" w:eastAsia="Arial" w:hAnsi="Arial"/>
          <w:sz w:val="15"/>
          <w:szCs w:val="15"/>
          <w:color w:val="auto"/>
        </w:rPr>
      </w:pPr>
    </w:p>
    <w:p>
      <w:pPr>
        <w:ind w:left="260" w:hanging="253"/>
        <w:spacing w:after="0" w:line="243" w:lineRule="auto"/>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333-121355) pertaining to the Rush Enterprises, Inc. Long-Term Incentive Plan, the Rush Enterprises, Inc. 2004 Employee Stock Purchase Plan and Certain Non-Plan Options;</w:t>
      </w:r>
    </w:p>
    <w:p>
      <w:pPr>
        <w:ind w:left="260" w:hanging="253"/>
        <w:spacing w:after="0" w:line="243" w:lineRule="auto"/>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333-117305) pertaining to the Rush Enterprises, Inc. Amended and Restated 1997 Non-Employee Director Stock Option Plan and the Rush Enterprises, Inc. Long-Term Incentive Plan;</w:t>
      </w:r>
    </w:p>
    <w:p>
      <w:pPr>
        <w:ind w:left="260" w:hanging="253"/>
        <w:spacing w:after="0"/>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333-70451) pertaining to the Rush Enterprises, Inc. 1997 Non-Employee Director Stock Option Plan; and</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Registration Statement (Form S-8 No. 333-07043) pertaining to the Rush Enterprises, Inc. Long-Term Incentive Plan.</w:t>
      </w:r>
    </w:p>
    <w:p>
      <w:pPr>
        <w:spacing w:after="0" w:line="168"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of our reports dated March 3, 2014,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2013.</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San Antonio, Texas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March 3, 2014</w:t>
      </w:r>
    </w:p>
    <w:p>
      <w:pPr>
        <w:sectPr>
          <w:pgSz w:w="11900" w:h="16838" w:orient="portrait"/>
          <w:cols w:equalWidth="0" w:num="1">
            <w:col w:w="11460"/>
          </w:cols>
          <w:pgMar w:left="220" w:top="129"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5"/>
          <w:szCs w:val="15"/>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 W. M. “Rusty” Rush, certify that:</w:t>
      </w:r>
    </w:p>
    <w:p>
      <w:pPr>
        <w:spacing w:after="0" w:line="177" w:lineRule="exact"/>
        <w:rPr>
          <w:sz w:val="20"/>
          <w:szCs w:val="20"/>
          <w:color w:val="auto"/>
        </w:rPr>
      </w:pPr>
    </w:p>
    <w:p>
      <w:pPr>
        <w:ind w:left="300" w:hanging="293"/>
        <w:spacing w:after="0"/>
        <w:tabs>
          <w:tab w:leader="none" w:pos="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Rush Enterprises, Inc.;</w:t>
      </w:r>
    </w:p>
    <w:p>
      <w:pPr>
        <w:spacing w:after="0" w:line="177" w:lineRule="exact"/>
        <w:rPr>
          <w:rFonts w:ascii="Arial" w:cs="Arial" w:eastAsia="Arial" w:hAnsi="Arial"/>
          <w:sz w:val="15"/>
          <w:szCs w:val="15"/>
          <w:color w:val="auto"/>
        </w:rPr>
      </w:pPr>
    </w:p>
    <w:p>
      <w:pPr>
        <w:ind w:firstLine="7"/>
        <w:spacing w:after="0" w:line="259" w:lineRule="auto"/>
        <w:tabs>
          <w:tab w:leader="none" w:pos="40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5"/>
          <w:szCs w:val="15"/>
          <w:color w:val="auto"/>
        </w:rPr>
      </w:pPr>
    </w:p>
    <w:p>
      <w:pPr>
        <w:ind w:firstLine="7"/>
        <w:spacing w:after="0" w:line="259" w:lineRule="auto"/>
        <w:tabs>
          <w:tab w:leader="none" w:pos="295"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5"/>
          <w:szCs w:val="15"/>
          <w:color w:val="auto"/>
        </w:rPr>
      </w:pPr>
    </w:p>
    <w:p>
      <w:pPr>
        <w:ind w:firstLine="7"/>
        <w:spacing w:after="0" w:line="259" w:lineRule="auto"/>
        <w:tabs>
          <w:tab w:leader="none" w:pos="30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ind w:left="660" w:right="20" w:hanging="259"/>
        <w:spacing w:after="0" w:line="383" w:lineRule="auto"/>
        <w:tabs>
          <w:tab w:leader="none" w:pos="66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2"/>
          <w:szCs w:val="12"/>
          <w:color w:val="auto"/>
        </w:rPr>
      </w:pPr>
    </w:p>
    <w:p>
      <w:pPr>
        <w:ind w:left="660" w:right="240" w:hanging="259"/>
        <w:spacing w:after="0" w:line="383" w:lineRule="auto"/>
        <w:tabs>
          <w:tab w:leader="none" w:pos="66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2"/>
          <w:szCs w:val="12"/>
          <w:color w:val="auto"/>
        </w:rPr>
      </w:pPr>
    </w:p>
    <w:p>
      <w:pPr>
        <w:ind w:left="660" w:right="420" w:hanging="259"/>
        <w:spacing w:after="0" w:line="259" w:lineRule="auto"/>
        <w:tabs>
          <w:tab w:leader="none" w:pos="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5"/>
          <w:szCs w:val="15"/>
          <w:color w:val="auto"/>
        </w:rPr>
      </w:pPr>
    </w:p>
    <w:p>
      <w:pPr>
        <w:ind w:left="660" w:right="80" w:hanging="259"/>
        <w:spacing w:after="0" w:line="383" w:lineRule="auto"/>
        <w:tabs>
          <w:tab w:leader="none" w:pos="66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2"/>
          <w:szCs w:val="12"/>
          <w:color w:val="auto"/>
        </w:rPr>
      </w:pPr>
    </w:p>
    <w:p>
      <w:pPr>
        <w:ind w:firstLine="7"/>
        <w:spacing w:after="0" w:line="259" w:lineRule="auto"/>
        <w:tabs>
          <w:tab w:leader="none" w:pos="384"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2" w:lineRule="exact"/>
        <w:rPr>
          <w:rFonts w:ascii="Arial" w:cs="Arial" w:eastAsia="Arial" w:hAnsi="Arial"/>
          <w:sz w:val="15"/>
          <w:szCs w:val="15"/>
          <w:color w:val="auto"/>
        </w:rPr>
      </w:pPr>
    </w:p>
    <w:p>
      <w:pPr>
        <w:ind w:left="660" w:right="120" w:hanging="259"/>
        <w:spacing w:after="0" w:line="259" w:lineRule="auto"/>
        <w:tabs>
          <w:tab w:leader="none" w:pos="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5"/>
          <w:szCs w:val="15"/>
          <w:color w:val="auto"/>
        </w:rPr>
      </w:pPr>
    </w:p>
    <w:p>
      <w:pPr>
        <w:ind w:left="660" w:hanging="259"/>
        <w:spacing w:after="0"/>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560"/>
        <w:spacing w:after="0"/>
        <w:tabs>
          <w:tab w:leader="none" w:pos="5720" w:val="left"/>
          <w:tab w:leader="none" w:pos="6080" w:val="left"/>
        </w:tabs>
        <w:rPr>
          <w:sz w:val="20"/>
          <w:szCs w:val="20"/>
          <w:color w:val="auto"/>
        </w:rPr>
      </w:pPr>
      <w:r>
        <w:rPr>
          <w:rFonts w:ascii="Arial" w:cs="Arial" w:eastAsia="Arial" w:hAnsi="Arial"/>
          <w:sz w:val="15"/>
          <w:szCs w:val="15"/>
          <w:color w:val="auto"/>
        </w:rPr>
        <w:t>Date: March 3, 2014</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 S/ 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15240</wp:posOffset>
            </wp:positionV>
            <wp:extent cx="254000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40000" cy="13970"/>
                    </a:xfrm>
                    <a:prstGeom prst="rect">
                      <a:avLst/>
                    </a:prstGeom>
                    <a:noFill/>
                  </pic:spPr>
                </pic:pic>
              </a:graphicData>
            </a:graphic>
          </wp:anchor>
        </w:drawing>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W. M. “Rusty” Rush</w:t>
      </w:r>
    </w:p>
    <w:p>
      <w:pPr>
        <w:spacing w:after="0" w:line="17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President, Chief Executive Officer and Chairman of the Board</w:t>
      </w:r>
    </w:p>
    <w:p>
      <w:pPr>
        <w:spacing w:after="0" w:line="11"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460"/>
          </w:cols>
          <w:pgMar w:left="220" w:top="129"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15"/>
          <w:szCs w:val="15"/>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I, Steven L. Keller, certify that:</w:t>
      </w:r>
    </w:p>
    <w:p>
      <w:pPr>
        <w:spacing w:after="0" w:line="177" w:lineRule="exact"/>
        <w:rPr>
          <w:sz w:val="20"/>
          <w:szCs w:val="20"/>
          <w:color w:val="auto"/>
        </w:rPr>
      </w:pPr>
    </w:p>
    <w:p>
      <w:pPr>
        <w:ind w:left="300" w:hanging="293"/>
        <w:spacing w:after="0"/>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Rush Enterprises, Inc.;</w:t>
      </w:r>
    </w:p>
    <w:p>
      <w:pPr>
        <w:spacing w:after="0" w:line="177" w:lineRule="exact"/>
        <w:rPr>
          <w:rFonts w:ascii="Arial" w:cs="Arial" w:eastAsia="Arial" w:hAnsi="Arial"/>
          <w:sz w:val="15"/>
          <w:szCs w:val="15"/>
          <w:color w:val="auto"/>
        </w:rPr>
      </w:pPr>
    </w:p>
    <w:p>
      <w:pPr>
        <w:ind w:firstLine="7"/>
        <w:spacing w:after="0" w:line="259" w:lineRule="auto"/>
        <w:tabs>
          <w:tab w:leader="none" w:pos="40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5"/>
          <w:szCs w:val="15"/>
          <w:color w:val="auto"/>
        </w:rPr>
      </w:pPr>
    </w:p>
    <w:p>
      <w:pPr>
        <w:ind w:firstLine="7"/>
        <w:spacing w:after="0" w:line="259" w:lineRule="auto"/>
        <w:tabs>
          <w:tab w:leader="none" w:pos="295"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5"/>
          <w:szCs w:val="15"/>
          <w:color w:val="auto"/>
        </w:rPr>
      </w:pPr>
    </w:p>
    <w:p>
      <w:pPr>
        <w:ind w:firstLine="7"/>
        <w:spacing w:after="0" w:line="259" w:lineRule="auto"/>
        <w:tabs>
          <w:tab w:leader="none" w:pos="30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ind w:left="660" w:right="20" w:hanging="259"/>
        <w:spacing w:after="0" w:line="383" w:lineRule="auto"/>
        <w:tabs>
          <w:tab w:leader="none" w:pos="66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2"/>
          <w:szCs w:val="12"/>
          <w:color w:val="auto"/>
        </w:rPr>
      </w:pPr>
    </w:p>
    <w:p>
      <w:pPr>
        <w:ind w:left="660" w:right="240" w:hanging="259"/>
        <w:spacing w:after="0" w:line="383" w:lineRule="auto"/>
        <w:tabs>
          <w:tab w:leader="none" w:pos="66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2"/>
          <w:szCs w:val="12"/>
          <w:color w:val="auto"/>
        </w:rPr>
      </w:pPr>
    </w:p>
    <w:p>
      <w:pPr>
        <w:ind w:left="660" w:right="420" w:hanging="259"/>
        <w:spacing w:after="0" w:line="259" w:lineRule="auto"/>
        <w:tabs>
          <w:tab w:leader="none" w:pos="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5"/>
          <w:szCs w:val="15"/>
          <w:color w:val="auto"/>
        </w:rPr>
      </w:pPr>
    </w:p>
    <w:p>
      <w:pPr>
        <w:ind w:left="660" w:right="80" w:hanging="259"/>
        <w:spacing w:after="0" w:line="383" w:lineRule="auto"/>
        <w:tabs>
          <w:tab w:leader="none" w:pos="66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2"/>
          <w:szCs w:val="12"/>
          <w:color w:val="auto"/>
        </w:rPr>
      </w:pPr>
    </w:p>
    <w:p>
      <w:pPr>
        <w:ind w:firstLine="7"/>
        <w:spacing w:after="0" w:line="259" w:lineRule="auto"/>
        <w:tabs>
          <w:tab w:leader="none" w:pos="384"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2" w:lineRule="exact"/>
        <w:rPr>
          <w:rFonts w:ascii="Arial" w:cs="Arial" w:eastAsia="Arial" w:hAnsi="Arial"/>
          <w:sz w:val="15"/>
          <w:szCs w:val="15"/>
          <w:color w:val="auto"/>
        </w:rPr>
      </w:pPr>
    </w:p>
    <w:p>
      <w:pPr>
        <w:ind w:left="660" w:right="120" w:hanging="259"/>
        <w:spacing w:after="0" w:line="259" w:lineRule="auto"/>
        <w:tabs>
          <w:tab w:leader="none" w:pos="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5"/>
          <w:szCs w:val="15"/>
          <w:color w:val="auto"/>
        </w:rPr>
      </w:pPr>
    </w:p>
    <w:p>
      <w:pPr>
        <w:ind w:left="660" w:hanging="259"/>
        <w:spacing w:after="0"/>
        <w:tabs>
          <w:tab w:leader="none" w:pos="6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300"/>
        <w:spacing w:after="0"/>
        <w:tabs>
          <w:tab w:leader="none" w:pos="5720" w:val="left"/>
          <w:tab w:leader="none" w:pos="6080" w:val="left"/>
        </w:tabs>
        <w:rPr>
          <w:sz w:val="20"/>
          <w:szCs w:val="20"/>
          <w:color w:val="auto"/>
        </w:rPr>
      </w:pPr>
      <w:r>
        <w:rPr>
          <w:rFonts w:ascii="Arial" w:cs="Arial" w:eastAsia="Arial" w:hAnsi="Arial"/>
          <w:sz w:val="15"/>
          <w:szCs w:val="15"/>
          <w:color w:val="auto"/>
        </w:rPr>
        <w:t>Date: March 3, 2014</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15240</wp:posOffset>
            </wp:positionV>
            <wp:extent cx="254000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40000" cy="13970"/>
                    </a:xfrm>
                    <a:prstGeom prst="rect">
                      <a:avLst/>
                    </a:prstGeom>
                    <a:noFill/>
                  </pic:spPr>
                </pic:pic>
              </a:graphicData>
            </a:graphic>
          </wp:anchor>
        </w:drawing>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Steven L. Keller</w:t>
      </w:r>
    </w:p>
    <w:p>
      <w:pPr>
        <w:spacing w:after="0" w:line="11"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Senior Vice President and Chief Financial Officer</w:t>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1460"/>
          </w:cols>
          <w:pgMar w:left="220" w:top="129"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5"/>
          <w:szCs w:val="15"/>
          <w:color w:val="auto"/>
        </w:rPr>
        <w:t>EXHIBIT 32.1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In connection with this annual report of Rush Enterprises, Inc. (the “Company”) on Form 10-K for the year ended December 31, 2013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158" w:lineRule="exact"/>
        <w:rPr>
          <w:sz w:val="20"/>
          <w:szCs w:val="20"/>
          <w:color w:val="auto"/>
        </w:rPr>
      </w:pPr>
    </w:p>
    <w:p>
      <w:pPr>
        <w:ind w:left="820" w:hanging="288"/>
        <w:spacing w:after="0"/>
        <w:tabs>
          <w:tab w:leader="none" w:pos="8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7" w:lineRule="exact"/>
        <w:rPr>
          <w:rFonts w:ascii="Arial" w:cs="Arial" w:eastAsia="Arial" w:hAnsi="Arial"/>
          <w:sz w:val="15"/>
          <w:szCs w:val="15"/>
          <w:color w:val="auto"/>
        </w:rPr>
      </w:pPr>
    </w:p>
    <w:p>
      <w:pPr>
        <w:ind w:left="820" w:hanging="288"/>
        <w:spacing w:after="0"/>
        <w:tabs>
          <w:tab w:leader="none" w:pos="8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tbl>
      <w:tblPr>
        <w:tblLayout w:type="fixed"/>
        <w:tblInd w:w="526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Arial" w:cs="Arial" w:eastAsia="Arial" w:hAnsi="Arial"/>
                <w:sz w:val="15"/>
                <w:szCs w:val="15"/>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 M. “RUSTY” RUSH</w:t>
            </w:r>
          </w:p>
        </w:tc>
      </w:tr>
      <w:tr>
        <w:trPr>
          <w:trHeight w:val="157"/>
        </w:trPr>
        <w:tc>
          <w:tcPr>
            <w:tcW w:w="480" w:type="dxa"/>
            <w:vAlign w:val="bottom"/>
          </w:tcPr>
          <w:p>
            <w:pPr>
              <w:spacing w:after="0" w:line="157" w:lineRule="exact"/>
              <w:rPr>
                <w:sz w:val="20"/>
                <w:szCs w:val="20"/>
                <w:color w:val="auto"/>
              </w:rPr>
            </w:pPr>
            <w:r>
              <w:rPr>
                <w:rFonts w:ascii="Arial" w:cs="Arial" w:eastAsia="Arial" w:hAnsi="Arial"/>
                <w:sz w:val="15"/>
                <w:szCs w:val="15"/>
                <w:color w:val="auto"/>
              </w:rPr>
              <w:t>Name:</w:t>
            </w:r>
          </w:p>
        </w:tc>
        <w:tc>
          <w:tcPr>
            <w:tcW w:w="3640" w:type="dxa"/>
            <w:vAlign w:val="bottom"/>
          </w:tcPr>
          <w:p>
            <w:pPr>
              <w:spacing w:after="0" w:line="157" w:lineRule="exact"/>
              <w:rPr>
                <w:sz w:val="20"/>
                <w:szCs w:val="20"/>
                <w:color w:val="auto"/>
              </w:rPr>
            </w:pPr>
            <w:r>
              <w:rPr>
                <w:rFonts w:ascii="Arial" w:cs="Arial" w:eastAsia="Arial" w:hAnsi="Arial"/>
                <w:sz w:val="15"/>
                <w:szCs w:val="15"/>
                <w:color w:val="auto"/>
              </w:rPr>
              <w:t>W. M. “Rusty” Rush</w:t>
            </w:r>
          </w:p>
        </w:tc>
      </w:tr>
      <w:tr>
        <w:trPr>
          <w:trHeight w:val="175"/>
        </w:trPr>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3640" w:type="dxa"/>
            <w:vAlign w:val="bottom"/>
          </w:tcPr>
          <w:p>
            <w:pPr>
              <w:spacing w:after="0"/>
              <w:rPr>
                <w:sz w:val="20"/>
                <w:szCs w:val="20"/>
                <w:color w:val="auto"/>
              </w:rPr>
            </w:pPr>
            <w:r>
              <w:rPr>
                <w:rFonts w:ascii="Arial" w:cs="Arial" w:eastAsia="Arial" w:hAnsi="Arial"/>
                <w:sz w:val="15"/>
                <w:szCs w:val="15"/>
                <w:color w:val="auto"/>
                <w:w w:val="88"/>
              </w:rPr>
              <w:t>President, Chief Executive Officer and Chairman of the Board</w:t>
            </w:r>
          </w:p>
        </w:tc>
      </w:tr>
      <w:tr>
        <w:trPr>
          <w:trHeight w:val="184"/>
        </w:trPr>
        <w:tc>
          <w:tcPr>
            <w:tcW w:w="480" w:type="dxa"/>
            <w:vAlign w:val="bottom"/>
          </w:tcPr>
          <w:p>
            <w:pPr>
              <w:spacing w:after="0"/>
              <w:rPr>
                <w:sz w:val="20"/>
                <w:szCs w:val="20"/>
                <w:color w:val="auto"/>
              </w:rPr>
            </w:pPr>
            <w:r>
              <w:rPr>
                <w:rFonts w:ascii="Arial" w:cs="Arial" w:eastAsia="Arial" w:hAnsi="Arial"/>
                <w:sz w:val="15"/>
                <w:szCs w:val="15"/>
                <w:color w:val="auto"/>
              </w:rPr>
              <w:t>Date:</w:t>
            </w:r>
          </w:p>
        </w:tc>
        <w:tc>
          <w:tcPr>
            <w:tcW w:w="3640" w:type="dxa"/>
            <w:vAlign w:val="bottom"/>
          </w:tcPr>
          <w:p>
            <w:pPr>
              <w:spacing w:after="0"/>
              <w:rPr>
                <w:sz w:val="20"/>
                <w:szCs w:val="20"/>
                <w:color w:val="auto"/>
              </w:rPr>
            </w:pPr>
            <w:r>
              <w:rPr>
                <w:rFonts w:ascii="Arial" w:cs="Arial" w:eastAsia="Arial" w:hAnsi="Arial"/>
                <w:sz w:val="15"/>
                <w:szCs w:val="15"/>
                <w:color w:val="auto"/>
              </w:rPr>
              <w:t>March 3, 2014</w:t>
            </w:r>
          </w:p>
        </w:tc>
      </w:tr>
    </w:tbl>
    <w:p>
      <w:pPr>
        <w:sectPr>
          <w:pgSz w:w="11900" w:h="16838" w:orient="portrait"/>
          <w:cols w:equalWidth="0" w:num="1">
            <w:col w:w="11460"/>
          </w:cols>
          <w:pgMar w:left="220" w:top="129"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5"/>
          <w:szCs w:val="15"/>
          <w:color w:val="auto"/>
        </w:rPr>
        <w:t>EXHIBIT 32.2</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In connection with this annual report of Rush Enterprises, Inc. (the “Company”) on Form 10-K for the year ended December 31, 2013 as filed with the Securities and Exchange Commission on the date hereof (the “Report”), I, Steven L. Keller, Vice President and Chief Financial Officer of the Company, certify, pursuant to 18 U.S.C. Section 1350, as adopted pursuant to Section 906 of the Sarbanes-Oxley Act of 2002, that:</w:t>
      </w:r>
    </w:p>
    <w:p>
      <w:pPr>
        <w:spacing w:after="0" w:line="158" w:lineRule="exact"/>
        <w:rPr>
          <w:sz w:val="20"/>
          <w:szCs w:val="20"/>
          <w:color w:val="auto"/>
        </w:rPr>
      </w:pPr>
    </w:p>
    <w:p>
      <w:pPr>
        <w:ind w:left="820" w:hanging="288"/>
        <w:spacing w:after="0"/>
        <w:tabs>
          <w:tab w:leader="none" w:pos="8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7" w:lineRule="exact"/>
        <w:rPr>
          <w:rFonts w:ascii="Arial" w:cs="Arial" w:eastAsia="Arial" w:hAnsi="Arial"/>
          <w:sz w:val="15"/>
          <w:szCs w:val="15"/>
          <w:color w:val="auto"/>
        </w:rPr>
      </w:pPr>
    </w:p>
    <w:p>
      <w:pPr>
        <w:ind w:left="820" w:hanging="288"/>
        <w:spacing w:after="0"/>
        <w:tabs>
          <w:tab w:leader="none" w:pos="8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tbl>
      <w:tblPr>
        <w:tblLayout w:type="fixed"/>
        <w:tblInd w:w="5160" w:type="dxa"/>
        <w:tblCellMar>
          <w:top w:w="0" w:type="dxa"/>
          <w:left w:w="0" w:type="dxa"/>
          <w:bottom w:w="0" w:type="dxa"/>
          <w:right w:w="0" w:type="dxa"/>
        </w:tblCellMar>
      </w:tblPr>
      <w:tr>
        <w:trPr>
          <w:trHeight w:val="198"/>
        </w:trPr>
        <w:tc>
          <w:tcPr>
            <w:tcW w:w="480" w:type="dxa"/>
            <w:vAlign w:val="bottom"/>
          </w:tcPr>
          <w:p>
            <w:pPr>
              <w:spacing w:after="0"/>
              <w:rPr>
                <w:sz w:val="20"/>
                <w:szCs w:val="20"/>
                <w:color w:val="auto"/>
              </w:rPr>
            </w:pPr>
            <w:r>
              <w:rPr>
                <w:rFonts w:ascii="Arial" w:cs="Arial" w:eastAsia="Arial" w:hAnsi="Arial"/>
                <w:sz w:val="15"/>
                <w:szCs w:val="15"/>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STEVEN L. KELLER</w:t>
            </w:r>
          </w:p>
        </w:tc>
      </w:tr>
      <w:tr>
        <w:trPr>
          <w:trHeight w:val="164"/>
        </w:trPr>
        <w:tc>
          <w:tcPr>
            <w:tcW w:w="480" w:type="dxa"/>
            <w:vAlign w:val="bottom"/>
          </w:tcPr>
          <w:p>
            <w:pPr>
              <w:spacing w:after="0" w:line="164" w:lineRule="exact"/>
              <w:rPr>
                <w:sz w:val="20"/>
                <w:szCs w:val="20"/>
                <w:color w:val="auto"/>
              </w:rPr>
            </w:pPr>
            <w:r>
              <w:rPr>
                <w:rFonts w:ascii="Arial" w:cs="Arial" w:eastAsia="Arial" w:hAnsi="Arial"/>
                <w:sz w:val="15"/>
                <w:szCs w:val="15"/>
                <w:color w:val="auto"/>
              </w:rPr>
              <w:t>Name:</w:t>
            </w:r>
          </w:p>
        </w:tc>
        <w:tc>
          <w:tcPr>
            <w:tcW w:w="4600" w:type="dxa"/>
            <w:vAlign w:val="bottom"/>
          </w:tcPr>
          <w:p>
            <w:pPr>
              <w:spacing w:after="0" w:line="164" w:lineRule="exact"/>
              <w:rPr>
                <w:sz w:val="20"/>
                <w:szCs w:val="20"/>
                <w:color w:val="auto"/>
              </w:rPr>
            </w:pPr>
            <w:r>
              <w:rPr>
                <w:rFonts w:ascii="Arial" w:cs="Arial" w:eastAsia="Arial" w:hAnsi="Arial"/>
                <w:sz w:val="15"/>
                <w:szCs w:val="15"/>
                <w:color w:val="auto"/>
              </w:rPr>
              <w:t>Steven L. Keller</w:t>
            </w:r>
          </w:p>
        </w:tc>
      </w:tr>
      <w:tr>
        <w:trPr>
          <w:trHeight w:val="175"/>
        </w:trPr>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4600" w:type="dxa"/>
            <w:vAlign w:val="bottom"/>
          </w:tcPr>
          <w:p>
            <w:pPr>
              <w:spacing w:after="0"/>
              <w:rPr>
                <w:sz w:val="20"/>
                <w:szCs w:val="20"/>
                <w:color w:val="auto"/>
              </w:rPr>
            </w:pPr>
            <w:r>
              <w:rPr>
                <w:rFonts w:ascii="Arial" w:cs="Arial" w:eastAsia="Arial" w:hAnsi="Arial"/>
                <w:sz w:val="15"/>
                <w:szCs w:val="15"/>
                <w:color w:val="auto"/>
              </w:rPr>
              <w:t>Senior Vice President and Chief Financial Officer</w:t>
            </w:r>
          </w:p>
        </w:tc>
      </w:tr>
      <w:tr>
        <w:trPr>
          <w:trHeight w:val="184"/>
        </w:trPr>
        <w:tc>
          <w:tcPr>
            <w:tcW w:w="480" w:type="dxa"/>
            <w:vAlign w:val="bottom"/>
          </w:tcPr>
          <w:p>
            <w:pPr>
              <w:spacing w:after="0"/>
              <w:rPr>
                <w:sz w:val="20"/>
                <w:szCs w:val="20"/>
                <w:color w:val="auto"/>
              </w:rPr>
            </w:pPr>
            <w:r>
              <w:rPr>
                <w:rFonts w:ascii="Arial" w:cs="Arial" w:eastAsia="Arial" w:hAnsi="Arial"/>
                <w:sz w:val="15"/>
                <w:szCs w:val="15"/>
                <w:color w:val="auto"/>
              </w:rPr>
              <w:t>Date:</w:t>
            </w:r>
          </w:p>
        </w:tc>
        <w:tc>
          <w:tcPr>
            <w:tcW w:w="4600" w:type="dxa"/>
            <w:vAlign w:val="bottom"/>
          </w:tcPr>
          <w:p>
            <w:pPr>
              <w:spacing w:after="0"/>
              <w:rPr>
                <w:sz w:val="20"/>
                <w:szCs w:val="20"/>
                <w:color w:val="auto"/>
              </w:rPr>
            </w:pPr>
            <w:r>
              <w:rPr>
                <w:rFonts w:ascii="Arial" w:cs="Arial" w:eastAsia="Arial" w:hAnsi="Arial"/>
                <w:sz w:val="15"/>
                <w:szCs w:val="15"/>
                <w:color w:val="auto"/>
              </w:rPr>
              <w:t>March 3, 2014</w:t>
            </w:r>
          </w:p>
        </w:tc>
      </w:tr>
    </w:tbl>
    <w:p>
      <w:pPr>
        <w:spacing w:after="0" w:line="1" w:lineRule="exact"/>
        <w:rPr>
          <w:sz w:val="20"/>
          <w:szCs w:val="20"/>
          <w:color w:val="auto"/>
        </w:rPr>
      </w:pPr>
    </w:p>
    <w:sectPr>
      <w:pgSz w:w="11900" w:h="16838" w:orient="portrait"/>
      <w:cols w:equalWidth="0" w:num="1">
        <w:col w:w="11460"/>
      </w:cols>
      <w:pgMar w:left="220" w:top="12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3"/>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6"/>
    </w:lvl>
  </w:abstractNum>
  <w:abstractNum w:abstractNumId="14">
    <w:nsid w:val="75A2A8D4"/>
    <w:multiLevelType w:val="hybridMultilevel"/>
    <w:lvl w:ilvl="0">
      <w:lvlJc w:val="left"/>
      <w:lvlText w:val="%1."/>
      <w:numFmt w:val="decimal"/>
      <w:start w:val="7"/>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10"/>
    </w:lvl>
  </w:abstractNum>
  <w:abstractNum w:abstractNumId="17">
    <w:nsid w:val="4353D0CD"/>
    <w:multiLevelType w:val="hybridMultilevel"/>
    <w:lvl w:ilvl="0">
      <w:lvlJc w:val="left"/>
      <w:lvlText w:val="%1."/>
      <w:numFmt w:val="decimal"/>
      <w:start w:val="11"/>
    </w:lvl>
  </w:abstractNum>
  <w:abstractNum w:abstractNumId="18">
    <w:nsid w:val="B03E0C6"/>
    <w:multiLevelType w:val="hybridMultilevel"/>
    <w:lvl w:ilvl="0">
      <w:lvlJc w:val="left"/>
      <w:lvlText w:val="%1."/>
      <w:numFmt w:val="decimal"/>
      <w:start w:val="12"/>
    </w:lvl>
  </w:abstractNum>
  <w:abstractNum w:abstractNumId="19">
    <w:nsid w:val="189A769B"/>
    <w:multiLevelType w:val="hybridMultilevel"/>
    <w:lvl w:ilvl="0">
      <w:lvlJc w:val="left"/>
      <w:lvlText w:val="%1."/>
      <w:numFmt w:val="decimal"/>
      <w:start w:val="15"/>
    </w:lvl>
  </w:abstractNum>
  <w:abstractNum w:abstractNumId="20">
    <w:nsid w:val="54E49EB4"/>
    <w:multiLevelType w:val="hybridMultilevel"/>
    <w:lvl w:ilvl="0">
      <w:lvlJc w:val="left"/>
      <w:lvlText w:val="%1."/>
      <w:numFmt w:val="decimal"/>
      <w:start w:val="16"/>
    </w:lvl>
  </w:abstractNum>
  <w:abstractNum w:abstractNumId="21">
    <w:nsid w:val="71F32454"/>
    <w:multiLevelType w:val="hybridMultilevel"/>
    <w:lvl w:ilvl="0">
      <w:lvlJc w:val="left"/>
      <w:lvlText w:val="%1."/>
      <w:numFmt w:val="decimal"/>
      <w:start w:val="17"/>
    </w:lvl>
  </w:abstractNum>
  <w:abstractNum w:abstractNumId="22">
    <w:nsid w:val="2CA88611"/>
    <w:multiLevelType w:val="hybridMultilevel"/>
    <w:lvl w:ilvl="0">
      <w:lvlJc w:val="left"/>
      <w:lvlText w:val="%1."/>
      <w:numFmt w:val="decimal"/>
      <w:start w:val="18"/>
    </w:lvl>
  </w:abstractNum>
  <w:abstractNum w:abstractNumId="23">
    <w:nsid w:val="836C40E"/>
    <w:multiLevelType w:val="hybridMultilevel"/>
    <w:lvl w:ilvl="0">
      <w:lvlJc w:val="left"/>
      <w:lvlText w:val="%1."/>
      <w:numFmt w:val="decimal"/>
      <w:start w:val="19"/>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2019-12-06T15:14:19Z</dcterms:created>
  <dcterms:modified xsi:type="dcterms:W3CDTF">2019-12-06T15:14:19Z</dcterms:modified>
</cp:coreProperties>
</file>