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ANNUAL REPORT PURSUANT TO SECTION 13 OR 15(d)</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OF THE SECURITIES EXCHANGE ACT OF 1934</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December 31, 2012</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Commission file number 0-20797</w:t>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RUSH ENTERPRISES, INC</w:t>
      </w:r>
      <w:r>
        <w:rPr>
          <w:rFonts w:ascii="Times New Roman" w:cs="Times New Roman" w:eastAsia="Times New Roman" w:hAnsi="Times New Roman"/>
          <w:sz w:val="16"/>
          <w:szCs w:val="16"/>
          <w:color w:val="auto"/>
        </w:rPr>
        <w: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440"/>
          </w:cols>
          <w:pgMar w:left="240" w:top="426" w:right="21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74-1733016</w:t>
      </w:r>
    </w:p>
    <w:p>
      <w:pPr>
        <w:spacing w:after="0" w:line="2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94" w:lineRule="exact"/>
        <w:rPr>
          <w:sz w:val="24"/>
          <w:szCs w:val="24"/>
          <w:color w:val="auto"/>
        </w:rPr>
      </w:pPr>
    </w:p>
    <w:p>
      <w:pPr>
        <w:sectPr>
          <w:pgSz w:w="11900" w:h="16838" w:orient="portrait"/>
          <w:cols w:equalWidth="0" w:num="2">
            <w:col w:w="6720" w:space="720"/>
            <w:col w:w="4000"/>
          </w:cols>
          <w:pgMar w:left="240" w:top="426" w:right="21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b w:val="1"/>
          <w:bCs w:val="1"/>
          <w:color w:val="auto"/>
        </w:rPr>
        <w:t>555 IH 35 South, New Braunfels, TX</w:t>
      </w:r>
    </w:p>
    <w:p>
      <w:pPr>
        <w:spacing w:after="0" w:line="44"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6"/>
          <w:szCs w:val="16"/>
          <w:b w:val="1"/>
          <w:bCs w:val="1"/>
          <w:color w:val="auto"/>
        </w:rPr>
        <w:t>78130</w:t>
      </w:r>
    </w:p>
    <w:p>
      <w:pPr>
        <w:spacing w:after="0" w:line="2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4"/>
          <w:szCs w:val="14"/>
          <w:color w:val="auto"/>
        </w:rPr>
        <w:t>(Zip Code)</w:t>
      </w:r>
    </w:p>
    <w:p>
      <w:pPr>
        <w:spacing w:after="0" w:line="194" w:lineRule="exact"/>
        <w:rPr>
          <w:sz w:val="24"/>
          <w:szCs w:val="24"/>
          <w:color w:val="auto"/>
        </w:rPr>
      </w:pPr>
    </w:p>
    <w:p>
      <w:pPr>
        <w:sectPr>
          <w:pgSz w:w="11900" w:h="16838" w:orient="portrait"/>
          <w:cols w:equalWidth="0" w:num="2">
            <w:col w:w="7500" w:space="720"/>
            <w:col w:w="3220"/>
          </w:cols>
          <w:pgMar w:left="240" w:top="426" w:right="219" w:bottom="1440" w:gutter="0" w:footer="0" w:header="0"/>
          <w:type w:val="continuous"/>
        </w:sectPr>
      </w:pPr>
    </w:p>
    <w:p>
      <w:pPr>
        <w:spacing w:after="0" w:line="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(830) 626-5200</w:t>
      </w:r>
    </w:p>
    <w:p>
      <w:pPr>
        <w:spacing w:after="0" w:line="201" w:lineRule="exact"/>
        <w:rPr>
          <w:sz w:val="24"/>
          <w:szCs w:val="24"/>
          <w:color w:val="auto"/>
        </w:rPr>
      </w:pPr>
    </w:p>
    <w:p>
      <w:pPr>
        <w:sectPr>
          <w:pgSz w:w="11900" w:h="16838" w:orient="portrait"/>
          <w:cols w:equalWidth="0" w:num="2">
            <w:col w:w="6800" w:space="80"/>
            <w:col w:w="4560"/>
          </w:cols>
          <w:pgMar w:left="240" w:top="426" w:right="219" w:bottom="1440" w:gutter="0" w:footer="0" w:header="0"/>
          <w:type w:val="continuous"/>
        </w:sectPr>
      </w:pP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 w:lineRule="exact"/>
        <w:rPr>
          <w:sz w:val="24"/>
          <w:szCs w:val="24"/>
          <w:color w:val="auto"/>
        </w:rPr>
      </w:pPr>
    </w:p>
    <w:p>
      <w:pPr>
        <w:ind w:left="1140"/>
        <w:spacing w:after="0"/>
        <w:tabs>
          <w:tab w:leader="none" w:pos="7500" w:val="left"/>
        </w:tabs>
        <w:rPr>
          <w:sz w:val="20"/>
          <w:szCs w:val="20"/>
          <w:color w:val="auto"/>
        </w:rPr>
      </w:pPr>
      <w:r>
        <w:rPr>
          <w:rFonts w:ascii="Times New Roman" w:cs="Times New Roman" w:eastAsia="Times New Roman" w:hAnsi="Times New Roman"/>
          <w:sz w:val="16"/>
          <w:szCs w:val="16"/>
          <w:b w:val="1"/>
          <w:bCs w:val="1"/>
          <w:color w:val="auto"/>
        </w:rPr>
        <w:t>Class A and Class B Common Stock, $.01 par value</w:t>
      </w:r>
      <w:r>
        <w:rPr>
          <w:sz w:val="20"/>
          <w:szCs w:val="20"/>
          <w:color w:val="auto"/>
        </w:rPr>
        <w:tab/>
      </w:r>
      <w:r>
        <w:rPr>
          <w:rFonts w:ascii="Times New Roman" w:cs="Times New Roman" w:eastAsia="Times New Roman" w:hAnsi="Times New Roman"/>
          <w:sz w:val="14"/>
          <w:szCs w:val="14"/>
          <w:b w:val="1"/>
          <w:bCs w:val="1"/>
          <w:color w:val="auto"/>
        </w:rPr>
        <w:t>NASDAQ Global Select Market</w:t>
      </w:r>
    </w:p>
    <w:p>
      <w:pPr>
        <w:spacing w:after="0" w:line="3" w:lineRule="exact"/>
        <w:rPr>
          <w:sz w:val="24"/>
          <w:szCs w:val="24"/>
          <w:color w:val="auto"/>
        </w:rPr>
      </w:pPr>
    </w:p>
    <w:p>
      <w:pPr>
        <w:ind w:left="2300"/>
        <w:spacing w:after="0"/>
        <w:tabs>
          <w:tab w:leader="none" w:pos="7180" w:val="left"/>
        </w:tabs>
        <w:rPr>
          <w:sz w:val="20"/>
          <w:szCs w:val="20"/>
          <w:color w:val="auto"/>
        </w:rPr>
      </w:pPr>
      <w:r>
        <w:rPr>
          <w:rFonts w:ascii="Times New Roman" w:cs="Times New Roman" w:eastAsia="Times New Roman" w:hAnsi="Times New Roman"/>
          <w:sz w:val="16"/>
          <w:szCs w:val="16"/>
          <w:color w:val="auto"/>
        </w:rPr>
        <w:t>Title of each class</w:t>
      </w:r>
      <w:r>
        <w:rPr>
          <w:sz w:val="20"/>
          <w:szCs w:val="20"/>
          <w:color w:val="auto"/>
        </w:rPr>
        <w:tab/>
      </w:r>
      <w:r>
        <w:rPr>
          <w:rFonts w:ascii="Times New Roman" w:cs="Times New Roman" w:eastAsia="Times New Roman" w:hAnsi="Times New Roman"/>
          <w:sz w:val="14"/>
          <w:szCs w:val="14"/>
          <w:color w:val="auto"/>
        </w:rPr>
        <w:t>Name of each exchange on which registered</w:t>
      </w:r>
    </w:p>
    <w:p>
      <w:pPr>
        <w:spacing w:after="0" w:line="3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2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9" w:lineRule="exact"/>
        <w:rPr>
          <w:sz w:val="24"/>
          <w:szCs w:val="24"/>
          <w:color w:val="auto"/>
        </w:rPr>
      </w:pPr>
    </w:p>
    <w:p>
      <w:pPr>
        <w:ind w:left="5720"/>
        <w:spacing w:after="0" w:line="184" w:lineRule="exact"/>
        <w:tabs>
          <w:tab w:leader="none" w:pos="6200" w:val="left"/>
        </w:tabs>
        <w:rPr>
          <w:sz w:val="20"/>
          <w:szCs w:val="20"/>
          <w:color w:val="auto"/>
        </w:rPr>
      </w:pPr>
      <w:r>
        <w:rPr>
          <w:rFonts w:ascii="Times New Roman" w:cs="Times New Roman" w:eastAsia="Times New Roman" w:hAnsi="Times New Roman"/>
          <w:sz w:val="16"/>
          <w:szCs w:val="16"/>
          <w:color w:val="auto"/>
        </w:rPr>
        <w:t>Yes o</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2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Exchange Act.</w:t>
      </w:r>
    </w:p>
    <w:p>
      <w:pPr>
        <w:spacing w:after="0" w:line="19" w:lineRule="exact"/>
        <w:rPr>
          <w:sz w:val="24"/>
          <w:szCs w:val="24"/>
          <w:color w:val="auto"/>
        </w:rPr>
      </w:pPr>
    </w:p>
    <w:p>
      <w:pPr>
        <w:ind w:left="5720"/>
        <w:spacing w:after="0" w:line="184" w:lineRule="exact"/>
        <w:tabs>
          <w:tab w:leader="none" w:pos="6720" w:val="left"/>
        </w:tabs>
        <w:rPr>
          <w:sz w:val="20"/>
          <w:szCs w:val="20"/>
          <w:color w:val="auto"/>
        </w:rPr>
      </w:pPr>
      <w:r>
        <w:rPr>
          <w:rFonts w:ascii="Times New Roman" w:cs="Times New Roman" w:eastAsia="Times New Roman" w:hAnsi="Times New Roman"/>
          <w:sz w:val="16"/>
          <w:szCs w:val="16"/>
          <w:color w:val="auto"/>
        </w:rPr>
        <w:t>Yes o</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ectPr>
          <w:pgSz w:w="11900" w:h="16838" w:orient="portrait"/>
          <w:cols w:equalWidth="0" w:num="1">
            <w:col w:w="11440"/>
          </w:cols>
          <w:pgMar w:left="240" w:top="426" w:right="219" w:bottom="1440" w:gutter="0" w:footer="0" w:header="0"/>
          <w:type w:val="continuous"/>
        </w:sectPr>
      </w:pPr>
    </w:p>
    <w:p>
      <w:pPr>
        <w:spacing w:after="0" w:line="197" w:lineRule="exact"/>
        <w:rPr>
          <w:sz w:val="24"/>
          <w:szCs w:val="24"/>
          <w:color w:val="auto"/>
        </w:rPr>
      </w:pPr>
    </w:p>
    <w:p>
      <w:pPr>
        <w:ind w:right="20" w:firstLine="280"/>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5720"/>
        <w:spacing w:after="0" w:line="184" w:lineRule="exact"/>
        <w:tabs>
          <w:tab w:leader="none" w:pos="6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 o</w:t>
      </w:r>
    </w:p>
    <w:p>
      <w:pPr>
        <w:spacing w:after="0" w:line="200" w:lineRule="exact"/>
        <w:rPr>
          <w:sz w:val="24"/>
          <w:szCs w:val="24"/>
          <w:color w:val="auto"/>
        </w:rPr>
      </w:pPr>
    </w:p>
    <w:p>
      <w:pPr>
        <w:ind w:firstLine="280"/>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5720"/>
        <w:spacing w:after="0" w:line="184" w:lineRule="exact"/>
        <w:tabs>
          <w:tab w:leader="none" w:pos="6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 o</w:t>
      </w:r>
    </w:p>
    <w:p>
      <w:pPr>
        <w:spacing w:after="0" w:line="224" w:lineRule="exact"/>
        <w:rPr>
          <w:sz w:val="24"/>
          <w:szCs w:val="24"/>
          <w:color w:val="auto"/>
        </w:rPr>
      </w:pPr>
    </w:p>
    <w:p>
      <w:pPr>
        <w:ind w:right="20" w:firstLine="280"/>
        <w:spacing w:after="0" w:line="267"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7" w:lineRule="exact"/>
        <w:rPr>
          <w:sz w:val="24"/>
          <w:szCs w:val="24"/>
          <w:color w:val="auto"/>
        </w:rPr>
      </w:pPr>
    </w:p>
    <w:p>
      <w:pPr>
        <w:ind w:firstLine="280"/>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75"/>
        </w:trPr>
        <w:tc>
          <w:tcPr>
            <w:tcW w:w="1920" w:type="dxa"/>
            <w:vAlign w:val="bottom"/>
          </w:tcPr>
          <w:p>
            <w:pPr>
              <w:ind w:left="280"/>
              <w:spacing w:after="0" w:line="175" w:lineRule="exact"/>
              <w:rPr>
                <w:sz w:val="20"/>
                <w:szCs w:val="20"/>
                <w:color w:val="auto"/>
              </w:rPr>
            </w:pPr>
            <w:r>
              <w:rPr>
                <w:rFonts w:ascii="Times New Roman" w:cs="Times New Roman" w:eastAsia="Times New Roman" w:hAnsi="Times New Roman"/>
                <w:sz w:val="16"/>
                <w:szCs w:val="16"/>
                <w:color w:val="auto"/>
              </w:rPr>
              <w:t>Large accelerated filer o</w:t>
            </w:r>
          </w:p>
        </w:tc>
        <w:tc>
          <w:tcPr>
            <w:tcW w:w="4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506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rPr>
              <w:t>Non-accelerated filer o   Smaller Reporting Company o</w:t>
            </w:r>
          </w:p>
        </w:tc>
      </w:tr>
      <w:tr>
        <w:trPr>
          <w:trHeight w:val="203"/>
        </w:trPr>
        <w:tc>
          <w:tcPr>
            <w:tcW w:w="1920" w:type="dxa"/>
            <w:vAlign w:val="bottom"/>
          </w:tcPr>
          <w:p>
            <w:pPr>
              <w:spacing w:after="0"/>
              <w:rPr>
                <w:sz w:val="17"/>
                <w:szCs w:val="17"/>
                <w:color w:val="auto"/>
              </w:rPr>
            </w:pPr>
          </w:p>
        </w:tc>
        <w:tc>
          <w:tcPr>
            <w:tcW w:w="952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rPr>
              <w:t>(Do not check if a smaller reporting company.)</w:t>
            </w:r>
          </w:p>
        </w:tc>
      </w:tr>
      <w:tr>
        <w:trPr>
          <w:trHeight w:val="380"/>
        </w:trPr>
        <w:tc>
          <w:tcPr>
            <w:tcW w:w="114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r>
      <w:tr>
        <w:trPr>
          <w:trHeight w:val="244"/>
        </w:trPr>
        <w:tc>
          <w:tcPr>
            <w:tcW w:w="1920" w:type="dxa"/>
            <w:vAlign w:val="bottom"/>
          </w:tcPr>
          <w:p>
            <w:pPr>
              <w:spacing w:after="0"/>
              <w:rPr>
                <w:sz w:val="21"/>
                <w:szCs w:val="21"/>
                <w:color w:val="auto"/>
              </w:rPr>
            </w:pPr>
          </w:p>
        </w:tc>
        <w:tc>
          <w:tcPr>
            <w:tcW w:w="4460" w:type="dxa"/>
            <w:vAlign w:val="bottom"/>
          </w:tcPr>
          <w:p>
            <w:pPr>
              <w:ind w:left="3800"/>
              <w:spacing w:after="0"/>
              <w:rPr>
                <w:sz w:val="20"/>
                <w:szCs w:val="20"/>
                <w:color w:val="auto"/>
              </w:rPr>
            </w:pPr>
            <w:r>
              <w:rPr>
                <w:rFonts w:ascii="Times New Roman" w:cs="Times New Roman" w:eastAsia="Times New Roman" w:hAnsi="Times New Roman"/>
                <w:sz w:val="16"/>
                <w:szCs w:val="16"/>
                <w:color w:val="auto"/>
              </w:rPr>
              <w:t>Yes o</w:t>
            </w:r>
          </w:p>
        </w:tc>
        <w:tc>
          <w:tcPr>
            <w:tcW w:w="5060" w:type="dxa"/>
            <w:vAlign w:val="bottom"/>
          </w:tcPr>
          <w:p>
            <w:pPr>
              <w:ind w:left="4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573"/>
        </w:trPr>
        <w:tc>
          <w:tcPr>
            <w:tcW w:w="192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26" w:right="219" w:bottom="1440" w:gutter="0" w:footer="0" w:header="0"/>
          <w:type w:val="continuous"/>
        </w:sectPr>
      </w:pPr>
    </w:p>
    <w:bookmarkStart w:id="1" w:name="page2"/>
    <w:bookmarkEnd w:id="1"/>
    <w:p>
      <w:pPr>
        <w:jc w:val="both"/>
        <w:ind w:firstLine="280"/>
        <w:spacing w:after="0" w:line="230"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as of June 29, 2012 was approximately $541,429,901 based upon the last sales price on June 29, 2012 on The NASDAQ Global Select Market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 xml:space="preserve"> of $16.35 for the registrant’s Class A common stock and $13.54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registrant had 28,387,201 shares Class A common stock and 10,792,223 shares of Class B common stock outstanding on March 1, 2013.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6"/>
          <w:szCs w:val="16"/>
          <w:b w:val="1"/>
          <w:bCs w:val="1"/>
          <w:color w:val="auto"/>
        </w:rPr>
        <w:t>Portions of registrant’s definitive proxy statement for the registrant’s 2013 Annual Meeting of Shareholders, to be filed with the Securities and Exchange Commission not later than April 30, 2013,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365760</wp:posOffset>
            </wp:positionV>
            <wp:extent cx="727075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1060" w:type="dxa"/>
            <w:vAlign w:val="bottom"/>
          </w:tcPr>
          <w:p>
            <w:pPr>
              <w:spacing w:after="0"/>
              <w:rPr>
                <w:sz w:val="17"/>
                <w:szCs w:val="17"/>
                <w:color w:val="auto"/>
              </w:rPr>
            </w:pPr>
          </w:p>
        </w:tc>
        <w:tc>
          <w:tcPr>
            <w:tcW w:w="958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7"/>
              </w:rPr>
              <w:t>RUSH ENTERPRISES, INC.</w:t>
            </w:r>
          </w:p>
        </w:tc>
        <w:tc>
          <w:tcPr>
            <w:tcW w:w="800" w:type="dxa"/>
            <w:vAlign w:val="bottom"/>
          </w:tcPr>
          <w:p>
            <w:pPr>
              <w:spacing w:after="0"/>
              <w:rPr>
                <w:sz w:val="17"/>
                <w:szCs w:val="17"/>
                <w:color w:val="auto"/>
              </w:rPr>
            </w:pPr>
          </w:p>
        </w:tc>
      </w:tr>
      <w:tr>
        <w:trPr>
          <w:trHeight w:val="420"/>
        </w:trPr>
        <w:tc>
          <w:tcPr>
            <w:tcW w:w="1060" w:type="dxa"/>
            <w:vAlign w:val="bottom"/>
          </w:tcPr>
          <w:p>
            <w:pPr>
              <w:spacing w:after="0"/>
              <w:rPr>
                <w:sz w:val="24"/>
                <w:szCs w:val="24"/>
                <w:color w:val="auto"/>
              </w:rPr>
            </w:pPr>
          </w:p>
        </w:tc>
        <w:tc>
          <w:tcPr>
            <w:tcW w:w="958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Index to Form 10-K</w:t>
            </w:r>
          </w:p>
        </w:tc>
        <w:tc>
          <w:tcPr>
            <w:tcW w:w="800" w:type="dxa"/>
            <w:vAlign w:val="bottom"/>
          </w:tcPr>
          <w:p>
            <w:pPr>
              <w:spacing w:after="0"/>
              <w:rPr>
                <w:sz w:val="24"/>
                <w:szCs w:val="24"/>
                <w:color w:val="auto"/>
              </w:rPr>
            </w:pPr>
          </w:p>
        </w:tc>
      </w:tr>
      <w:tr>
        <w:trPr>
          <w:trHeight w:val="420"/>
        </w:trPr>
        <w:tc>
          <w:tcPr>
            <w:tcW w:w="1060" w:type="dxa"/>
            <w:vAlign w:val="bottom"/>
          </w:tcPr>
          <w:p>
            <w:pPr>
              <w:spacing w:after="0"/>
              <w:rPr>
                <w:sz w:val="24"/>
                <w:szCs w:val="24"/>
                <w:color w:val="auto"/>
              </w:rPr>
            </w:pPr>
          </w:p>
        </w:tc>
        <w:tc>
          <w:tcPr>
            <w:tcW w:w="958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Year ended December 31, 2012</w:t>
            </w:r>
          </w:p>
        </w:tc>
        <w:tc>
          <w:tcPr>
            <w:tcW w:w="800" w:type="dxa"/>
            <w:vAlign w:val="bottom"/>
          </w:tcPr>
          <w:p>
            <w:pPr>
              <w:spacing w:after="0"/>
              <w:rPr>
                <w:sz w:val="24"/>
                <w:szCs w:val="24"/>
                <w:color w:val="auto"/>
              </w:rPr>
            </w:pPr>
          </w:p>
        </w:tc>
      </w:tr>
      <w:tr>
        <w:trPr>
          <w:trHeight w:val="424"/>
        </w:trPr>
        <w:tc>
          <w:tcPr>
            <w:tcW w:w="106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187"/>
        </w:trPr>
        <w:tc>
          <w:tcPr>
            <w:tcW w:w="1060" w:type="dxa"/>
            <w:vAlign w:val="bottom"/>
          </w:tcPr>
          <w:p>
            <w:pPr>
              <w:spacing w:after="0"/>
              <w:rPr>
                <w:sz w:val="16"/>
                <w:szCs w:val="16"/>
                <w:color w:val="auto"/>
              </w:rPr>
            </w:pPr>
          </w:p>
        </w:tc>
        <w:tc>
          <w:tcPr>
            <w:tcW w:w="9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1060" w:type="dxa"/>
            <w:vAlign w:val="bottom"/>
            <w:shd w:val="clear" w:color="auto" w:fill="C0FFFF"/>
          </w:tcPr>
          <w:p>
            <w:pPr>
              <w:spacing w:after="0"/>
              <w:rPr>
                <w:sz w:val="16"/>
                <w:szCs w:val="16"/>
                <w:color w:val="auto"/>
              </w:rPr>
            </w:pPr>
          </w:p>
        </w:tc>
        <w:tc>
          <w:tcPr>
            <w:tcW w:w="9580" w:type="dxa"/>
            <w:vAlign w:val="bottom"/>
            <w:shd w:val="clear" w:color="auto" w:fill="C0FFFF"/>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8"/>
              </w:rPr>
              <w:t>Part I</w:t>
            </w:r>
          </w:p>
        </w:tc>
        <w:tc>
          <w:tcPr>
            <w:tcW w:w="800" w:type="dxa"/>
            <w:vAlign w:val="bottom"/>
            <w:shd w:val="clear" w:color="auto" w:fill="C0FFFF"/>
          </w:tcPr>
          <w:p>
            <w:pPr>
              <w:spacing w:after="0"/>
              <w:rPr>
                <w:sz w:val="16"/>
                <w:szCs w:val="16"/>
                <w:color w:val="auto"/>
              </w:rPr>
            </w:pP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Business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1A</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Risk Factors</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15</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Unresolved Staff Comments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21</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2</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Properties</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21</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Legal Proceedings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21</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4</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Mine Safety Disclosures</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21</w:t>
            </w:r>
          </w:p>
        </w:tc>
      </w:tr>
      <w:tr>
        <w:trPr>
          <w:trHeight w:val="187"/>
        </w:trPr>
        <w:tc>
          <w:tcPr>
            <w:tcW w:w="1060" w:type="dxa"/>
            <w:vAlign w:val="bottom"/>
          </w:tcPr>
          <w:p>
            <w:pPr>
              <w:spacing w:after="0"/>
              <w:rPr>
                <w:sz w:val="16"/>
                <w:szCs w:val="16"/>
                <w:color w:val="auto"/>
              </w:rPr>
            </w:pPr>
          </w:p>
        </w:tc>
        <w:tc>
          <w:tcPr>
            <w:tcW w:w="9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1060" w:type="dxa"/>
            <w:vAlign w:val="bottom"/>
            <w:shd w:val="clear" w:color="auto" w:fill="C0FFFF"/>
          </w:tcPr>
          <w:p>
            <w:pPr>
              <w:spacing w:after="0"/>
              <w:rPr>
                <w:sz w:val="16"/>
                <w:szCs w:val="16"/>
                <w:color w:val="auto"/>
              </w:rPr>
            </w:pPr>
          </w:p>
        </w:tc>
        <w:tc>
          <w:tcPr>
            <w:tcW w:w="958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r>
      <w:tr>
        <w:trPr>
          <w:trHeight w:val="187"/>
        </w:trPr>
        <w:tc>
          <w:tcPr>
            <w:tcW w:w="1060" w:type="dxa"/>
            <w:vAlign w:val="bottom"/>
          </w:tcPr>
          <w:p>
            <w:pPr>
              <w:spacing w:after="0"/>
              <w:rPr>
                <w:sz w:val="16"/>
                <w:szCs w:val="16"/>
                <w:color w:val="auto"/>
              </w:rPr>
            </w:pPr>
          </w:p>
        </w:tc>
        <w:tc>
          <w:tcPr>
            <w:tcW w:w="9580" w:type="dxa"/>
            <w:vAlign w:val="bottom"/>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8"/>
              </w:rPr>
              <w:t>Part II</w:t>
            </w:r>
          </w:p>
        </w:tc>
        <w:tc>
          <w:tcPr>
            <w:tcW w:w="800" w:type="dxa"/>
            <w:vAlign w:val="bottom"/>
          </w:tcPr>
          <w:p>
            <w:pPr>
              <w:spacing w:after="0"/>
              <w:rPr>
                <w:sz w:val="16"/>
                <w:szCs w:val="16"/>
                <w:color w:val="auto"/>
              </w:rPr>
            </w:pPr>
          </w:p>
        </w:tc>
      </w:tr>
      <w:tr>
        <w:trPr>
          <w:trHeight w:val="187"/>
        </w:trPr>
        <w:tc>
          <w:tcPr>
            <w:tcW w:w="1060" w:type="dxa"/>
            <w:vAlign w:val="bottom"/>
            <w:shd w:val="clear" w:color="auto" w:fill="C0FFFF"/>
          </w:tcPr>
          <w:p>
            <w:pPr>
              <w:spacing w:after="0"/>
              <w:rPr>
                <w:sz w:val="16"/>
                <w:szCs w:val="16"/>
                <w:color w:val="auto"/>
              </w:rPr>
            </w:pPr>
          </w:p>
        </w:tc>
        <w:tc>
          <w:tcPr>
            <w:tcW w:w="958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Market for Registrant’s Common Equity, Related Shareholder Matters and Issuer Purchases of Equity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21</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6</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Selected Financial Data</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24</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7A</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37</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39</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9</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72</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Controls and Procedures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73</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9B</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Other Information</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75</w:t>
            </w:r>
          </w:p>
        </w:tc>
      </w:tr>
      <w:tr>
        <w:trPr>
          <w:trHeight w:val="187"/>
        </w:trPr>
        <w:tc>
          <w:tcPr>
            <w:tcW w:w="1060" w:type="dxa"/>
            <w:vAlign w:val="bottom"/>
          </w:tcPr>
          <w:p>
            <w:pPr>
              <w:spacing w:after="0"/>
              <w:rPr>
                <w:sz w:val="16"/>
                <w:szCs w:val="16"/>
                <w:color w:val="auto"/>
              </w:rPr>
            </w:pPr>
          </w:p>
        </w:tc>
        <w:tc>
          <w:tcPr>
            <w:tcW w:w="9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1060" w:type="dxa"/>
            <w:vAlign w:val="bottom"/>
            <w:shd w:val="clear" w:color="auto" w:fill="C0FFFF"/>
          </w:tcPr>
          <w:p>
            <w:pPr>
              <w:spacing w:after="0"/>
              <w:rPr>
                <w:sz w:val="16"/>
                <w:szCs w:val="16"/>
                <w:color w:val="auto"/>
              </w:rPr>
            </w:pPr>
          </w:p>
        </w:tc>
        <w:tc>
          <w:tcPr>
            <w:tcW w:w="9580" w:type="dxa"/>
            <w:vAlign w:val="bottom"/>
            <w:shd w:val="clear" w:color="auto" w:fill="C0FFFF"/>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8"/>
              </w:rPr>
              <w:t>Part III</w:t>
            </w:r>
          </w:p>
        </w:tc>
        <w:tc>
          <w:tcPr>
            <w:tcW w:w="800" w:type="dxa"/>
            <w:vAlign w:val="bottom"/>
            <w:shd w:val="clear" w:color="auto" w:fill="C0FFFF"/>
          </w:tcPr>
          <w:p>
            <w:pPr>
              <w:spacing w:after="0"/>
              <w:rPr>
                <w:sz w:val="16"/>
                <w:szCs w:val="16"/>
                <w:color w:val="auto"/>
              </w:rPr>
            </w:pPr>
          </w:p>
        </w:tc>
      </w:tr>
      <w:tr>
        <w:trPr>
          <w:trHeight w:val="187"/>
        </w:trPr>
        <w:tc>
          <w:tcPr>
            <w:tcW w:w="1060" w:type="dxa"/>
            <w:vAlign w:val="bottom"/>
          </w:tcPr>
          <w:p>
            <w:pPr>
              <w:spacing w:after="0"/>
              <w:rPr>
                <w:sz w:val="16"/>
                <w:szCs w:val="16"/>
                <w:color w:val="auto"/>
              </w:rPr>
            </w:pPr>
          </w:p>
        </w:tc>
        <w:tc>
          <w:tcPr>
            <w:tcW w:w="9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10</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75</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Executive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75</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12</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Shareholder Matters</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75</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9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77</w:t>
            </w: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14</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77</w:t>
            </w:r>
          </w:p>
        </w:tc>
      </w:tr>
      <w:tr>
        <w:trPr>
          <w:trHeight w:val="187"/>
        </w:trPr>
        <w:tc>
          <w:tcPr>
            <w:tcW w:w="1060" w:type="dxa"/>
            <w:vAlign w:val="bottom"/>
          </w:tcPr>
          <w:p>
            <w:pPr>
              <w:spacing w:after="0"/>
              <w:rPr>
                <w:sz w:val="16"/>
                <w:szCs w:val="16"/>
                <w:color w:val="auto"/>
              </w:rPr>
            </w:pPr>
          </w:p>
        </w:tc>
        <w:tc>
          <w:tcPr>
            <w:tcW w:w="9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1060" w:type="dxa"/>
            <w:vAlign w:val="bottom"/>
            <w:shd w:val="clear" w:color="auto" w:fill="C0FFFF"/>
          </w:tcPr>
          <w:p>
            <w:pPr>
              <w:spacing w:after="0"/>
              <w:rPr>
                <w:sz w:val="16"/>
                <w:szCs w:val="16"/>
                <w:color w:val="auto"/>
              </w:rPr>
            </w:pPr>
          </w:p>
        </w:tc>
        <w:tc>
          <w:tcPr>
            <w:tcW w:w="9580" w:type="dxa"/>
            <w:vAlign w:val="bottom"/>
            <w:shd w:val="clear" w:color="auto" w:fill="C0FFFF"/>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6"/>
              </w:rPr>
              <w:t>Part IV</w:t>
            </w:r>
          </w:p>
        </w:tc>
        <w:tc>
          <w:tcPr>
            <w:tcW w:w="800" w:type="dxa"/>
            <w:vAlign w:val="bottom"/>
            <w:shd w:val="clear" w:color="auto" w:fill="C0FFFF"/>
          </w:tcPr>
          <w:p>
            <w:pPr>
              <w:spacing w:after="0"/>
              <w:rPr>
                <w:sz w:val="16"/>
                <w:szCs w:val="16"/>
                <w:color w:val="auto"/>
              </w:rPr>
            </w:pPr>
          </w:p>
        </w:tc>
      </w:tr>
      <w:tr>
        <w:trPr>
          <w:trHeight w:val="187"/>
        </w:trPr>
        <w:tc>
          <w:tcPr>
            <w:tcW w:w="1060" w:type="dxa"/>
            <w:vAlign w:val="bottom"/>
          </w:tcPr>
          <w:p>
            <w:pPr>
              <w:spacing w:after="0"/>
              <w:rPr>
                <w:sz w:val="16"/>
                <w:szCs w:val="16"/>
                <w:color w:val="auto"/>
              </w:rPr>
            </w:pPr>
          </w:p>
        </w:tc>
        <w:tc>
          <w:tcPr>
            <w:tcW w:w="9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1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Item 15</w:t>
            </w:r>
          </w:p>
        </w:tc>
        <w:tc>
          <w:tcPr>
            <w:tcW w:w="9580" w:type="dxa"/>
            <w:vAlign w:val="bottom"/>
            <w:shd w:val="clear" w:color="auto" w:fill="C0FFFF"/>
          </w:tcPr>
          <w:p>
            <w:pPr>
              <w:ind w:left="540"/>
              <w:spacing w:after="0"/>
              <w:rPr>
                <w:sz w:val="20"/>
                <w:szCs w:val="20"/>
                <w:color w:val="auto"/>
              </w:rPr>
            </w:pPr>
            <w:r>
              <w:rPr>
                <w:rFonts w:ascii="Times New Roman" w:cs="Times New Roman" w:eastAsia="Times New Roman" w:hAnsi="Times New Roman"/>
                <w:sz w:val="16"/>
                <w:szCs w:val="16"/>
                <w:color w:val="auto"/>
              </w:rPr>
              <w:t>Exhibits and Financial Statement Schedules</w:t>
            </w:r>
          </w:p>
        </w:tc>
        <w:tc>
          <w:tcPr>
            <w:tcW w:w="8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78</w:t>
            </w:r>
          </w:p>
        </w:tc>
      </w:tr>
      <w:tr>
        <w:trPr>
          <w:trHeight w:val="591"/>
        </w:trPr>
        <w:tc>
          <w:tcPr>
            <w:tcW w:w="106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NOTE REGARDING FORWARD-LOOKING STATEMENTS</w:t>
      </w:r>
    </w:p>
    <w:p>
      <w:pPr>
        <w:spacing w:after="0" w:line="236" w:lineRule="exact"/>
        <w:rPr>
          <w:sz w:val="20"/>
          <w:szCs w:val="20"/>
          <w:color w:val="auto"/>
        </w:rPr>
      </w:pPr>
    </w:p>
    <w:p>
      <w:pPr>
        <w:jc w:val="both"/>
        <w:ind w:firstLine="560"/>
        <w:spacing w:after="0" w:line="244" w:lineRule="auto"/>
        <w:rPr>
          <w:sz w:val="20"/>
          <w:szCs w:val="20"/>
          <w:color w:val="auto"/>
        </w:rPr>
      </w:pPr>
      <w:r>
        <w:rPr>
          <w:rFonts w:ascii="Times New Roman" w:cs="Times New Roman" w:eastAsia="Times New Roman" w:hAnsi="Times New Roman"/>
          <w:sz w:val="16"/>
          <w:szCs w:val="16"/>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REGARDING INCORPORATION BY REFERENCE</w:t>
      </w:r>
    </w:p>
    <w:p>
      <w:pPr>
        <w:spacing w:after="0" w:line="236" w:lineRule="exact"/>
        <w:rPr>
          <w:sz w:val="20"/>
          <w:szCs w:val="20"/>
          <w:color w:val="auto"/>
        </w:rPr>
      </w:pPr>
    </w:p>
    <w:p>
      <w:pPr>
        <w:jc w:val="both"/>
        <w:ind w:firstLine="560"/>
        <w:spacing w:after="0" w:line="270" w:lineRule="auto"/>
        <w:rPr>
          <w:sz w:val="20"/>
          <w:szCs w:val="20"/>
          <w:color w:val="auto"/>
        </w:rPr>
      </w:pPr>
      <w:r>
        <w:rPr>
          <w:rFonts w:ascii="Times New Roman" w:cs="Times New Roman" w:eastAsia="Times New Roman" w:hAnsi="Times New Roman"/>
          <w:sz w:val="16"/>
          <w:szCs w:val="16"/>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REGARDING TRADEMARKS COMMONLY USED IN THE COMPANY’S FILINGS</w:t>
      </w:r>
    </w:p>
    <w:p>
      <w:pPr>
        <w:spacing w:after="0" w:line="236" w:lineRule="exact"/>
        <w:rPr>
          <w:sz w:val="20"/>
          <w:szCs w:val="20"/>
          <w:color w:val="auto"/>
        </w:rPr>
      </w:pPr>
    </w:p>
    <w:p>
      <w:pPr>
        <w:jc w:val="both"/>
        <w:ind w:firstLine="560"/>
        <w:spacing w:after="0" w:line="194" w:lineRule="auto"/>
        <w:rPr>
          <w:sz w:val="20"/>
          <w:szCs w:val="20"/>
          <w:color w:val="auto"/>
        </w:rPr>
      </w:pPr>
      <w:r>
        <w:rPr>
          <w:rFonts w:ascii="Times New Roman" w:cs="Times New Roman" w:eastAsia="Times New Roman" w:hAnsi="Times New Roman"/>
          <w:sz w:val="16"/>
          <w:szCs w:val="16"/>
          <w:i w:val="1"/>
          <w:iCs w:val="1"/>
          <w:color w:val="auto"/>
        </w:rPr>
        <w:t>Peterbilt</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Peterbilt Motors Company. PACCAR</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PACCAR, Inc. GMC</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General Motors Corporation. Hino</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Hino Motors, Ltd. Isuzu</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Isuzu Motors Limited. Kenworth</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PACCAR, Inc. doing business as Kenworth Truck Company. Volvo</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Volvo Trademark Holding AB. Freightliner</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Freightliner Corporation. Mack</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Mack Trucks, Inc. Navistar</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Navistar International Corporation. Caterpillar</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Caterpillar, Inc. PacLease</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PACCAR Leasing Corporation. CitiCapital</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Citicorp. Ford</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Ford Motor Company. Ford Motor Credit Company</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Ford Motor Company. Cummins</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Cummins Intellectual Property, Inc. Eaton</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Eaton Corporation. Arvin Meritor</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Meritor Technology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Inc. JPMorgan Chase</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JP Morgan Chase &amp; Co. SAP</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SAP Aktiengesellschaft. International</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Navistar International Transportation Corp. Blue Bird</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Blue Bird Investment Corporation. Autocar</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Shem, LLC. IC Bus</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IC Bus, LLC. Collins Bus Corporation</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Collins Bus Corporation. Fuso</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Mitsubishi Fuso Truck and Bus Corporation. Micro Bird</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Blue Bird Body Company. Allison Transmission</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Allison Transmission, Inc.</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38"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References herein to “the Company,” “Rush Enterprises,” “Rush,” “we,” “our” or “us” mean Rush Enterprises, Inc., a Texas corporation, and its subsidiaries unless the context requires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Access to Company Information</w:t>
      </w:r>
    </w:p>
    <w:p>
      <w:pPr>
        <w:spacing w:after="0" w:line="23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Rush electronically files annual reports, quarterly reports, proxy statements and other reports and information statements with the SEC. You may read and copy any of the materials that we have filed with the SEC at the SEC’s Public Reference Room at 100 F Street NE, NW, Washington, DC 20549. You may obtain information about the Public Reference Room by calling the SEC at 1-800-SEC-0330. Our filings are also available to you on the SEC’s website at www.sec.gov.</w:t>
      </w:r>
    </w:p>
    <w:p>
      <w:pPr>
        <w:spacing w:after="0" w:line="207" w:lineRule="exact"/>
        <w:rPr>
          <w:sz w:val="20"/>
          <w:szCs w:val="20"/>
          <w:color w:val="auto"/>
        </w:rPr>
      </w:pPr>
    </w:p>
    <w:p>
      <w:pPr>
        <w:jc w:val="both"/>
        <w:ind w:right="20" w:firstLine="560"/>
        <w:spacing w:after="0" w:line="251" w:lineRule="auto"/>
        <w:rPr>
          <w:sz w:val="20"/>
          <w:szCs w:val="20"/>
          <w:color w:val="auto"/>
        </w:rPr>
      </w:pPr>
      <w:r>
        <w:rPr>
          <w:rFonts w:ascii="Times New Roman" w:cs="Times New Roman" w:eastAsia="Times New Roman" w:hAnsi="Times New Roman"/>
          <w:sz w:val="16"/>
          <w:szCs w:val="16"/>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incorporated into this report or otherwise made part of this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38"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97" w:lineRule="exact"/>
        <w:rPr>
          <w:sz w:val="20"/>
          <w:szCs w:val="20"/>
          <w:color w:val="auto"/>
        </w:rPr>
      </w:pPr>
    </w:p>
    <w:p>
      <w:pPr>
        <w:jc w:val="both"/>
        <w:ind w:firstLine="560"/>
        <w:spacing w:after="0" w:line="298" w:lineRule="auto"/>
        <w:rPr>
          <w:sz w:val="20"/>
          <w:szCs w:val="20"/>
          <w:color w:val="auto"/>
        </w:rPr>
      </w:pPr>
      <w:r>
        <w:rPr>
          <w:rFonts w:ascii="Times New Roman" w:cs="Times New Roman" w:eastAsia="Times New Roman" w:hAnsi="Times New Roman"/>
          <w:sz w:val="14"/>
          <w:szCs w:val="14"/>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80"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The Company’s Rush Truck Centers are principally located in high traffic areas throughout the United States. Since commencing operations as a Peterbilt heavy-duty truck dealer in 1966, the Company has grown to operate 78 Rush Truck Centers in 15 states.</w:t>
      </w:r>
    </w:p>
    <w:p>
      <w:pPr>
        <w:spacing w:after="0" w:line="197"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207"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The Construction Equipment Segment is no longer reported as a separate business segment because the Company sold its John Deere construction equipment business in September 2010. Operating results of the Construction Equipment Segment have been classified as discontinued operations in the Company’s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5" w:name="page6"/>
    <w:bookmarkEnd w:id="5"/>
    <w:p>
      <w:pPr>
        <w:ind w:firstLine="56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Rush Truck Centers. </w:t>
      </w:r>
      <w:r>
        <w:rPr>
          <w:rFonts w:ascii="Times New Roman" w:cs="Times New Roman" w:eastAsia="Times New Roman" w:hAnsi="Times New Roman"/>
          <w:sz w:val="16"/>
          <w:szCs w:val="16"/>
          <w:color w:val="auto"/>
        </w:rPr>
        <w:t>Our Rush Truck Centers are located in Alabama, Arizona, California, Colorado, Florida, Georgia, Idaho, New Mexico, North Carolina, Ohio, Oklahoma,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Oregon, Tennessee, Texas and Utah. The following chart reflects our franchises and parts, service and body shop operations by location: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center"/>
              <w:ind w:right="502"/>
              <w:spacing w:after="0"/>
              <w:rPr>
                <w:sz w:val="20"/>
                <w:szCs w:val="20"/>
                <w:color w:val="auto"/>
              </w:rPr>
            </w:pPr>
            <w:r>
              <w:rPr>
                <w:rFonts w:ascii="Times New Roman" w:cs="Times New Roman" w:eastAsia="Times New Roman" w:hAnsi="Times New Roman"/>
                <w:sz w:val="16"/>
                <w:szCs w:val="16"/>
                <w:b w:val="1"/>
                <w:bCs w:val="1"/>
                <w:color w:val="auto"/>
                <w:w w:val="95"/>
              </w:rPr>
              <w:t>Rush Truck Center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Heavy-Duty</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Medium-Duty, Light-Duty and</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Body</w:t>
            </w:r>
          </w:p>
        </w:tc>
      </w:tr>
      <w:tr>
        <w:trPr>
          <w:trHeight w:val="205"/>
        </w:trPr>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622"/>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214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7"/>
              </w:rPr>
              <w:t>Franchise(s)</w:t>
            </w:r>
          </w:p>
        </w:tc>
        <w:tc>
          <w:tcPr>
            <w:tcW w:w="352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Bus Franchise(s)</w:t>
            </w:r>
          </w:p>
        </w:tc>
        <w:tc>
          <w:tcPr>
            <w:tcW w:w="110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8"/>
              </w:rPr>
              <w:t>Parts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Service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Shop</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4"/>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7"/>
        </w:trPr>
        <w:tc>
          <w:tcPr>
            <w:tcW w:w="2780" w:type="dxa"/>
            <w:vAlign w:val="bottom"/>
            <w:gridSpan w:val="5"/>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Alabama:</w:t>
            </w:r>
          </w:p>
        </w:tc>
        <w:tc>
          <w:tcPr>
            <w:tcW w:w="2140" w:type="dxa"/>
            <w:vAlign w:val="bottom"/>
            <w:shd w:val="clear" w:color="auto" w:fill="C0FFFF"/>
          </w:tcPr>
          <w:p>
            <w:pPr>
              <w:spacing w:after="0"/>
              <w:rPr>
                <w:sz w:val="14"/>
                <w:szCs w:val="14"/>
                <w:color w:val="auto"/>
              </w:rPr>
            </w:pPr>
          </w:p>
        </w:tc>
        <w:tc>
          <w:tcPr>
            <w:tcW w:w="3520" w:type="dxa"/>
            <w:vAlign w:val="bottom"/>
            <w:shd w:val="clear" w:color="auto" w:fill="C0FFFF"/>
          </w:tcPr>
          <w:p>
            <w:pPr>
              <w:spacing w:after="0"/>
              <w:rPr>
                <w:sz w:val="14"/>
                <w:szCs w:val="14"/>
                <w:color w:val="auto"/>
              </w:rPr>
            </w:pPr>
          </w:p>
        </w:tc>
        <w:tc>
          <w:tcPr>
            <w:tcW w:w="110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r>
      <w:tr>
        <w:trPr>
          <w:trHeight w:val="187"/>
        </w:trPr>
        <w:tc>
          <w:tcPr>
            <w:tcW w:w="6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w w:val="99"/>
              </w:rPr>
              <w:t>Mobile</w:t>
            </w:r>
          </w:p>
        </w:tc>
        <w:tc>
          <w:tcPr>
            <w:tcW w:w="2140" w:type="dxa"/>
            <w:vAlign w:val="bottom"/>
            <w:tcBorders>
              <w:top w:val="single" w:sz="8" w:color="C0FFFF"/>
            </w:tcBorders>
            <w:gridSpan w:val="3"/>
          </w:tcPr>
          <w:p>
            <w:pPr>
              <w:spacing w:after="0"/>
              <w:rPr>
                <w:sz w:val="16"/>
                <w:szCs w:val="16"/>
                <w:color w:val="auto"/>
              </w:rPr>
            </w:pPr>
          </w:p>
        </w:tc>
        <w:tc>
          <w:tcPr>
            <w:tcW w:w="2140" w:type="dxa"/>
            <w:vAlign w:val="bottom"/>
            <w:tcBorders>
              <w:top w:val="single" w:sz="8" w:color="C0FFFF"/>
            </w:tcBorders>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Borders>
              <w:top w:val="single" w:sz="8" w:color="C0FFFF"/>
            </w:tcBorders>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Borders>
              <w:top w:val="single" w:sz="8" w:color="C0FFFF"/>
            </w:tcBorders>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Borders>
              <w:top w:val="single" w:sz="8" w:color="C0FFFF"/>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Borders>
              <w:top w:val="single" w:sz="8" w:color="C0FFFF"/>
            </w:tcBorders>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420" w:type="dxa"/>
            <w:vAlign w:val="bottom"/>
            <w:shd w:val="clear" w:color="auto" w:fill="C0FFFF"/>
          </w:tcPr>
          <w:p>
            <w:pPr>
              <w:spacing w:after="0"/>
              <w:rPr>
                <w:sz w:val="16"/>
                <w:szCs w:val="16"/>
                <w:color w:val="auto"/>
              </w:rPr>
            </w:pPr>
          </w:p>
        </w:tc>
        <w:tc>
          <w:tcPr>
            <w:tcW w:w="2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2140" w:type="dxa"/>
            <w:vAlign w:val="bottom"/>
            <w:shd w:val="clear" w:color="auto" w:fill="C0FFFF"/>
          </w:tcPr>
          <w:p>
            <w:pPr>
              <w:spacing w:after="0"/>
              <w:rPr>
                <w:sz w:val="16"/>
                <w:szCs w:val="16"/>
                <w:color w:val="auto"/>
              </w:rPr>
            </w:pPr>
          </w:p>
        </w:tc>
        <w:tc>
          <w:tcPr>
            <w:tcW w:w="35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159"/>
        </w:trPr>
        <w:tc>
          <w:tcPr>
            <w:tcW w:w="640" w:type="dxa"/>
            <w:vAlign w:val="bottom"/>
            <w:tcBorders>
              <w:bottom w:val="single" w:sz="8" w:color="auto"/>
            </w:tcBorders>
            <w:gridSpan w:val="2"/>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Arizona:</w:t>
            </w:r>
          </w:p>
        </w:tc>
        <w:tc>
          <w:tcPr>
            <w:tcW w:w="2140" w:type="dxa"/>
            <w:vAlign w:val="bottom"/>
            <w:gridSpan w:val="3"/>
          </w:tcPr>
          <w:p>
            <w:pPr>
              <w:spacing w:after="0"/>
              <w:rPr>
                <w:sz w:val="13"/>
                <w:szCs w:val="13"/>
                <w:color w:val="auto"/>
              </w:rPr>
            </w:pPr>
          </w:p>
        </w:tc>
        <w:tc>
          <w:tcPr>
            <w:tcW w:w="2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4"/>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Flagstaff</w:t>
            </w:r>
          </w:p>
        </w:tc>
        <w:tc>
          <w:tcPr>
            <w:tcW w:w="2140" w:type="dxa"/>
            <w:vAlign w:val="bottom"/>
            <w:shd w:val="clear" w:color="auto" w:fill="C0FFFF"/>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None</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Phoenix</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7"/>
              </w:rPr>
              <w:t>Peterbilt, Hino</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Tucson</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7"/>
              </w:rPr>
              <w:t>Peterbilt, Hino</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Yuma</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shd w:val="clear" w:color="auto" w:fill="C0FFFF"/>
          </w:tcPr>
          <w:p>
            <w:pPr>
              <w:spacing w:after="0"/>
              <w:rPr>
                <w:sz w:val="16"/>
                <w:szCs w:val="16"/>
                <w:color w:val="auto"/>
              </w:rPr>
            </w:pPr>
          </w:p>
        </w:tc>
        <w:tc>
          <w:tcPr>
            <w:tcW w:w="2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2140" w:type="dxa"/>
            <w:vAlign w:val="bottom"/>
            <w:shd w:val="clear" w:color="auto" w:fill="C0FFFF"/>
          </w:tcPr>
          <w:p>
            <w:pPr>
              <w:spacing w:after="0"/>
              <w:rPr>
                <w:sz w:val="16"/>
                <w:szCs w:val="16"/>
                <w:color w:val="auto"/>
              </w:rPr>
            </w:pPr>
          </w:p>
        </w:tc>
        <w:tc>
          <w:tcPr>
            <w:tcW w:w="35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159"/>
        </w:trPr>
        <w:tc>
          <w:tcPr>
            <w:tcW w:w="720" w:type="dxa"/>
            <w:vAlign w:val="bottom"/>
            <w:tcBorders>
              <w:bottom w:val="single" w:sz="8" w:color="auto"/>
            </w:tcBorders>
            <w:gridSpan w:val="3"/>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4"/>
              </w:rPr>
              <w:t>California:</w:t>
            </w:r>
          </w:p>
        </w:tc>
        <w:tc>
          <w:tcPr>
            <w:tcW w:w="2060" w:type="dxa"/>
            <w:vAlign w:val="bottom"/>
            <w:gridSpan w:val="2"/>
          </w:tcPr>
          <w:p>
            <w:pPr>
              <w:spacing w:after="0"/>
              <w:rPr>
                <w:sz w:val="13"/>
                <w:szCs w:val="13"/>
                <w:color w:val="auto"/>
              </w:rPr>
            </w:pPr>
          </w:p>
        </w:tc>
        <w:tc>
          <w:tcPr>
            <w:tcW w:w="2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4"/>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Escondido</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7"/>
              </w:rPr>
              <w:t>Peterbilt, Hino</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Fontana Heavy-Duty</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Fontana Medium-Duty</w:t>
            </w:r>
          </w:p>
        </w:tc>
        <w:tc>
          <w:tcPr>
            <w:tcW w:w="2140" w:type="dxa"/>
            <w:vAlign w:val="bottom"/>
            <w:shd w:val="clear" w:color="auto" w:fill="C0FFFF"/>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Hino, Isuzu</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Pico Rivera</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San Diego</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7"/>
              </w:rPr>
              <w:t>Peterbilt, Hino</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Sylmar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Whittier</w:t>
            </w:r>
          </w:p>
        </w:tc>
        <w:tc>
          <w:tcPr>
            <w:tcW w:w="2140" w:type="dxa"/>
            <w:vAlign w:val="bottom"/>
            <w:shd w:val="clear" w:color="auto" w:fill="C0FFFF"/>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5"/>
              </w:rPr>
              <w:t>Ford, Isuzu</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2"/>
        </w:trPr>
        <w:tc>
          <w:tcPr>
            <w:tcW w:w="2780" w:type="dxa"/>
            <w:vAlign w:val="bottom"/>
            <w:gridSpan w:val="5"/>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Colorado:</w:t>
            </w:r>
          </w:p>
        </w:tc>
        <w:tc>
          <w:tcPr>
            <w:tcW w:w="2140" w:type="dxa"/>
            <w:vAlign w:val="bottom"/>
            <w:shd w:val="clear" w:color="auto" w:fill="C0FFFF"/>
          </w:tcPr>
          <w:p>
            <w:pPr>
              <w:spacing w:after="0"/>
              <w:rPr>
                <w:sz w:val="13"/>
                <w:szCs w:val="13"/>
                <w:color w:val="auto"/>
              </w:rPr>
            </w:pPr>
          </w:p>
        </w:tc>
        <w:tc>
          <w:tcPr>
            <w:tcW w:w="3520" w:type="dxa"/>
            <w:vAlign w:val="bottom"/>
            <w:shd w:val="clear" w:color="auto" w:fill="C0FFFF"/>
          </w:tcPr>
          <w:p>
            <w:pPr>
              <w:spacing w:after="0"/>
              <w:rPr>
                <w:sz w:val="13"/>
                <w:szCs w:val="13"/>
                <w:color w:val="auto"/>
              </w:rPr>
            </w:pPr>
          </w:p>
        </w:tc>
        <w:tc>
          <w:tcPr>
            <w:tcW w:w="110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r>
      <w:tr>
        <w:trPr>
          <w:trHeight w:val="35"/>
        </w:trPr>
        <w:tc>
          <w:tcPr>
            <w:tcW w:w="420" w:type="dxa"/>
            <w:vAlign w:val="bottom"/>
            <w:shd w:val="clear" w:color="auto" w:fill="000000"/>
          </w:tcPr>
          <w:p>
            <w:pPr>
              <w:spacing w:after="0"/>
              <w:rPr>
                <w:sz w:val="3"/>
                <w:szCs w:val="3"/>
                <w:color w:val="auto"/>
              </w:rPr>
            </w:pPr>
          </w:p>
        </w:tc>
        <w:tc>
          <w:tcPr>
            <w:tcW w:w="22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C0FFFF"/>
          </w:tcPr>
          <w:p>
            <w:pPr>
              <w:spacing w:after="0"/>
              <w:rPr>
                <w:sz w:val="3"/>
                <w:szCs w:val="3"/>
                <w:color w:val="auto"/>
              </w:rPr>
            </w:pPr>
          </w:p>
        </w:tc>
        <w:tc>
          <w:tcPr>
            <w:tcW w:w="120" w:type="dxa"/>
            <w:vAlign w:val="bottom"/>
            <w:shd w:val="clear" w:color="auto" w:fill="C0FFFF"/>
          </w:tcPr>
          <w:p>
            <w:pPr>
              <w:spacing w:after="0"/>
              <w:rPr>
                <w:sz w:val="3"/>
                <w:szCs w:val="3"/>
                <w:color w:val="auto"/>
              </w:rPr>
            </w:pPr>
          </w:p>
        </w:tc>
        <w:tc>
          <w:tcPr>
            <w:tcW w:w="1940" w:type="dxa"/>
            <w:vAlign w:val="bottom"/>
            <w:shd w:val="clear" w:color="auto" w:fill="C0FFFF"/>
          </w:tcPr>
          <w:p>
            <w:pPr>
              <w:spacing w:after="0"/>
              <w:rPr>
                <w:sz w:val="3"/>
                <w:szCs w:val="3"/>
                <w:color w:val="auto"/>
              </w:rPr>
            </w:pPr>
          </w:p>
        </w:tc>
        <w:tc>
          <w:tcPr>
            <w:tcW w:w="2140" w:type="dxa"/>
            <w:vAlign w:val="bottom"/>
            <w:shd w:val="clear" w:color="auto" w:fill="C0FFFF"/>
          </w:tcPr>
          <w:p>
            <w:pPr>
              <w:spacing w:after="0"/>
              <w:rPr>
                <w:sz w:val="3"/>
                <w:szCs w:val="3"/>
                <w:color w:val="auto"/>
              </w:rPr>
            </w:pPr>
          </w:p>
        </w:tc>
        <w:tc>
          <w:tcPr>
            <w:tcW w:w="3520" w:type="dxa"/>
            <w:vAlign w:val="bottom"/>
            <w:shd w:val="clear" w:color="auto" w:fill="C0FFFF"/>
          </w:tcPr>
          <w:p>
            <w:pPr>
              <w:spacing w:after="0"/>
              <w:rPr>
                <w:sz w:val="3"/>
                <w:szCs w:val="3"/>
                <w:color w:val="auto"/>
              </w:rPr>
            </w:pPr>
          </w:p>
        </w:tc>
        <w:tc>
          <w:tcPr>
            <w:tcW w:w="1100" w:type="dxa"/>
            <w:vAlign w:val="bottom"/>
            <w:shd w:val="clear" w:color="auto" w:fill="C0FFFF"/>
          </w:tcPr>
          <w:p>
            <w:pPr>
              <w:spacing w:after="0"/>
              <w:rPr>
                <w:sz w:val="3"/>
                <w:szCs w:val="3"/>
                <w:color w:val="auto"/>
              </w:rPr>
            </w:pPr>
          </w:p>
        </w:tc>
        <w:tc>
          <w:tcPr>
            <w:tcW w:w="1020" w:type="dxa"/>
            <w:vAlign w:val="bottom"/>
            <w:shd w:val="clear" w:color="auto" w:fill="C0FFFF"/>
          </w:tcPr>
          <w:p>
            <w:pPr>
              <w:spacing w:after="0"/>
              <w:rPr>
                <w:sz w:val="3"/>
                <w:szCs w:val="3"/>
                <w:color w:val="auto"/>
              </w:rPr>
            </w:pPr>
          </w:p>
        </w:tc>
        <w:tc>
          <w:tcPr>
            <w:tcW w:w="880" w:type="dxa"/>
            <w:vAlign w:val="bottom"/>
            <w:shd w:val="clear" w:color="auto" w:fill="C0FFFF"/>
          </w:tcPr>
          <w:p>
            <w:pPr>
              <w:spacing w:after="0"/>
              <w:rPr>
                <w:sz w:val="3"/>
                <w:szCs w:val="3"/>
                <w:color w:val="auto"/>
              </w:rPr>
            </w:pP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Denver Heavy-Duty</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Denver Medium-Duty</w:t>
            </w:r>
          </w:p>
        </w:tc>
        <w:tc>
          <w:tcPr>
            <w:tcW w:w="2140" w:type="dxa"/>
            <w:vAlign w:val="bottom"/>
            <w:shd w:val="clear" w:color="auto" w:fill="C0FFFF"/>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5"/>
              </w:rPr>
              <w:t>Ford, Isuzu</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Greeley</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Pueblo</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2"/>
        </w:trPr>
        <w:tc>
          <w:tcPr>
            <w:tcW w:w="2780" w:type="dxa"/>
            <w:vAlign w:val="bottom"/>
            <w:gridSpan w:val="5"/>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Florida:</w:t>
            </w:r>
          </w:p>
        </w:tc>
        <w:tc>
          <w:tcPr>
            <w:tcW w:w="2140" w:type="dxa"/>
            <w:vAlign w:val="bottom"/>
            <w:shd w:val="clear" w:color="auto" w:fill="C0FFFF"/>
          </w:tcPr>
          <w:p>
            <w:pPr>
              <w:spacing w:after="0"/>
              <w:rPr>
                <w:sz w:val="13"/>
                <w:szCs w:val="13"/>
                <w:color w:val="auto"/>
              </w:rPr>
            </w:pPr>
          </w:p>
        </w:tc>
        <w:tc>
          <w:tcPr>
            <w:tcW w:w="3520" w:type="dxa"/>
            <w:vAlign w:val="bottom"/>
            <w:shd w:val="clear" w:color="auto" w:fill="C0FFFF"/>
          </w:tcPr>
          <w:p>
            <w:pPr>
              <w:spacing w:after="0"/>
              <w:rPr>
                <w:sz w:val="13"/>
                <w:szCs w:val="13"/>
                <w:color w:val="auto"/>
              </w:rPr>
            </w:pPr>
          </w:p>
        </w:tc>
        <w:tc>
          <w:tcPr>
            <w:tcW w:w="110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r>
      <w:tr>
        <w:trPr>
          <w:trHeight w:val="35"/>
        </w:trPr>
        <w:tc>
          <w:tcPr>
            <w:tcW w:w="420" w:type="dxa"/>
            <w:vAlign w:val="bottom"/>
            <w:shd w:val="clear" w:color="auto" w:fill="000000"/>
          </w:tcPr>
          <w:p>
            <w:pPr>
              <w:spacing w:after="0"/>
              <w:rPr>
                <w:sz w:val="3"/>
                <w:szCs w:val="3"/>
                <w:color w:val="auto"/>
              </w:rPr>
            </w:pPr>
          </w:p>
        </w:tc>
        <w:tc>
          <w:tcPr>
            <w:tcW w:w="220" w:type="dxa"/>
            <w:vAlign w:val="bottom"/>
            <w:tcBorders>
              <w:right w:val="single" w:sz="8" w:color="C0FFFF"/>
            </w:tcBorders>
            <w:shd w:val="clear" w:color="auto" w:fill="000000"/>
          </w:tcPr>
          <w:p>
            <w:pPr>
              <w:spacing w:after="0"/>
              <w:rPr>
                <w:sz w:val="3"/>
                <w:szCs w:val="3"/>
                <w:color w:val="auto"/>
              </w:rPr>
            </w:pPr>
          </w:p>
        </w:tc>
        <w:tc>
          <w:tcPr>
            <w:tcW w:w="80" w:type="dxa"/>
            <w:vAlign w:val="bottom"/>
            <w:shd w:val="clear" w:color="auto" w:fill="C0FFFF"/>
          </w:tcPr>
          <w:p>
            <w:pPr>
              <w:spacing w:after="0"/>
              <w:rPr>
                <w:sz w:val="3"/>
                <w:szCs w:val="3"/>
                <w:color w:val="auto"/>
              </w:rPr>
            </w:pPr>
          </w:p>
        </w:tc>
        <w:tc>
          <w:tcPr>
            <w:tcW w:w="120" w:type="dxa"/>
            <w:vAlign w:val="bottom"/>
            <w:shd w:val="clear" w:color="auto" w:fill="C0FFFF"/>
          </w:tcPr>
          <w:p>
            <w:pPr>
              <w:spacing w:after="0"/>
              <w:rPr>
                <w:sz w:val="3"/>
                <w:szCs w:val="3"/>
                <w:color w:val="auto"/>
              </w:rPr>
            </w:pPr>
          </w:p>
        </w:tc>
        <w:tc>
          <w:tcPr>
            <w:tcW w:w="1940" w:type="dxa"/>
            <w:vAlign w:val="bottom"/>
            <w:shd w:val="clear" w:color="auto" w:fill="C0FFFF"/>
          </w:tcPr>
          <w:p>
            <w:pPr>
              <w:spacing w:after="0"/>
              <w:rPr>
                <w:sz w:val="3"/>
                <w:szCs w:val="3"/>
                <w:color w:val="auto"/>
              </w:rPr>
            </w:pPr>
          </w:p>
        </w:tc>
        <w:tc>
          <w:tcPr>
            <w:tcW w:w="2140" w:type="dxa"/>
            <w:vAlign w:val="bottom"/>
            <w:shd w:val="clear" w:color="auto" w:fill="C0FFFF"/>
          </w:tcPr>
          <w:p>
            <w:pPr>
              <w:spacing w:after="0"/>
              <w:rPr>
                <w:sz w:val="3"/>
                <w:szCs w:val="3"/>
                <w:color w:val="auto"/>
              </w:rPr>
            </w:pPr>
          </w:p>
        </w:tc>
        <w:tc>
          <w:tcPr>
            <w:tcW w:w="3520" w:type="dxa"/>
            <w:vAlign w:val="bottom"/>
            <w:shd w:val="clear" w:color="auto" w:fill="C0FFFF"/>
          </w:tcPr>
          <w:p>
            <w:pPr>
              <w:spacing w:after="0"/>
              <w:rPr>
                <w:sz w:val="3"/>
                <w:szCs w:val="3"/>
                <w:color w:val="auto"/>
              </w:rPr>
            </w:pPr>
          </w:p>
        </w:tc>
        <w:tc>
          <w:tcPr>
            <w:tcW w:w="1100" w:type="dxa"/>
            <w:vAlign w:val="bottom"/>
            <w:shd w:val="clear" w:color="auto" w:fill="C0FFFF"/>
          </w:tcPr>
          <w:p>
            <w:pPr>
              <w:spacing w:after="0"/>
              <w:rPr>
                <w:sz w:val="3"/>
                <w:szCs w:val="3"/>
                <w:color w:val="auto"/>
              </w:rPr>
            </w:pPr>
          </w:p>
        </w:tc>
        <w:tc>
          <w:tcPr>
            <w:tcW w:w="1020" w:type="dxa"/>
            <w:vAlign w:val="bottom"/>
            <w:shd w:val="clear" w:color="auto" w:fill="C0FFFF"/>
          </w:tcPr>
          <w:p>
            <w:pPr>
              <w:spacing w:after="0"/>
              <w:rPr>
                <w:sz w:val="3"/>
                <w:szCs w:val="3"/>
                <w:color w:val="auto"/>
              </w:rPr>
            </w:pPr>
          </w:p>
        </w:tc>
        <w:tc>
          <w:tcPr>
            <w:tcW w:w="880" w:type="dxa"/>
            <w:vAlign w:val="bottom"/>
            <w:shd w:val="clear" w:color="auto" w:fill="C0FFFF"/>
          </w:tcPr>
          <w:p>
            <w:pPr>
              <w:spacing w:after="0"/>
              <w:rPr>
                <w:sz w:val="3"/>
                <w:szCs w:val="3"/>
                <w:color w:val="auto"/>
              </w:rPr>
            </w:pP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Haines City</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Jacksonville</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7"/>
              </w:rPr>
              <w:t>Peterbilt, Hino</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Orlando Heavy-Duty</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Peterbilt, Isuzu</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Orlando Light &amp; Medium-Duty</w:t>
            </w:r>
          </w:p>
        </w:tc>
        <w:tc>
          <w:tcPr>
            <w:tcW w:w="2140" w:type="dxa"/>
            <w:vAlign w:val="bottom"/>
            <w:shd w:val="clear" w:color="auto" w:fill="C0FFFF"/>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9"/>
              </w:rPr>
              <w:t>Ford</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Orlando South</w:t>
            </w:r>
          </w:p>
        </w:tc>
        <w:tc>
          <w:tcPr>
            <w:tcW w:w="214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Isuzu</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Tampa</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2"/>
        </w:trPr>
        <w:tc>
          <w:tcPr>
            <w:tcW w:w="2780" w:type="dxa"/>
            <w:vAlign w:val="bottom"/>
            <w:gridSpan w:val="5"/>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Georgia:</w:t>
            </w:r>
          </w:p>
        </w:tc>
        <w:tc>
          <w:tcPr>
            <w:tcW w:w="2140" w:type="dxa"/>
            <w:vAlign w:val="bottom"/>
            <w:shd w:val="clear" w:color="auto" w:fill="C0FFFF"/>
          </w:tcPr>
          <w:p>
            <w:pPr>
              <w:spacing w:after="0"/>
              <w:rPr>
                <w:sz w:val="13"/>
                <w:szCs w:val="13"/>
                <w:color w:val="auto"/>
              </w:rPr>
            </w:pPr>
          </w:p>
        </w:tc>
        <w:tc>
          <w:tcPr>
            <w:tcW w:w="3520" w:type="dxa"/>
            <w:vAlign w:val="bottom"/>
            <w:shd w:val="clear" w:color="auto" w:fill="C0FFFF"/>
          </w:tcPr>
          <w:p>
            <w:pPr>
              <w:spacing w:after="0"/>
              <w:rPr>
                <w:sz w:val="13"/>
                <w:szCs w:val="13"/>
                <w:color w:val="auto"/>
              </w:rPr>
            </w:pPr>
          </w:p>
        </w:tc>
        <w:tc>
          <w:tcPr>
            <w:tcW w:w="110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r>
      <w:tr>
        <w:trPr>
          <w:trHeight w:val="35"/>
        </w:trPr>
        <w:tc>
          <w:tcPr>
            <w:tcW w:w="420" w:type="dxa"/>
            <w:vAlign w:val="bottom"/>
            <w:shd w:val="clear" w:color="auto" w:fill="000000"/>
          </w:tcPr>
          <w:p>
            <w:pPr>
              <w:spacing w:after="0"/>
              <w:rPr>
                <w:sz w:val="3"/>
                <w:szCs w:val="3"/>
                <w:color w:val="auto"/>
              </w:rPr>
            </w:pPr>
          </w:p>
        </w:tc>
        <w:tc>
          <w:tcPr>
            <w:tcW w:w="22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C0FFFF"/>
          </w:tcPr>
          <w:p>
            <w:pPr>
              <w:spacing w:after="0"/>
              <w:rPr>
                <w:sz w:val="3"/>
                <w:szCs w:val="3"/>
                <w:color w:val="auto"/>
              </w:rPr>
            </w:pPr>
          </w:p>
        </w:tc>
        <w:tc>
          <w:tcPr>
            <w:tcW w:w="120" w:type="dxa"/>
            <w:vAlign w:val="bottom"/>
            <w:shd w:val="clear" w:color="auto" w:fill="C0FFFF"/>
          </w:tcPr>
          <w:p>
            <w:pPr>
              <w:spacing w:after="0"/>
              <w:rPr>
                <w:sz w:val="3"/>
                <w:szCs w:val="3"/>
                <w:color w:val="auto"/>
              </w:rPr>
            </w:pPr>
          </w:p>
        </w:tc>
        <w:tc>
          <w:tcPr>
            <w:tcW w:w="1940" w:type="dxa"/>
            <w:vAlign w:val="bottom"/>
            <w:shd w:val="clear" w:color="auto" w:fill="C0FFFF"/>
          </w:tcPr>
          <w:p>
            <w:pPr>
              <w:spacing w:after="0"/>
              <w:rPr>
                <w:sz w:val="3"/>
                <w:szCs w:val="3"/>
                <w:color w:val="auto"/>
              </w:rPr>
            </w:pPr>
          </w:p>
        </w:tc>
        <w:tc>
          <w:tcPr>
            <w:tcW w:w="2140" w:type="dxa"/>
            <w:vAlign w:val="bottom"/>
            <w:shd w:val="clear" w:color="auto" w:fill="C0FFFF"/>
          </w:tcPr>
          <w:p>
            <w:pPr>
              <w:spacing w:after="0"/>
              <w:rPr>
                <w:sz w:val="3"/>
                <w:szCs w:val="3"/>
                <w:color w:val="auto"/>
              </w:rPr>
            </w:pPr>
          </w:p>
        </w:tc>
        <w:tc>
          <w:tcPr>
            <w:tcW w:w="3520" w:type="dxa"/>
            <w:vAlign w:val="bottom"/>
            <w:shd w:val="clear" w:color="auto" w:fill="C0FFFF"/>
          </w:tcPr>
          <w:p>
            <w:pPr>
              <w:spacing w:after="0"/>
              <w:rPr>
                <w:sz w:val="3"/>
                <w:szCs w:val="3"/>
                <w:color w:val="auto"/>
              </w:rPr>
            </w:pPr>
          </w:p>
        </w:tc>
        <w:tc>
          <w:tcPr>
            <w:tcW w:w="1100" w:type="dxa"/>
            <w:vAlign w:val="bottom"/>
            <w:shd w:val="clear" w:color="auto" w:fill="C0FFFF"/>
          </w:tcPr>
          <w:p>
            <w:pPr>
              <w:spacing w:after="0"/>
              <w:rPr>
                <w:sz w:val="3"/>
                <w:szCs w:val="3"/>
                <w:color w:val="auto"/>
              </w:rPr>
            </w:pPr>
          </w:p>
        </w:tc>
        <w:tc>
          <w:tcPr>
            <w:tcW w:w="1020" w:type="dxa"/>
            <w:vAlign w:val="bottom"/>
            <w:shd w:val="clear" w:color="auto" w:fill="C0FFFF"/>
          </w:tcPr>
          <w:p>
            <w:pPr>
              <w:spacing w:after="0"/>
              <w:rPr>
                <w:sz w:val="3"/>
                <w:szCs w:val="3"/>
                <w:color w:val="auto"/>
              </w:rPr>
            </w:pPr>
          </w:p>
        </w:tc>
        <w:tc>
          <w:tcPr>
            <w:tcW w:w="880" w:type="dxa"/>
            <w:vAlign w:val="bottom"/>
            <w:shd w:val="clear" w:color="auto" w:fill="C0FFFF"/>
          </w:tcPr>
          <w:p>
            <w:pPr>
              <w:spacing w:after="0"/>
              <w:rPr>
                <w:sz w:val="3"/>
                <w:szCs w:val="3"/>
                <w:color w:val="auto"/>
              </w:rPr>
            </w:pP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Atlanta</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35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Hino, Isuzu, IC Bus</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Atlanta Bus Center</w:t>
            </w:r>
          </w:p>
        </w:tc>
        <w:tc>
          <w:tcPr>
            <w:tcW w:w="2140" w:type="dxa"/>
            <w:vAlign w:val="bottom"/>
            <w:shd w:val="clear" w:color="auto" w:fill="C0FFFF"/>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7"/>
              </w:rPr>
              <w:t>IC Bus</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Columbus</w:t>
            </w:r>
          </w:p>
        </w:tc>
        <w:tc>
          <w:tcPr>
            <w:tcW w:w="214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7"/>
              </w:rPr>
              <w:t>None</w:t>
            </w:r>
          </w:p>
        </w:tc>
        <w:tc>
          <w:tcPr>
            <w:tcW w:w="35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Isuzu</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Doraville</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352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Hino, Isuzu, IC Bus</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Smyrna</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35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Hino, Isuzu, IC Bus</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shd w:val="clear" w:color="auto" w:fill="C0FFFF"/>
          </w:tcPr>
          <w:p>
            <w:pPr>
              <w:spacing w:after="0"/>
              <w:rPr>
                <w:sz w:val="16"/>
                <w:szCs w:val="16"/>
                <w:color w:val="auto"/>
              </w:rPr>
            </w:pPr>
          </w:p>
        </w:tc>
        <w:tc>
          <w:tcPr>
            <w:tcW w:w="2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2140" w:type="dxa"/>
            <w:vAlign w:val="bottom"/>
            <w:shd w:val="clear" w:color="auto" w:fill="C0FFFF"/>
          </w:tcPr>
          <w:p>
            <w:pPr>
              <w:spacing w:after="0"/>
              <w:rPr>
                <w:sz w:val="16"/>
                <w:szCs w:val="16"/>
                <w:color w:val="auto"/>
              </w:rPr>
            </w:pPr>
          </w:p>
        </w:tc>
        <w:tc>
          <w:tcPr>
            <w:tcW w:w="35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152"/>
        </w:trPr>
        <w:tc>
          <w:tcPr>
            <w:tcW w:w="2780" w:type="dxa"/>
            <w:vAlign w:val="bottom"/>
            <w:gridSpan w:val="5"/>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Idaho:</w:t>
            </w:r>
          </w:p>
        </w:tc>
        <w:tc>
          <w:tcPr>
            <w:tcW w:w="2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7"/>
        </w:trPr>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4"/>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Boise</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352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IC Bus, Autocar, Kalmar</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Idaho Falls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35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International, IC Bus, Kalmar</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Lewiston</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7"/>
              </w:rPr>
              <w:t>International</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Twin Falls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7"/>
              </w:rPr>
              <w:t>International</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shd w:val="clear" w:color="auto" w:fill="C0FFFF"/>
          </w:tcPr>
          <w:p>
            <w:pPr>
              <w:spacing w:after="0"/>
              <w:rPr>
                <w:sz w:val="16"/>
                <w:szCs w:val="16"/>
                <w:color w:val="auto"/>
              </w:rPr>
            </w:pPr>
          </w:p>
        </w:tc>
        <w:tc>
          <w:tcPr>
            <w:tcW w:w="2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2140" w:type="dxa"/>
            <w:vAlign w:val="bottom"/>
            <w:shd w:val="clear" w:color="auto" w:fill="C0FFFF"/>
          </w:tcPr>
          <w:p>
            <w:pPr>
              <w:spacing w:after="0"/>
              <w:rPr>
                <w:sz w:val="16"/>
                <w:szCs w:val="16"/>
                <w:color w:val="auto"/>
              </w:rPr>
            </w:pPr>
          </w:p>
        </w:tc>
        <w:tc>
          <w:tcPr>
            <w:tcW w:w="35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152"/>
        </w:trPr>
        <w:tc>
          <w:tcPr>
            <w:tcW w:w="2780" w:type="dxa"/>
            <w:vAlign w:val="bottom"/>
            <w:gridSpan w:val="5"/>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New Mexico:</w:t>
            </w:r>
          </w:p>
        </w:tc>
        <w:tc>
          <w:tcPr>
            <w:tcW w:w="2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7"/>
        </w:trPr>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4"/>
        </w:trPr>
        <w:tc>
          <w:tcPr>
            <w:tcW w:w="2780" w:type="dxa"/>
            <w:vAlign w:val="bottom"/>
            <w:gridSpan w:val="5"/>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Albuquerque</w:t>
            </w:r>
          </w:p>
        </w:tc>
        <w:tc>
          <w:tcPr>
            <w:tcW w:w="21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shd w:val="clear" w:color="auto" w:fill="C0FFFF"/>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Las Cruces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352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5"/>
              </w:rPr>
              <w:t>Peterbilt</w:t>
            </w:r>
          </w:p>
        </w:tc>
        <w:tc>
          <w:tcPr>
            <w:tcW w:w="11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shd w:val="clear" w:color="auto" w:fill="C0FFFF"/>
          </w:tcPr>
          <w:p>
            <w:pPr>
              <w:spacing w:after="0"/>
              <w:rPr>
                <w:sz w:val="16"/>
                <w:szCs w:val="16"/>
                <w:color w:val="auto"/>
              </w:rPr>
            </w:pPr>
          </w:p>
        </w:tc>
        <w:tc>
          <w:tcPr>
            <w:tcW w:w="2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2140" w:type="dxa"/>
            <w:vAlign w:val="bottom"/>
            <w:shd w:val="clear" w:color="auto" w:fill="C0FFFF"/>
          </w:tcPr>
          <w:p>
            <w:pPr>
              <w:spacing w:after="0"/>
              <w:rPr>
                <w:sz w:val="16"/>
                <w:szCs w:val="16"/>
                <w:color w:val="auto"/>
              </w:rPr>
            </w:pPr>
          </w:p>
        </w:tc>
        <w:tc>
          <w:tcPr>
            <w:tcW w:w="35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524"/>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520" w:type="dxa"/>
            <w:vAlign w:val="bottom"/>
          </w:tcPr>
          <w:p>
            <w:pPr>
              <w:jc w:val="right"/>
              <w:ind w:right="2602"/>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1"/>
        </w:trPr>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7"/>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gridSpan w:val="2"/>
          </w:tcPr>
          <w:p>
            <w:pPr>
              <w:jc w:val="center"/>
              <w:ind w:right="502"/>
              <w:spacing w:after="0"/>
              <w:rPr>
                <w:sz w:val="20"/>
                <w:szCs w:val="20"/>
                <w:color w:val="auto"/>
              </w:rPr>
            </w:pPr>
            <w:r>
              <w:rPr>
                <w:rFonts w:ascii="Times New Roman" w:cs="Times New Roman" w:eastAsia="Times New Roman" w:hAnsi="Times New Roman"/>
                <w:sz w:val="16"/>
                <w:szCs w:val="16"/>
                <w:b w:val="1"/>
                <w:bCs w:val="1"/>
                <w:color w:val="auto"/>
                <w:w w:val="95"/>
              </w:rPr>
              <w:t>Rush Truck Center</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6"/>
              </w:rPr>
              <w:t>Heavy-Duty</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Medium-Duty, Light-Duty and</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Body</w:t>
            </w:r>
          </w:p>
        </w:tc>
      </w:tr>
      <w:tr>
        <w:trPr>
          <w:trHeight w:val="205"/>
        </w:trPr>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822"/>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90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7"/>
              </w:rPr>
              <w:t>Franchise(s)</w:t>
            </w:r>
          </w:p>
        </w:tc>
        <w:tc>
          <w:tcPr>
            <w:tcW w:w="398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6"/>
              </w:rPr>
              <w:t>Bus Franchise(s)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Parts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Service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Shop</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4"/>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7"/>
        </w:trPr>
        <w:tc>
          <w:tcPr>
            <w:tcW w:w="1040" w:type="dxa"/>
            <w:vAlign w:val="bottom"/>
            <w:tcBorders>
              <w:bottom w:val="single" w:sz="8" w:color="auto"/>
            </w:tcBorders>
            <w:gridSpan w:val="5"/>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5"/>
              </w:rPr>
              <w:t>North Carolina:</w:t>
            </w:r>
          </w:p>
        </w:tc>
        <w:tc>
          <w:tcPr>
            <w:tcW w:w="1740" w:type="dxa"/>
            <w:vAlign w:val="bottom"/>
            <w:tcBorders>
              <w:bottom w:val="single" w:sz="8" w:color="C0FFFF"/>
            </w:tcBorders>
            <w:shd w:val="clear" w:color="auto" w:fill="C0FFFF"/>
          </w:tcPr>
          <w:p>
            <w:pPr>
              <w:spacing w:after="0"/>
              <w:rPr>
                <w:sz w:val="14"/>
                <w:szCs w:val="14"/>
                <w:color w:val="auto"/>
              </w:rPr>
            </w:pPr>
          </w:p>
        </w:tc>
        <w:tc>
          <w:tcPr>
            <w:tcW w:w="1900" w:type="dxa"/>
            <w:vAlign w:val="bottom"/>
            <w:tcBorders>
              <w:bottom w:val="single" w:sz="8" w:color="C0FFFF"/>
            </w:tcBorders>
            <w:shd w:val="clear" w:color="auto" w:fill="C0FFFF"/>
          </w:tcPr>
          <w:p>
            <w:pPr>
              <w:spacing w:after="0"/>
              <w:rPr>
                <w:sz w:val="14"/>
                <w:szCs w:val="14"/>
                <w:color w:val="auto"/>
              </w:rPr>
            </w:pPr>
          </w:p>
        </w:tc>
        <w:tc>
          <w:tcPr>
            <w:tcW w:w="3980" w:type="dxa"/>
            <w:vAlign w:val="bottom"/>
            <w:tcBorders>
              <w:bottom w:val="single" w:sz="8" w:color="C0FFFF"/>
            </w:tcBorders>
            <w:shd w:val="clear" w:color="auto" w:fill="C0FFFF"/>
          </w:tcPr>
          <w:p>
            <w:pPr>
              <w:spacing w:after="0"/>
              <w:rPr>
                <w:sz w:val="14"/>
                <w:szCs w:val="14"/>
                <w:color w:val="auto"/>
              </w:rPr>
            </w:pPr>
          </w:p>
        </w:tc>
        <w:tc>
          <w:tcPr>
            <w:tcW w:w="880" w:type="dxa"/>
            <w:vAlign w:val="bottom"/>
            <w:tcBorders>
              <w:bottom w:val="single" w:sz="8" w:color="C0FFFF"/>
            </w:tcBorders>
            <w:shd w:val="clear" w:color="auto" w:fill="C0FFFF"/>
          </w:tcPr>
          <w:p>
            <w:pPr>
              <w:spacing w:after="0"/>
              <w:rPr>
                <w:sz w:val="14"/>
                <w:szCs w:val="14"/>
                <w:color w:val="auto"/>
              </w:rPr>
            </w:pPr>
          </w:p>
        </w:tc>
        <w:tc>
          <w:tcPr>
            <w:tcW w:w="1020" w:type="dxa"/>
            <w:vAlign w:val="bottom"/>
            <w:tcBorders>
              <w:bottom w:val="single" w:sz="8" w:color="C0FFFF"/>
            </w:tcBorders>
            <w:shd w:val="clear" w:color="auto" w:fill="C0FFFF"/>
          </w:tcPr>
          <w:p>
            <w:pPr>
              <w:spacing w:after="0"/>
              <w:rPr>
                <w:sz w:val="14"/>
                <w:szCs w:val="14"/>
                <w:color w:val="auto"/>
              </w:rPr>
            </w:pPr>
          </w:p>
        </w:tc>
        <w:tc>
          <w:tcPr>
            <w:tcW w:w="880" w:type="dxa"/>
            <w:vAlign w:val="bottom"/>
            <w:tcBorders>
              <w:bottom w:val="single" w:sz="8" w:color="C0FFFF"/>
            </w:tcBorders>
            <w:shd w:val="clear" w:color="auto" w:fill="C0FFFF"/>
          </w:tcPr>
          <w:p>
            <w:pPr>
              <w:spacing w:after="0"/>
              <w:rPr>
                <w:sz w:val="14"/>
                <w:szCs w:val="14"/>
                <w:color w:val="auto"/>
              </w:rPr>
            </w:pP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Charlotte</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Peterbilt, Hino, Isuzu</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Charlotte</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International</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2"/>
        </w:trPr>
        <w:tc>
          <w:tcPr>
            <w:tcW w:w="2780" w:type="dxa"/>
            <w:vAlign w:val="bottom"/>
            <w:gridSpan w:val="6"/>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Ohio:</w:t>
            </w:r>
          </w:p>
        </w:tc>
        <w:tc>
          <w:tcPr>
            <w:tcW w:w="1900" w:type="dxa"/>
            <w:vAlign w:val="bottom"/>
            <w:shd w:val="clear" w:color="auto" w:fill="C0FFFF"/>
          </w:tcPr>
          <w:p>
            <w:pPr>
              <w:spacing w:after="0"/>
              <w:rPr>
                <w:sz w:val="13"/>
                <w:szCs w:val="13"/>
                <w:color w:val="auto"/>
              </w:rPr>
            </w:pPr>
          </w:p>
        </w:tc>
        <w:tc>
          <w:tcPr>
            <w:tcW w:w="398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r>
      <w:tr>
        <w:trPr>
          <w:trHeight w:val="35"/>
        </w:trPr>
        <w:tc>
          <w:tcPr>
            <w:tcW w:w="420" w:type="dxa"/>
            <w:vAlign w:val="bottom"/>
            <w:tcBorders>
              <w:right w:val="single" w:sz="8" w:color="C0FFFF"/>
            </w:tcBorders>
            <w:shd w:val="clear" w:color="auto" w:fill="000000"/>
          </w:tcPr>
          <w:p>
            <w:pPr>
              <w:spacing w:after="0"/>
              <w:rPr>
                <w:sz w:val="3"/>
                <w:szCs w:val="3"/>
                <w:color w:val="auto"/>
              </w:rPr>
            </w:pPr>
          </w:p>
        </w:tc>
        <w:tc>
          <w:tcPr>
            <w:tcW w:w="100" w:type="dxa"/>
            <w:vAlign w:val="bottom"/>
            <w:shd w:val="clear" w:color="auto" w:fill="C0FFFF"/>
          </w:tcPr>
          <w:p>
            <w:pPr>
              <w:spacing w:after="0"/>
              <w:rPr>
                <w:sz w:val="3"/>
                <w:szCs w:val="3"/>
                <w:color w:val="auto"/>
              </w:rPr>
            </w:pPr>
          </w:p>
        </w:tc>
        <w:tc>
          <w:tcPr>
            <w:tcW w:w="180" w:type="dxa"/>
            <w:vAlign w:val="bottom"/>
            <w:shd w:val="clear" w:color="auto" w:fill="C0FFFF"/>
          </w:tcPr>
          <w:p>
            <w:pPr>
              <w:spacing w:after="0"/>
              <w:rPr>
                <w:sz w:val="3"/>
                <w:szCs w:val="3"/>
                <w:color w:val="auto"/>
              </w:rPr>
            </w:pPr>
          </w:p>
        </w:tc>
        <w:tc>
          <w:tcPr>
            <w:tcW w:w="20" w:type="dxa"/>
            <w:vAlign w:val="bottom"/>
            <w:shd w:val="clear" w:color="auto" w:fill="C0FFFF"/>
          </w:tcPr>
          <w:p>
            <w:pPr>
              <w:spacing w:after="0"/>
              <w:rPr>
                <w:sz w:val="3"/>
                <w:szCs w:val="3"/>
                <w:color w:val="auto"/>
              </w:rPr>
            </w:pPr>
          </w:p>
        </w:tc>
        <w:tc>
          <w:tcPr>
            <w:tcW w:w="320" w:type="dxa"/>
            <w:vAlign w:val="bottom"/>
            <w:shd w:val="clear" w:color="auto" w:fill="C0FFFF"/>
          </w:tcPr>
          <w:p>
            <w:pPr>
              <w:spacing w:after="0"/>
              <w:rPr>
                <w:sz w:val="3"/>
                <w:szCs w:val="3"/>
                <w:color w:val="auto"/>
              </w:rPr>
            </w:pPr>
          </w:p>
        </w:tc>
        <w:tc>
          <w:tcPr>
            <w:tcW w:w="1740" w:type="dxa"/>
            <w:vAlign w:val="bottom"/>
            <w:shd w:val="clear" w:color="auto" w:fill="C0FFFF"/>
          </w:tcPr>
          <w:p>
            <w:pPr>
              <w:spacing w:after="0"/>
              <w:rPr>
                <w:sz w:val="3"/>
                <w:szCs w:val="3"/>
                <w:color w:val="auto"/>
              </w:rPr>
            </w:pPr>
          </w:p>
        </w:tc>
        <w:tc>
          <w:tcPr>
            <w:tcW w:w="1900" w:type="dxa"/>
            <w:vAlign w:val="bottom"/>
            <w:shd w:val="clear" w:color="auto" w:fill="C0FFFF"/>
          </w:tcPr>
          <w:p>
            <w:pPr>
              <w:spacing w:after="0"/>
              <w:rPr>
                <w:sz w:val="3"/>
                <w:szCs w:val="3"/>
                <w:color w:val="auto"/>
              </w:rPr>
            </w:pPr>
          </w:p>
        </w:tc>
        <w:tc>
          <w:tcPr>
            <w:tcW w:w="3980" w:type="dxa"/>
            <w:vAlign w:val="bottom"/>
            <w:shd w:val="clear" w:color="auto" w:fill="C0FFFF"/>
          </w:tcPr>
          <w:p>
            <w:pPr>
              <w:spacing w:after="0"/>
              <w:rPr>
                <w:sz w:val="3"/>
                <w:szCs w:val="3"/>
                <w:color w:val="auto"/>
              </w:rPr>
            </w:pPr>
          </w:p>
        </w:tc>
        <w:tc>
          <w:tcPr>
            <w:tcW w:w="880" w:type="dxa"/>
            <w:vAlign w:val="bottom"/>
            <w:shd w:val="clear" w:color="auto" w:fill="C0FFFF"/>
          </w:tcPr>
          <w:p>
            <w:pPr>
              <w:spacing w:after="0"/>
              <w:rPr>
                <w:sz w:val="3"/>
                <w:szCs w:val="3"/>
                <w:color w:val="auto"/>
              </w:rPr>
            </w:pPr>
          </w:p>
        </w:tc>
        <w:tc>
          <w:tcPr>
            <w:tcW w:w="1020" w:type="dxa"/>
            <w:vAlign w:val="bottom"/>
            <w:shd w:val="clear" w:color="auto" w:fill="C0FFFF"/>
          </w:tcPr>
          <w:p>
            <w:pPr>
              <w:spacing w:after="0"/>
              <w:rPr>
                <w:sz w:val="3"/>
                <w:szCs w:val="3"/>
                <w:color w:val="auto"/>
              </w:rPr>
            </w:pPr>
          </w:p>
        </w:tc>
        <w:tc>
          <w:tcPr>
            <w:tcW w:w="880" w:type="dxa"/>
            <w:vAlign w:val="bottom"/>
            <w:shd w:val="clear" w:color="auto" w:fill="C0FFFF"/>
          </w:tcPr>
          <w:p>
            <w:pPr>
              <w:spacing w:after="0"/>
              <w:rPr>
                <w:sz w:val="3"/>
                <w:szCs w:val="3"/>
                <w:color w:val="auto"/>
              </w:rPr>
            </w:pP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Akron</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International, IC Bus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Cincinnati</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IC Bus, Isuzu</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Cleveland</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International, IC Bus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Columbus West</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IC Bus, Isuzu</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Dayton</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IC Bus, Isuzu</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Findlay</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shd w:val="clear" w:color="auto" w:fill="C0FFFF"/>
          </w:tcPr>
          <w:p>
            <w:pPr>
              <w:jc w:val="center"/>
              <w:ind w:left="82"/>
              <w:spacing w:after="0"/>
              <w:rPr>
                <w:sz w:val="20"/>
                <w:szCs w:val="20"/>
                <w:color w:val="auto"/>
              </w:rPr>
            </w:pPr>
            <w:r>
              <w:rPr>
                <w:rFonts w:ascii="Times New Roman" w:cs="Times New Roman" w:eastAsia="Times New Roman" w:hAnsi="Times New Roman"/>
                <w:sz w:val="16"/>
                <w:szCs w:val="16"/>
                <w:color w:val="auto"/>
                <w:w w:val="96"/>
              </w:rPr>
              <w:t>International, IC Bus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Lima</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International, IC Bus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tcBorders>
              <w:right w:val="single" w:sz="8" w:color="C0FFFF"/>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740" w:type="dxa"/>
            <w:vAlign w:val="bottom"/>
            <w:shd w:val="clear" w:color="auto" w:fill="C0FFFF"/>
          </w:tcPr>
          <w:p>
            <w:pPr>
              <w:spacing w:after="0"/>
              <w:rPr>
                <w:sz w:val="16"/>
                <w:szCs w:val="16"/>
                <w:color w:val="auto"/>
              </w:rPr>
            </w:pPr>
          </w:p>
        </w:tc>
        <w:tc>
          <w:tcPr>
            <w:tcW w:w="1900" w:type="dxa"/>
            <w:vAlign w:val="bottom"/>
            <w:shd w:val="clear" w:color="auto" w:fill="C0FFFF"/>
          </w:tcPr>
          <w:p>
            <w:pPr>
              <w:spacing w:after="0"/>
              <w:rPr>
                <w:sz w:val="16"/>
                <w:szCs w:val="16"/>
                <w:color w:val="auto"/>
              </w:rPr>
            </w:pPr>
          </w:p>
        </w:tc>
        <w:tc>
          <w:tcPr>
            <w:tcW w:w="398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159"/>
        </w:trPr>
        <w:tc>
          <w:tcPr>
            <w:tcW w:w="720" w:type="dxa"/>
            <w:vAlign w:val="bottom"/>
            <w:tcBorders>
              <w:bottom w:val="single" w:sz="8" w:color="auto"/>
            </w:tcBorders>
            <w:gridSpan w:val="4"/>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3"/>
              </w:rPr>
              <w:t>Oklahoma:</w:t>
            </w:r>
          </w:p>
        </w:tc>
        <w:tc>
          <w:tcPr>
            <w:tcW w:w="206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4"/>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Ardmore</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5"/>
              </w:rPr>
              <w:t>Peterbilt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Oklahoma City</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Peterbilt, Hino, Ford, Isuzu</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Tulsa</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Hino</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2"/>
        </w:trPr>
        <w:tc>
          <w:tcPr>
            <w:tcW w:w="2780" w:type="dxa"/>
            <w:vAlign w:val="bottom"/>
            <w:gridSpan w:val="6"/>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Oregon:</w:t>
            </w:r>
          </w:p>
        </w:tc>
        <w:tc>
          <w:tcPr>
            <w:tcW w:w="1900" w:type="dxa"/>
            <w:vAlign w:val="bottom"/>
            <w:shd w:val="clear" w:color="auto" w:fill="C0FFFF"/>
          </w:tcPr>
          <w:p>
            <w:pPr>
              <w:spacing w:after="0"/>
              <w:rPr>
                <w:sz w:val="13"/>
                <w:szCs w:val="13"/>
                <w:color w:val="auto"/>
              </w:rPr>
            </w:pPr>
          </w:p>
        </w:tc>
        <w:tc>
          <w:tcPr>
            <w:tcW w:w="398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c>
          <w:tcPr>
            <w:tcW w:w="102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r>
      <w:tr>
        <w:trPr>
          <w:trHeight w:val="35"/>
        </w:trPr>
        <w:tc>
          <w:tcPr>
            <w:tcW w:w="42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80" w:type="dxa"/>
            <w:vAlign w:val="bottom"/>
            <w:shd w:val="clear" w:color="auto" w:fill="C0FFFF"/>
          </w:tcPr>
          <w:p>
            <w:pPr>
              <w:spacing w:after="0"/>
              <w:rPr>
                <w:sz w:val="3"/>
                <w:szCs w:val="3"/>
                <w:color w:val="auto"/>
              </w:rPr>
            </w:pPr>
          </w:p>
        </w:tc>
        <w:tc>
          <w:tcPr>
            <w:tcW w:w="20" w:type="dxa"/>
            <w:vAlign w:val="bottom"/>
            <w:shd w:val="clear" w:color="auto" w:fill="C0FFFF"/>
          </w:tcPr>
          <w:p>
            <w:pPr>
              <w:spacing w:after="0"/>
              <w:rPr>
                <w:sz w:val="3"/>
                <w:szCs w:val="3"/>
                <w:color w:val="auto"/>
              </w:rPr>
            </w:pPr>
          </w:p>
        </w:tc>
        <w:tc>
          <w:tcPr>
            <w:tcW w:w="320" w:type="dxa"/>
            <w:vAlign w:val="bottom"/>
            <w:shd w:val="clear" w:color="auto" w:fill="C0FFFF"/>
          </w:tcPr>
          <w:p>
            <w:pPr>
              <w:spacing w:after="0"/>
              <w:rPr>
                <w:sz w:val="3"/>
                <w:szCs w:val="3"/>
                <w:color w:val="auto"/>
              </w:rPr>
            </w:pPr>
          </w:p>
        </w:tc>
        <w:tc>
          <w:tcPr>
            <w:tcW w:w="1740" w:type="dxa"/>
            <w:vAlign w:val="bottom"/>
            <w:shd w:val="clear" w:color="auto" w:fill="C0FFFF"/>
          </w:tcPr>
          <w:p>
            <w:pPr>
              <w:spacing w:after="0"/>
              <w:rPr>
                <w:sz w:val="3"/>
                <w:szCs w:val="3"/>
                <w:color w:val="auto"/>
              </w:rPr>
            </w:pPr>
          </w:p>
        </w:tc>
        <w:tc>
          <w:tcPr>
            <w:tcW w:w="1900" w:type="dxa"/>
            <w:vAlign w:val="bottom"/>
            <w:shd w:val="clear" w:color="auto" w:fill="C0FFFF"/>
          </w:tcPr>
          <w:p>
            <w:pPr>
              <w:spacing w:after="0"/>
              <w:rPr>
                <w:sz w:val="3"/>
                <w:szCs w:val="3"/>
                <w:color w:val="auto"/>
              </w:rPr>
            </w:pPr>
          </w:p>
        </w:tc>
        <w:tc>
          <w:tcPr>
            <w:tcW w:w="3980" w:type="dxa"/>
            <w:vAlign w:val="bottom"/>
            <w:shd w:val="clear" w:color="auto" w:fill="C0FFFF"/>
          </w:tcPr>
          <w:p>
            <w:pPr>
              <w:spacing w:after="0"/>
              <w:rPr>
                <w:sz w:val="3"/>
                <w:szCs w:val="3"/>
                <w:color w:val="auto"/>
              </w:rPr>
            </w:pPr>
          </w:p>
        </w:tc>
        <w:tc>
          <w:tcPr>
            <w:tcW w:w="880" w:type="dxa"/>
            <w:vAlign w:val="bottom"/>
            <w:shd w:val="clear" w:color="auto" w:fill="C0FFFF"/>
          </w:tcPr>
          <w:p>
            <w:pPr>
              <w:spacing w:after="0"/>
              <w:rPr>
                <w:sz w:val="3"/>
                <w:szCs w:val="3"/>
                <w:color w:val="auto"/>
              </w:rPr>
            </w:pPr>
          </w:p>
        </w:tc>
        <w:tc>
          <w:tcPr>
            <w:tcW w:w="1020" w:type="dxa"/>
            <w:vAlign w:val="bottom"/>
            <w:shd w:val="clear" w:color="auto" w:fill="C0FFFF"/>
          </w:tcPr>
          <w:p>
            <w:pPr>
              <w:spacing w:after="0"/>
              <w:rPr>
                <w:sz w:val="3"/>
                <w:szCs w:val="3"/>
                <w:color w:val="auto"/>
              </w:rPr>
            </w:pPr>
          </w:p>
        </w:tc>
        <w:tc>
          <w:tcPr>
            <w:tcW w:w="880" w:type="dxa"/>
            <w:vAlign w:val="bottom"/>
            <w:shd w:val="clear" w:color="auto" w:fill="C0FFFF"/>
          </w:tcPr>
          <w:p>
            <w:pPr>
              <w:spacing w:after="0"/>
              <w:rPr>
                <w:sz w:val="3"/>
                <w:szCs w:val="3"/>
                <w:color w:val="auto"/>
              </w:rPr>
            </w:pP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Ontario</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International</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420" w:type="dxa"/>
            <w:vAlign w:val="bottom"/>
            <w:tcBorders>
              <w:right w:val="single" w:sz="8" w:color="C0FFFF"/>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740" w:type="dxa"/>
            <w:vAlign w:val="bottom"/>
            <w:shd w:val="clear" w:color="auto" w:fill="C0FFFF"/>
          </w:tcPr>
          <w:p>
            <w:pPr>
              <w:spacing w:after="0"/>
              <w:rPr>
                <w:sz w:val="16"/>
                <w:szCs w:val="16"/>
                <w:color w:val="auto"/>
              </w:rPr>
            </w:pPr>
          </w:p>
        </w:tc>
        <w:tc>
          <w:tcPr>
            <w:tcW w:w="1900" w:type="dxa"/>
            <w:vAlign w:val="bottom"/>
            <w:shd w:val="clear" w:color="auto" w:fill="C0FFFF"/>
          </w:tcPr>
          <w:p>
            <w:pPr>
              <w:spacing w:after="0"/>
              <w:rPr>
                <w:sz w:val="16"/>
                <w:szCs w:val="16"/>
                <w:color w:val="auto"/>
              </w:rPr>
            </w:pPr>
          </w:p>
        </w:tc>
        <w:tc>
          <w:tcPr>
            <w:tcW w:w="398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159"/>
        </w:trPr>
        <w:tc>
          <w:tcPr>
            <w:tcW w:w="700" w:type="dxa"/>
            <w:vAlign w:val="bottom"/>
            <w:tcBorders>
              <w:bottom w:val="single" w:sz="8" w:color="auto"/>
            </w:tcBorders>
            <w:gridSpan w:val="3"/>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2"/>
              </w:rPr>
              <w:t>Tennessee:</w:t>
            </w:r>
          </w:p>
        </w:tc>
        <w:tc>
          <w:tcPr>
            <w:tcW w:w="208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4"/>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Nashville</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5"/>
              </w:rPr>
              <w:t>Peterbilt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7"/>
        </w:trPr>
        <w:tc>
          <w:tcPr>
            <w:tcW w:w="420" w:type="dxa"/>
            <w:vAlign w:val="bottom"/>
            <w:tcBorders>
              <w:bottom w:val="single" w:sz="8" w:color="auto"/>
              <w:right w:val="single" w:sz="8" w:color="C0FFFF"/>
            </w:tcBorders>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85"/>
              </w:rPr>
              <w:t>Texas:</w:t>
            </w:r>
          </w:p>
        </w:tc>
        <w:tc>
          <w:tcPr>
            <w:tcW w:w="2360" w:type="dxa"/>
            <w:vAlign w:val="bottom"/>
            <w:tcBorders>
              <w:bottom w:val="single" w:sz="8" w:color="C0FFFF"/>
            </w:tcBorders>
            <w:gridSpan w:val="5"/>
            <w:shd w:val="clear" w:color="auto" w:fill="C0FFFF"/>
          </w:tcPr>
          <w:p>
            <w:pPr>
              <w:spacing w:after="0"/>
              <w:rPr>
                <w:sz w:val="14"/>
                <w:szCs w:val="14"/>
                <w:color w:val="auto"/>
              </w:rPr>
            </w:pPr>
          </w:p>
        </w:tc>
        <w:tc>
          <w:tcPr>
            <w:tcW w:w="1900" w:type="dxa"/>
            <w:vAlign w:val="bottom"/>
            <w:tcBorders>
              <w:bottom w:val="single" w:sz="8" w:color="C0FFFF"/>
            </w:tcBorders>
            <w:shd w:val="clear" w:color="auto" w:fill="C0FFFF"/>
          </w:tcPr>
          <w:p>
            <w:pPr>
              <w:spacing w:after="0"/>
              <w:rPr>
                <w:sz w:val="14"/>
                <w:szCs w:val="14"/>
                <w:color w:val="auto"/>
              </w:rPr>
            </w:pPr>
          </w:p>
        </w:tc>
        <w:tc>
          <w:tcPr>
            <w:tcW w:w="3980" w:type="dxa"/>
            <w:vAlign w:val="bottom"/>
            <w:tcBorders>
              <w:bottom w:val="single" w:sz="8" w:color="C0FFFF"/>
            </w:tcBorders>
            <w:shd w:val="clear" w:color="auto" w:fill="C0FFFF"/>
          </w:tcPr>
          <w:p>
            <w:pPr>
              <w:spacing w:after="0"/>
              <w:rPr>
                <w:sz w:val="14"/>
                <w:szCs w:val="14"/>
                <w:color w:val="auto"/>
              </w:rPr>
            </w:pPr>
          </w:p>
        </w:tc>
        <w:tc>
          <w:tcPr>
            <w:tcW w:w="880" w:type="dxa"/>
            <w:vAlign w:val="bottom"/>
            <w:tcBorders>
              <w:bottom w:val="single" w:sz="8" w:color="C0FFFF"/>
            </w:tcBorders>
            <w:shd w:val="clear" w:color="auto" w:fill="C0FFFF"/>
          </w:tcPr>
          <w:p>
            <w:pPr>
              <w:spacing w:after="0"/>
              <w:rPr>
                <w:sz w:val="14"/>
                <w:szCs w:val="14"/>
                <w:color w:val="auto"/>
              </w:rPr>
            </w:pPr>
          </w:p>
        </w:tc>
        <w:tc>
          <w:tcPr>
            <w:tcW w:w="1020" w:type="dxa"/>
            <w:vAlign w:val="bottom"/>
            <w:tcBorders>
              <w:bottom w:val="single" w:sz="8" w:color="C0FFFF"/>
            </w:tcBorders>
            <w:shd w:val="clear" w:color="auto" w:fill="C0FFFF"/>
          </w:tcPr>
          <w:p>
            <w:pPr>
              <w:spacing w:after="0"/>
              <w:rPr>
                <w:sz w:val="14"/>
                <w:szCs w:val="14"/>
                <w:color w:val="auto"/>
              </w:rPr>
            </w:pPr>
          </w:p>
        </w:tc>
        <w:tc>
          <w:tcPr>
            <w:tcW w:w="880" w:type="dxa"/>
            <w:vAlign w:val="bottom"/>
            <w:tcBorders>
              <w:bottom w:val="single" w:sz="8" w:color="C0FFFF"/>
            </w:tcBorders>
            <w:shd w:val="clear" w:color="auto" w:fill="C0FFFF"/>
          </w:tcPr>
          <w:p>
            <w:pPr>
              <w:spacing w:after="0"/>
              <w:rPr>
                <w:sz w:val="14"/>
                <w:szCs w:val="14"/>
                <w:color w:val="auto"/>
              </w:rPr>
            </w:pP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Abilene</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Peterbilt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Alice</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Blue Bird, Micro Bird, Elkhart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Amarillo</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Peterbilt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Austin</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Hino, Isuzu, Blue Bird, Micro Bird, Elkhart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Dalhart</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Peterbilt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Dallas Heavy-Duty</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Blue Bird, Micro Bird, Elkhart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Dallas Medium-Duty</w:t>
            </w:r>
          </w:p>
        </w:tc>
        <w:tc>
          <w:tcPr>
            <w:tcW w:w="1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None</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Peterbilt, Hino,Blue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Dallas Light &amp; Medium-Duty</w:t>
            </w:r>
          </w:p>
        </w:tc>
        <w:tc>
          <w:tcPr>
            <w:tcW w:w="1900" w:type="dxa"/>
            <w:vAlign w:val="bottom"/>
            <w:shd w:val="clear" w:color="auto" w:fill="C0FFFF"/>
          </w:tcPr>
          <w:p>
            <w:pPr>
              <w:ind w:left="1000"/>
              <w:spacing w:after="0"/>
              <w:rPr>
                <w:sz w:val="20"/>
                <w:szCs w:val="20"/>
                <w:color w:val="auto"/>
              </w:rPr>
            </w:pPr>
            <w:r>
              <w:rPr>
                <w:rFonts w:ascii="Times New Roman" w:cs="Times New Roman" w:eastAsia="Times New Roman" w:hAnsi="Times New Roman"/>
                <w:sz w:val="16"/>
                <w:szCs w:val="16"/>
                <w:color w:val="auto"/>
              </w:rPr>
              <w:t>None</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Ford, Isuzu, Blue Bird</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El Paso</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Peterbilt, Hino, Isuzu</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Fort Worth</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Blue Bird, Micro Bird, Elkhart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Houston</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Peterbilt, Hino, 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Houston Northwest</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82"/>
              <w:spacing w:after="0"/>
              <w:rPr>
                <w:sz w:val="20"/>
                <w:szCs w:val="20"/>
                <w:color w:val="auto"/>
              </w:rPr>
            </w:pPr>
            <w:r>
              <w:rPr>
                <w:rFonts w:ascii="Times New Roman" w:cs="Times New Roman" w:eastAsia="Times New Roman" w:hAnsi="Times New Roman"/>
                <w:sz w:val="16"/>
                <w:szCs w:val="16"/>
                <w:color w:val="auto"/>
                <w:w w:val="96"/>
              </w:rPr>
              <w:t>Peterbilt, Hino, Blue Bird, Micro Bird, Elkhart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Laredo</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Lubbock</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5"/>
              </w:rPr>
              <w:t>Peterbilt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Lufkin</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Odessa</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5"/>
              </w:rPr>
              <w:t>Peterbilt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Pharr</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Peterbilt, Hino, 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6"/>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San Antonio</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82"/>
              <w:spacing w:after="0"/>
              <w:rPr>
                <w:sz w:val="20"/>
                <w:szCs w:val="20"/>
                <w:color w:val="auto"/>
              </w:rPr>
            </w:pPr>
            <w:r>
              <w:rPr>
                <w:rFonts w:ascii="Times New Roman" w:cs="Times New Roman" w:eastAsia="Times New Roman" w:hAnsi="Times New Roman"/>
                <w:sz w:val="16"/>
                <w:szCs w:val="16"/>
                <w:color w:val="auto"/>
                <w:w w:val="96"/>
              </w:rPr>
              <w:t>Peterbilt, Hino, Blue Bird, Micro Bird, Elkhart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203"/>
        </w:trPr>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San Antonio Bus</w:t>
            </w:r>
          </w:p>
        </w:tc>
        <w:tc>
          <w:tcPr>
            <w:tcW w:w="190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None</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50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980" w:type="dxa"/>
            <w:vAlign w:val="bottom"/>
          </w:tcPr>
          <w:p>
            <w:pPr>
              <w:jc w:val="right"/>
              <w:ind w:right="2822"/>
              <w:spacing w:after="0"/>
              <w:rPr>
                <w:sz w:val="20"/>
                <w:szCs w:val="20"/>
                <w:color w:val="auto"/>
              </w:rPr>
            </w:pPr>
            <w:r>
              <w:rPr>
                <w:rFonts w:ascii="Times New Roman" w:cs="Times New Roman" w:eastAsia="Times New Roman" w:hAnsi="Times New Roman"/>
                <w:sz w:val="16"/>
                <w:szCs w:val="16"/>
                <w:color w:val="auto"/>
              </w:rPr>
              <w:t>4</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1"/>
        </w:trPr>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242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5"/>
              </w:rPr>
              <w:t>Rush Truck Center</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6"/>
              </w:rPr>
              <w:t>Heavy-Duty</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Medium-Duty, Light-Duty and</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Body</w:t>
            </w:r>
          </w:p>
        </w:tc>
      </w:tr>
      <w:tr>
        <w:trPr>
          <w:trHeight w:val="205"/>
        </w:trPr>
        <w:tc>
          <w:tcPr>
            <w:tcW w:w="3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90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7"/>
              </w:rPr>
              <w:t>Franchise(s)</w:t>
            </w:r>
          </w:p>
        </w:tc>
        <w:tc>
          <w:tcPr>
            <w:tcW w:w="398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6"/>
              </w:rPr>
              <w:t>Bus Franchise(s)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Parts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Service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Shop</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4"/>
        </w:trPr>
        <w:tc>
          <w:tcPr>
            <w:tcW w:w="2780" w:type="dxa"/>
            <w:vAlign w:val="bottom"/>
            <w:gridSpan w:val="2"/>
            <w:shd w:val="clear" w:color="auto" w:fill="C0FFFF"/>
          </w:tcPr>
          <w:p>
            <w:pPr>
              <w:ind w:left="140"/>
              <w:spacing w:after="0" w:line="174" w:lineRule="exact"/>
              <w:rPr>
                <w:sz w:val="20"/>
                <w:szCs w:val="20"/>
                <w:color w:val="auto"/>
              </w:rPr>
            </w:pPr>
            <w:r>
              <w:rPr>
                <w:rFonts w:ascii="Times New Roman" w:cs="Times New Roman" w:eastAsia="Times New Roman" w:hAnsi="Times New Roman"/>
                <w:sz w:val="16"/>
                <w:szCs w:val="16"/>
                <w:color w:val="auto"/>
              </w:rPr>
              <w:t>Sealy</w:t>
            </w:r>
          </w:p>
        </w:tc>
        <w:tc>
          <w:tcPr>
            <w:tcW w:w="1900" w:type="dxa"/>
            <w:vAlign w:val="bottom"/>
            <w:shd w:val="clear" w:color="auto" w:fill="C0FFFF"/>
          </w:tcPr>
          <w:p>
            <w:pPr>
              <w:jc w:val="center"/>
              <w:ind w:left="222"/>
              <w:spacing w:after="0" w:line="174" w:lineRule="exact"/>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82"/>
              <w:spacing w:after="0" w:line="174" w:lineRule="exact"/>
              <w:rPr>
                <w:sz w:val="20"/>
                <w:szCs w:val="20"/>
                <w:color w:val="auto"/>
              </w:rPr>
            </w:pPr>
            <w:r>
              <w:rPr>
                <w:rFonts w:ascii="Times New Roman" w:cs="Times New Roman" w:eastAsia="Times New Roman" w:hAnsi="Times New Roman"/>
                <w:sz w:val="16"/>
                <w:szCs w:val="16"/>
                <w:color w:val="auto"/>
                <w:w w:val="97"/>
              </w:rPr>
              <w:t>Peterbilt, Isuzu, Blue Bird, Micro Bird, Elkhart</w:t>
            </w:r>
          </w:p>
        </w:tc>
        <w:tc>
          <w:tcPr>
            <w:tcW w:w="880" w:type="dxa"/>
            <w:vAlign w:val="bottom"/>
            <w:shd w:val="clear" w:color="auto" w:fill="C0FFFF"/>
          </w:tcPr>
          <w:p>
            <w:pPr>
              <w:jc w:val="center"/>
              <w:spacing w:after="0" w:line="174" w:lineRule="exact"/>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Texarkana</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Hino, Isuzu, 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2"/>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Tyler</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Blue Bird, Micro Bird, Elkhart</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Waco</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5"/>
              </w:rPr>
              <w:t>Peterbilt</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Peterbilt, Hino, Isuzu, Blue Bird, Micro Bird, Elkhart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360" w:type="dxa"/>
            <w:vAlign w:val="bottom"/>
            <w:shd w:val="clear" w:color="auto" w:fill="C0FFFF"/>
          </w:tcPr>
          <w:p>
            <w:pPr>
              <w:spacing w:after="0"/>
              <w:rPr>
                <w:sz w:val="16"/>
                <w:szCs w:val="16"/>
                <w:color w:val="auto"/>
              </w:rPr>
            </w:pPr>
          </w:p>
        </w:tc>
        <w:tc>
          <w:tcPr>
            <w:tcW w:w="2420" w:type="dxa"/>
            <w:vAlign w:val="bottom"/>
            <w:shd w:val="clear" w:color="auto" w:fill="C0FFFF"/>
          </w:tcPr>
          <w:p>
            <w:pPr>
              <w:spacing w:after="0"/>
              <w:rPr>
                <w:sz w:val="16"/>
                <w:szCs w:val="16"/>
                <w:color w:val="auto"/>
              </w:rPr>
            </w:pPr>
          </w:p>
        </w:tc>
        <w:tc>
          <w:tcPr>
            <w:tcW w:w="1900" w:type="dxa"/>
            <w:vAlign w:val="bottom"/>
            <w:shd w:val="clear" w:color="auto" w:fill="C0FFFF"/>
          </w:tcPr>
          <w:p>
            <w:pPr>
              <w:spacing w:after="0"/>
              <w:rPr>
                <w:sz w:val="16"/>
                <w:szCs w:val="16"/>
                <w:color w:val="auto"/>
              </w:rPr>
            </w:pPr>
          </w:p>
        </w:tc>
        <w:tc>
          <w:tcPr>
            <w:tcW w:w="398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r>
      <w:tr>
        <w:trPr>
          <w:trHeight w:val="152"/>
        </w:trPr>
        <w:tc>
          <w:tcPr>
            <w:tcW w:w="2780" w:type="dxa"/>
            <w:vAlign w:val="bottom"/>
            <w:gridSpan w:val="2"/>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Utah:</w:t>
            </w:r>
          </w:p>
        </w:tc>
        <w:tc>
          <w:tcPr>
            <w:tcW w:w="19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7"/>
        </w:trPr>
        <w:tc>
          <w:tcPr>
            <w:tcW w:w="360" w:type="dxa"/>
            <w:vAlign w:val="bottom"/>
            <w:shd w:val="clear" w:color="auto" w:fill="000000"/>
          </w:tcPr>
          <w:p>
            <w:pPr>
              <w:spacing w:after="0"/>
              <w:rPr>
                <w:sz w:val="2"/>
                <w:szCs w:val="2"/>
                <w:color w:val="auto"/>
              </w:rPr>
            </w:pPr>
          </w:p>
        </w:tc>
        <w:tc>
          <w:tcPr>
            <w:tcW w:w="2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4"/>
        </w:trPr>
        <w:tc>
          <w:tcPr>
            <w:tcW w:w="2780" w:type="dxa"/>
            <w:vAlign w:val="bottom"/>
            <w:gridSpan w:val="2"/>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Helper</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International</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Farr West</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International, IC Bus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2"/>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Salt Lake City</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6"/>
              </w:rPr>
              <w:t>International, IC Bus, Autocar, Mitsubishi Fuso</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r>
      <w:tr>
        <w:trPr>
          <w:trHeight w:val="187"/>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Springville</w:t>
            </w:r>
          </w:p>
        </w:tc>
        <w:tc>
          <w:tcPr>
            <w:tcW w:w="19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International, Mitsubishi Fuso</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r>
        <w:trPr>
          <w:trHeight w:val="187"/>
        </w:trPr>
        <w:tc>
          <w:tcPr>
            <w:tcW w:w="2780" w:type="dxa"/>
            <w:vAlign w:val="bottom"/>
            <w:gridSpan w:val="2"/>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St. George</w:t>
            </w:r>
          </w:p>
        </w:tc>
        <w:tc>
          <w:tcPr>
            <w:tcW w:w="19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7"/>
              </w:rPr>
              <w:t>International</w:t>
            </w:r>
          </w:p>
        </w:tc>
        <w:tc>
          <w:tcPr>
            <w:tcW w:w="3980" w:type="dxa"/>
            <w:vAlign w:val="bottom"/>
            <w:shd w:val="clear" w:color="auto" w:fill="C0FFFF"/>
          </w:tcPr>
          <w:p>
            <w:pPr>
              <w:jc w:val="center"/>
              <w:ind w:left="62"/>
              <w:spacing w:after="0"/>
              <w:rPr>
                <w:sz w:val="20"/>
                <w:szCs w:val="20"/>
                <w:color w:val="auto"/>
              </w:rPr>
            </w:pPr>
            <w:r>
              <w:rPr>
                <w:rFonts w:ascii="Times New Roman" w:cs="Times New Roman" w:eastAsia="Times New Roman" w:hAnsi="Times New Roman"/>
                <w:sz w:val="16"/>
                <w:szCs w:val="16"/>
                <w:color w:val="auto"/>
                <w:w w:val="97"/>
              </w:rPr>
              <w:t>International, Mitsubishi Fuso</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88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r>
    </w:tbl>
    <w:p>
      <w:pPr>
        <w:spacing w:after="0" w:line="200" w:lineRule="exact"/>
        <w:rPr>
          <w:sz w:val="20"/>
          <w:szCs w:val="20"/>
          <w:color w:val="auto"/>
        </w:rPr>
      </w:pPr>
    </w:p>
    <w:p>
      <w:pPr>
        <w:spacing w:after="0" w:line="201" w:lineRule="exact"/>
        <w:rPr>
          <w:sz w:val="20"/>
          <w:szCs w:val="20"/>
          <w:color w:val="auto"/>
        </w:rPr>
      </w:pPr>
    </w:p>
    <w:p>
      <w:pPr>
        <w:jc w:val="both"/>
        <w:ind w:firstLine="56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Leasing and Rental Services. </w:t>
      </w:r>
      <w:r>
        <w:rPr>
          <w:rFonts w:ascii="Times New Roman" w:cs="Times New Roman" w:eastAsia="Times New Roman" w:hAnsi="Times New Roman"/>
          <w:sz w:val="16"/>
          <w:szCs w:val="16"/>
          <w:color w:val="auto"/>
        </w:rPr>
        <w:t>Through certain of our Rush Truck Centers and several stand-alone Rush Truck Leasing Centers, we provide a broad line of product selections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lease or rent, including Class 4, Class 5, Class 6, Class 7 and Class 8 trucks, heavy-duty cranes and refuse vehicles. Our lease and rental fleets are offered on a daily, monthly or long-term basis. The following chart reflects our leasing franchises by location: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6"/>
              </w:rPr>
              <w:t>Standalone or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tcPr>
          <w:p>
            <w:pPr>
              <w:jc w:val="center"/>
              <w:ind w:right="522"/>
              <w:spacing w:after="0"/>
              <w:rPr>
                <w:sz w:val="20"/>
                <w:szCs w:val="20"/>
                <w:color w:val="auto"/>
              </w:rPr>
            </w:pPr>
            <w:r>
              <w:rPr>
                <w:rFonts w:ascii="Times New Roman" w:cs="Times New Roman" w:eastAsia="Times New Roman" w:hAnsi="Times New Roman"/>
                <w:sz w:val="16"/>
                <w:szCs w:val="16"/>
                <w:b w:val="1"/>
                <w:bCs w:val="1"/>
                <w:color w:val="auto"/>
                <w:w w:val="95"/>
              </w:rPr>
              <w:t>Rush Truck Leasing</w:t>
            </w:r>
          </w:p>
        </w:tc>
        <w:tc>
          <w:tcPr>
            <w:tcW w:w="2960" w:type="dxa"/>
            <w:vAlign w:val="bottom"/>
          </w:tcPr>
          <w:p>
            <w:pPr>
              <w:spacing w:after="0"/>
              <w:rPr>
                <w:sz w:val="16"/>
                <w:szCs w:val="16"/>
                <w:color w:val="auto"/>
              </w:rPr>
            </w:pP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8"/>
              </w:rPr>
              <w:t>in a Rush</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center"/>
              <w:ind w:right="522"/>
              <w:spacing w:after="0"/>
              <w:rPr>
                <w:sz w:val="20"/>
                <w:szCs w:val="20"/>
                <w:color w:val="auto"/>
              </w:rPr>
            </w:pPr>
            <w:r>
              <w:rPr>
                <w:rFonts w:ascii="Times New Roman" w:cs="Times New Roman" w:eastAsia="Times New Roman" w:hAnsi="Times New Roman"/>
                <w:sz w:val="16"/>
                <w:szCs w:val="16"/>
                <w:b w:val="1"/>
                <w:bCs w:val="1"/>
                <w:color w:val="auto"/>
                <w:w w:val="95"/>
              </w:rPr>
              <w:t>Location</w:t>
            </w:r>
          </w:p>
        </w:tc>
        <w:tc>
          <w:tcPr>
            <w:tcW w:w="296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b w:val="1"/>
                <w:bCs w:val="1"/>
                <w:color w:val="auto"/>
                <w:w w:val="94"/>
              </w:rPr>
              <w:t>Franchise</w:t>
            </w:r>
          </w:p>
        </w:tc>
        <w:tc>
          <w:tcPr>
            <w:tcW w:w="258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Truck Center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6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0" w:type="dxa"/>
            <w:vAlign w:val="bottom"/>
            <w:tcBorders>
              <w:bottom w:val="single" w:sz="8" w:color="auto"/>
            </w:tcBorders>
            <w:gridSpan w:val="4"/>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2"/>
              </w:rPr>
              <w:t>Alabama:</w:t>
            </w:r>
          </w:p>
        </w:tc>
        <w:tc>
          <w:tcPr>
            <w:tcW w:w="2980" w:type="dxa"/>
            <w:vAlign w:val="bottom"/>
            <w:tcBorders>
              <w:bottom w:val="single" w:sz="8" w:color="C0FFFF"/>
            </w:tcBorders>
            <w:gridSpan w:val="4"/>
            <w:shd w:val="clear" w:color="auto" w:fill="C0FFFF"/>
          </w:tcPr>
          <w:p>
            <w:pPr>
              <w:spacing w:after="0"/>
              <w:rPr>
                <w:sz w:val="14"/>
                <w:szCs w:val="14"/>
                <w:color w:val="auto"/>
              </w:rPr>
            </w:pPr>
          </w:p>
        </w:tc>
        <w:tc>
          <w:tcPr>
            <w:tcW w:w="2960" w:type="dxa"/>
            <w:vAlign w:val="bottom"/>
            <w:tcBorders>
              <w:bottom w:val="single" w:sz="8" w:color="C0FFFF"/>
            </w:tcBorders>
            <w:shd w:val="clear" w:color="auto" w:fill="C0FFFF"/>
          </w:tcPr>
          <w:p>
            <w:pPr>
              <w:spacing w:after="0"/>
              <w:rPr>
                <w:sz w:val="14"/>
                <w:szCs w:val="14"/>
                <w:color w:val="auto"/>
              </w:rPr>
            </w:pPr>
          </w:p>
        </w:tc>
        <w:tc>
          <w:tcPr>
            <w:tcW w:w="2580" w:type="dxa"/>
            <w:vAlign w:val="bottom"/>
            <w:tcBorders>
              <w:bottom w:val="single" w:sz="8" w:color="C0FFFF"/>
            </w:tcBorders>
            <w:shd w:val="clear" w:color="auto" w:fill="C0FF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Birmingham</w:t>
            </w:r>
          </w:p>
        </w:tc>
        <w:tc>
          <w:tcPr>
            <w:tcW w:w="296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vMerge w:val="restart"/>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1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296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60" w:type="dxa"/>
            <w:vAlign w:val="bottom"/>
            <w:vMerge w:val="continue"/>
          </w:tcPr>
          <w:p>
            <w:pPr>
              <w:spacing w:after="0"/>
              <w:rPr>
                <w:sz w:val="13"/>
                <w:szCs w:val="13"/>
                <w:color w:val="auto"/>
              </w:rPr>
            </w:pPr>
          </w:p>
        </w:tc>
        <w:tc>
          <w:tcPr>
            <w:tcW w:w="3600" w:type="dxa"/>
            <w:vAlign w:val="bottom"/>
            <w:gridSpan w:val="8"/>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Arizona:</w:t>
            </w:r>
          </w:p>
        </w:tc>
        <w:tc>
          <w:tcPr>
            <w:tcW w:w="2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60" w:type="dxa"/>
            <w:vAlign w:val="bottom"/>
          </w:tcPr>
          <w:p>
            <w:pPr>
              <w:spacing w:after="0"/>
              <w:rPr>
                <w:sz w:val="16"/>
                <w:szCs w:val="16"/>
                <w:color w:val="auto"/>
              </w:rPr>
            </w:pPr>
          </w:p>
        </w:tc>
        <w:tc>
          <w:tcPr>
            <w:tcW w:w="3600" w:type="dxa"/>
            <w:vAlign w:val="bottom"/>
            <w:gridSpan w:val="8"/>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Phoenix</w:t>
            </w:r>
          </w:p>
        </w:tc>
        <w:tc>
          <w:tcPr>
            <w:tcW w:w="2960" w:type="dxa"/>
            <w:vAlign w:val="bottom"/>
            <w:shd w:val="clear" w:color="auto" w:fill="C0FFFF"/>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700" w:type="dxa"/>
            <w:vAlign w:val="bottom"/>
            <w:tcBorders>
              <w:bottom w:val="single" w:sz="8" w:color="auto"/>
            </w:tcBorders>
            <w:gridSpan w:val="5"/>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2"/>
              </w:rPr>
              <w:t>California:</w:t>
            </w:r>
          </w:p>
        </w:tc>
        <w:tc>
          <w:tcPr>
            <w:tcW w:w="2900" w:type="dxa"/>
            <w:vAlign w:val="bottom"/>
            <w:tcBorders>
              <w:bottom w:val="single" w:sz="8" w:color="C0FFFF"/>
            </w:tcBorders>
            <w:gridSpan w:val="3"/>
            <w:shd w:val="clear" w:color="auto" w:fill="C0FFFF"/>
          </w:tcPr>
          <w:p>
            <w:pPr>
              <w:spacing w:after="0"/>
              <w:rPr>
                <w:sz w:val="14"/>
                <w:szCs w:val="14"/>
                <w:color w:val="auto"/>
              </w:rPr>
            </w:pPr>
          </w:p>
        </w:tc>
        <w:tc>
          <w:tcPr>
            <w:tcW w:w="2960" w:type="dxa"/>
            <w:vAlign w:val="bottom"/>
            <w:tcBorders>
              <w:bottom w:val="single" w:sz="8" w:color="C0FFFF"/>
            </w:tcBorders>
            <w:shd w:val="clear" w:color="auto" w:fill="C0FFFF"/>
          </w:tcPr>
          <w:p>
            <w:pPr>
              <w:spacing w:after="0"/>
              <w:rPr>
                <w:sz w:val="14"/>
                <w:szCs w:val="14"/>
                <w:color w:val="auto"/>
              </w:rPr>
            </w:pPr>
          </w:p>
        </w:tc>
        <w:tc>
          <w:tcPr>
            <w:tcW w:w="2580" w:type="dxa"/>
            <w:vAlign w:val="bottom"/>
            <w:tcBorders>
              <w:bottom w:val="single" w:sz="8" w:color="C0FFFF"/>
            </w:tcBorders>
            <w:shd w:val="clear" w:color="auto" w:fill="C0FF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Pico Rivera</w:t>
            </w:r>
          </w:p>
        </w:tc>
        <w:tc>
          <w:tcPr>
            <w:tcW w:w="296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San Diego</w:t>
            </w:r>
          </w:p>
        </w:tc>
        <w:tc>
          <w:tcPr>
            <w:tcW w:w="2960" w:type="dxa"/>
            <w:vAlign w:val="bottom"/>
            <w:shd w:val="clear" w:color="auto" w:fill="C0FFFF"/>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Sylmar</w:t>
            </w:r>
          </w:p>
        </w:tc>
        <w:tc>
          <w:tcPr>
            <w:tcW w:w="296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vMerge w:val="restart"/>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1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296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540" w:type="dxa"/>
            <w:vAlign w:val="bottom"/>
            <w:tcBorders>
              <w:bottom w:val="single" w:sz="8" w:color="auto"/>
            </w:tcBorders>
            <w:gridSpan w:val="3"/>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0"/>
              </w:rPr>
              <w:t>Florida:</w:t>
            </w:r>
          </w:p>
        </w:tc>
        <w:tc>
          <w:tcPr>
            <w:tcW w:w="3060" w:type="dxa"/>
            <w:vAlign w:val="bottom"/>
            <w:gridSpan w:val="5"/>
          </w:tcPr>
          <w:p>
            <w:pPr>
              <w:spacing w:after="0"/>
              <w:rPr>
                <w:sz w:val="13"/>
                <w:szCs w:val="13"/>
                <w:color w:val="auto"/>
              </w:rPr>
            </w:pPr>
          </w:p>
        </w:tc>
        <w:tc>
          <w:tcPr>
            <w:tcW w:w="2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3600" w:type="dxa"/>
            <w:vAlign w:val="bottom"/>
            <w:gridSpan w:val="8"/>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Orlando</w:t>
            </w:r>
          </w:p>
        </w:tc>
        <w:tc>
          <w:tcPr>
            <w:tcW w:w="2960" w:type="dxa"/>
            <w:vAlign w:val="bottom"/>
            <w:shd w:val="clear" w:color="auto" w:fill="C0FFFF"/>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Tampa</w:t>
            </w:r>
          </w:p>
        </w:tc>
        <w:tc>
          <w:tcPr>
            <w:tcW w:w="296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Jacksonville</w:t>
            </w:r>
          </w:p>
        </w:tc>
        <w:tc>
          <w:tcPr>
            <w:tcW w:w="2960" w:type="dxa"/>
            <w:vAlign w:val="bottom"/>
            <w:shd w:val="clear" w:color="auto" w:fill="C0FFFF"/>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420" w:type="dxa"/>
            <w:vAlign w:val="bottom"/>
            <w:tcBorders>
              <w:bottom w:val="single" w:sz="8" w:color="auto"/>
            </w:tcBorders>
            <w:gridSpan w:val="2"/>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89"/>
              </w:rPr>
              <w:t>Idaho:</w:t>
            </w:r>
          </w:p>
        </w:tc>
        <w:tc>
          <w:tcPr>
            <w:tcW w:w="3180" w:type="dxa"/>
            <w:vAlign w:val="bottom"/>
            <w:tcBorders>
              <w:bottom w:val="single" w:sz="8" w:color="C0FFFF"/>
            </w:tcBorders>
            <w:gridSpan w:val="6"/>
            <w:shd w:val="clear" w:color="auto" w:fill="C0FFFF"/>
          </w:tcPr>
          <w:p>
            <w:pPr>
              <w:spacing w:after="0"/>
              <w:rPr>
                <w:sz w:val="14"/>
                <w:szCs w:val="14"/>
                <w:color w:val="auto"/>
              </w:rPr>
            </w:pPr>
          </w:p>
        </w:tc>
        <w:tc>
          <w:tcPr>
            <w:tcW w:w="2960" w:type="dxa"/>
            <w:vAlign w:val="bottom"/>
            <w:tcBorders>
              <w:bottom w:val="single" w:sz="8" w:color="C0FFFF"/>
            </w:tcBorders>
            <w:shd w:val="clear" w:color="auto" w:fill="C0FFFF"/>
          </w:tcPr>
          <w:p>
            <w:pPr>
              <w:spacing w:after="0"/>
              <w:rPr>
                <w:sz w:val="14"/>
                <w:szCs w:val="14"/>
                <w:color w:val="auto"/>
              </w:rPr>
            </w:pPr>
          </w:p>
        </w:tc>
        <w:tc>
          <w:tcPr>
            <w:tcW w:w="2580" w:type="dxa"/>
            <w:vAlign w:val="bottom"/>
            <w:tcBorders>
              <w:bottom w:val="single" w:sz="8" w:color="C0FFFF"/>
            </w:tcBorders>
            <w:shd w:val="clear" w:color="auto" w:fill="C0FF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Boise</w:t>
            </w:r>
          </w:p>
        </w:tc>
        <w:tc>
          <w:tcPr>
            <w:tcW w:w="296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vMerge w:val="restart"/>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1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296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3600" w:type="dxa"/>
            <w:vAlign w:val="bottom"/>
            <w:gridSpan w:val="8"/>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North Carolina:</w:t>
            </w:r>
          </w:p>
        </w:tc>
        <w:tc>
          <w:tcPr>
            <w:tcW w:w="2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020" w:type="dxa"/>
            <w:vAlign w:val="bottom"/>
            <w:tcBorders>
              <w:top w:val="single" w:sz="8" w:color="auto"/>
            </w:tcBorders>
            <w:gridSpan w:val="7"/>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Charlotte</w:t>
            </w:r>
          </w:p>
        </w:tc>
        <w:tc>
          <w:tcPr>
            <w:tcW w:w="2580" w:type="dxa"/>
            <w:vAlign w:val="bottom"/>
            <w:shd w:val="clear" w:color="auto" w:fill="C0FFFF"/>
          </w:tcPr>
          <w:p>
            <w:pPr>
              <w:spacing w:after="0"/>
              <w:rPr>
                <w:sz w:val="16"/>
                <w:szCs w:val="16"/>
                <w:color w:val="auto"/>
              </w:rPr>
            </w:pPr>
          </w:p>
        </w:tc>
        <w:tc>
          <w:tcPr>
            <w:tcW w:w="2960" w:type="dxa"/>
            <w:vAlign w:val="bottom"/>
            <w:shd w:val="clear" w:color="auto" w:fill="C0FFFF"/>
          </w:tcPr>
          <w:p>
            <w:pPr>
              <w:jc w:val="center"/>
              <w:ind w:left="46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shd w:val="clear" w:color="auto" w:fill="C0FFFF"/>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840" w:type="dxa"/>
            <w:vAlign w:val="bottom"/>
            <w:tcBorders>
              <w:bottom w:val="single" w:sz="8" w:color="auto"/>
            </w:tcBorders>
            <w:gridSpan w:val="6"/>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93"/>
              </w:rPr>
              <w:t>New Mexico:</w:t>
            </w:r>
          </w:p>
        </w:tc>
        <w:tc>
          <w:tcPr>
            <w:tcW w:w="2760" w:type="dxa"/>
            <w:vAlign w:val="bottom"/>
            <w:tcBorders>
              <w:bottom w:val="single" w:sz="8" w:color="C0FFFF"/>
            </w:tcBorders>
            <w:gridSpan w:val="2"/>
            <w:shd w:val="clear" w:color="auto" w:fill="C0FFFF"/>
          </w:tcPr>
          <w:p>
            <w:pPr>
              <w:spacing w:after="0"/>
              <w:rPr>
                <w:sz w:val="14"/>
                <w:szCs w:val="14"/>
                <w:color w:val="auto"/>
              </w:rPr>
            </w:pPr>
          </w:p>
        </w:tc>
        <w:tc>
          <w:tcPr>
            <w:tcW w:w="2960" w:type="dxa"/>
            <w:vAlign w:val="bottom"/>
            <w:tcBorders>
              <w:bottom w:val="single" w:sz="8" w:color="C0FFFF"/>
            </w:tcBorders>
            <w:shd w:val="clear" w:color="auto" w:fill="C0FFFF"/>
          </w:tcPr>
          <w:p>
            <w:pPr>
              <w:spacing w:after="0"/>
              <w:rPr>
                <w:sz w:val="14"/>
                <w:szCs w:val="14"/>
                <w:color w:val="auto"/>
              </w:rPr>
            </w:pPr>
          </w:p>
        </w:tc>
        <w:tc>
          <w:tcPr>
            <w:tcW w:w="2580" w:type="dxa"/>
            <w:vAlign w:val="bottom"/>
            <w:tcBorders>
              <w:bottom w:val="single" w:sz="8" w:color="C0FFFF"/>
            </w:tcBorders>
            <w:shd w:val="clear" w:color="auto" w:fill="C0FF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Albuquerque</w:t>
            </w:r>
          </w:p>
        </w:tc>
        <w:tc>
          <w:tcPr>
            <w:tcW w:w="296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vMerge w:val="restart"/>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120" w:type="dxa"/>
            <w:vAlign w:val="bottom"/>
            <w:tcBorders>
              <w:right w:val="single" w:sz="8" w:color="C0FFFF"/>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296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88"/>
              </w:rPr>
              <w:t>Ohio:</w:t>
            </w:r>
          </w:p>
        </w:tc>
        <w:tc>
          <w:tcPr>
            <w:tcW w:w="3240" w:type="dxa"/>
            <w:vAlign w:val="bottom"/>
            <w:gridSpan w:val="7"/>
          </w:tcPr>
          <w:p>
            <w:pPr>
              <w:spacing w:after="0"/>
              <w:rPr>
                <w:sz w:val="13"/>
                <w:szCs w:val="13"/>
                <w:color w:val="auto"/>
              </w:rPr>
            </w:pPr>
          </w:p>
        </w:tc>
        <w:tc>
          <w:tcPr>
            <w:tcW w:w="2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3600" w:type="dxa"/>
            <w:vAlign w:val="bottom"/>
            <w:gridSpan w:val="8"/>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Cincinnati</w:t>
            </w:r>
          </w:p>
        </w:tc>
        <w:tc>
          <w:tcPr>
            <w:tcW w:w="2960" w:type="dxa"/>
            <w:vAlign w:val="bottom"/>
            <w:shd w:val="clear" w:color="auto" w:fill="C0FFFF"/>
          </w:tcPr>
          <w:p>
            <w:pPr>
              <w:jc w:val="center"/>
              <w:ind w:left="46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shd w:val="clear" w:color="auto" w:fill="C0FFFF"/>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Walton Hills</w:t>
            </w:r>
          </w:p>
        </w:tc>
        <w:tc>
          <w:tcPr>
            <w:tcW w:w="296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Columbus</w:t>
            </w:r>
          </w:p>
        </w:tc>
        <w:tc>
          <w:tcPr>
            <w:tcW w:w="2960" w:type="dxa"/>
            <w:vAlign w:val="bottom"/>
            <w:shd w:val="clear" w:color="auto" w:fill="C0FFFF"/>
          </w:tcPr>
          <w:p>
            <w:pPr>
              <w:jc w:val="center"/>
              <w:ind w:left="46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Dayton</w:t>
            </w:r>
          </w:p>
        </w:tc>
        <w:tc>
          <w:tcPr>
            <w:tcW w:w="296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3600" w:type="dxa"/>
            <w:vAlign w:val="bottom"/>
            <w:gridSpan w:val="8"/>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Lima</w:t>
            </w:r>
          </w:p>
        </w:tc>
        <w:tc>
          <w:tcPr>
            <w:tcW w:w="2960" w:type="dxa"/>
            <w:vAlign w:val="bottom"/>
            <w:shd w:val="clear" w:color="auto" w:fill="C0FFFF"/>
          </w:tcPr>
          <w:p>
            <w:pPr>
              <w:jc w:val="center"/>
              <w:ind w:left="46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shd w:val="clear" w:color="auto" w:fill="C0FFFF"/>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4"/>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60" w:type="dxa"/>
            <w:vAlign w:val="bottom"/>
          </w:tcPr>
          <w:p>
            <w:pPr>
              <w:jc w:val="right"/>
              <w:ind w:right="1882"/>
              <w:spacing w:after="0"/>
              <w:rPr>
                <w:sz w:val="20"/>
                <w:szCs w:val="20"/>
                <w:color w:val="auto"/>
              </w:rPr>
            </w:pPr>
            <w:r>
              <w:rPr>
                <w:rFonts w:ascii="Times New Roman" w:cs="Times New Roman" w:eastAsia="Times New Roman" w:hAnsi="Times New Roman"/>
                <w:sz w:val="16"/>
                <w:szCs w:val="16"/>
                <w:color w:val="auto"/>
              </w:rPr>
              <w:t>5</w:t>
            </w:r>
          </w:p>
        </w:tc>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8" w:name="page9"/>
    <w:bookmarkEnd w:id="8"/>
    <w:tbl>
      <w:tblPr>
        <w:tblLayout w:type="fixed"/>
        <w:tblInd w:w="11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Located in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tcPr>
          <w:p>
            <w:pPr>
              <w:jc w:val="center"/>
              <w:ind w:right="442"/>
              <w:spacing w:after="0"/>
              <w:rPr>
                <w:sz w:val="20"/>
                <w:szCs w:val="20"/>
                <w:color w:val="auto"/>
              </w:rPr>
            </w:pPr>
            <w:r>
              <w:rPr>
                <w:rFonts w:ascii="Times New Roman" w:cs="Times New Roman" w:eastAsia="Times New Roman" w:hAnsi="Times New Roman"/>
                <w:sz w:val="16"/>
                <w:szCs w:val="16"/>
                <w:b w:val="1"/>
                <w:bCs w:val="1"/>
                <w:color w:val="auto"/>
                <w:w w:val="95"/>
              </w:rPr>
              <w:t>Rush Truck Leasing</w:t>
            </w:r>
          </w:p>
        </w:tc>
        <w:tc>
          <w:tcPr>
            <w:tcW w:w="2700" w:type="dxa"/>
            <w:vAlign w:val="bottom"/>
          </w:tcPr>
          <w:p>
            <w:pPr>
              <w:spacing w:after="0"/>
              <w:rPr>
                <w:sz w:val="16"/>
                <w:szCs w:val="16"/>
                <w:color w:val="auto"/>
              </w:rPr>
            </w:pP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rPr>
              <w:t>Rush</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6"/>
                <w:szCs w:val="16"/>
                <w:b w:val="1"/>
                <w:bCs w:val="1"/>
                <w:color w:val="auto"/>
                <w:w w:val="95"/>
              </w:rPr>
              <w:t>Location</w:t>
            </w:r>
          </w:p>
        </w:tc>
        <w:tc>
          <w:tcPr>
            <w:tcW w:w="27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4"/>
              </w:rPr>
              <w:t>Franchise</w:t>
            </w:r>
          </w:p>
        </w:tc>
        <w:tc>
          <w:tcPr>
            <w:tcW w:w="258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Truck Center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860" w:type="dxa"/>
            <w:vAlign w:val="bottom"/>
            <w:gridSpan w:val="4"/>
            <w:shd w:val="clear" w:color="auto" w:fill="C0FFFF"/>
          </w:tcPr>
          <w:p>
            <w:pPr>
              <w:spacing w:after="0" w:line="138" w:lineRule="exact"/>
              <w:rPr>
                <w:sz w:val="20"/>
                <w:szCs w:val="20"/>
                <w:color w:val="auto"/>
              </w:rPr>
            </w:pPr>
            <w:r>
              <w:rPr>
                <w:rFonts w:ascii="Times New Roman" w:cs="Times New Roman" w:eastAsia="Times New Roman" w:hAnsi="Times New Roman"/>
                <w:sz w:val="16"/>
                <w:szCs w:val="16"/>
                <w:b w:val="1"/>
                <w:bCs w:val="1"/>
                <w:i w:val="1"/>
                <w:iCs w:val="1"/>
                <w:color w:val="auto"/>
              </w:rPr>
              <w:t>Oklahoma:</w:t>
            </w:r>
          </w:p>
        </w:tc>
        <w:tc>
          <w:tcPr>
            <w:tcW w:w="2700" w:type="dxa"/>
            <w:vAlign w:val="bottom"/>
            <w:shd w:val="clear" w:color="auto" w:fill="C0FFFF"/>
          </w:tcPr>
          <w:p>
            <w:pPr>
              <w:spacing w:after="0"/>
              <w:rPr>
                <w:sz w:val="12"/>
                <w:szCs w:val="12"/>
                <w:color w:val="auto"/>
              </w:rPr>
            </w:pPr>
          </w:p>
        </w:tc>
        <w:tc>
          <w:tcPr>
            <w:tcW w:w="258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3180" w:type="dxa"/>
            <w:vAlign w:val="bottom"/>
            <w:tcBorders>
              <w:left w:val="single" w:sz="8" w:color="auto"/>
            </w:tcBorders>
            <w:shd w:val="clear" w:color="auto" w:fill="C0FFFF"/>
          </w:tcPr>
          <w:p>
            <w:pPr>
              <w:spacing w:after="0"/>
              <w:rPr>
                <w:sz w:val="3"/>
                <w:szCs w:val="3"/>
                <w:color w:val="auto"/>
              </w:rPr>
            </w:pPr>
          </w:p>
        </w:tc>
        <w:tc>
          <w:tcPr>
            <w:tcW w:w="2700" w:type="dxa"/>
            <w:vAlign w:val="bottom"/>
            <w:shd w:val="clear" w:color="auto" w:fill="C0FFFF"/>
          </w:tcPr>
          <w:p>
            <w:pPr>
              <w:spacing w:after="0"/>
              <w:rPr>
                <w:sz w:val="3"/>
                <w:szCs w:val="3"/>
                <w:color w:val="auto"/>
              </w:rPr>
            </w:pPr>
          </w:p>
        </w:tc>
        <w:tc>
          <w:tcPr>
            <w:tcW w:w="2580" w:type="dxa"/>
            <w:vAlign w:val="bottom"/>
            <w:shd w:val="clear" w:color="auto" w:fill="C0FF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Oklahoma City</w:t>
            </w:r>
          </w:p>
        </w:tc>
        <w:tc>
          <w:tcPr>
            <w:tcW w:w="27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3180" w:type="dxa"/>
            <w:vAlign w:val="bottom"/>
            <w:tcBorders>
              <w:left w:val="single" w:sz="8" w:color="C0FFFF"/>
            </w:tcBorders>
            <w:shd w:val="clear" w:color="auto" w:fill="C0FFFF"/>
          </w:tcPr>
          <w:p>
            <w:pPr>
              <w:spacing w:after="0"/>
              <w:rPr>
                <w:sz w:val="16"/>
                <w:szCs w:val="16"/>
                <w:color w:val="auto"/>
              </w:rPr>
            </w:pPr>
          </w:p>
        </w:tc>
        <w:tc>
          <w:tcPr>
            <w:tcW w:w="2700" w:type="dxa"/>
            <w:vAlign w:val="bottom"/>
            <w:shd w:val="clear" w:color="auto" w:fill="C0FFFF"/>
          </w:tcPr>
          <w:p>
            <w:pPr>
              <w:spacing w:after="0"/>
              <w:rPr>
                <w:sz w:val="16"/>
                <w:szCs w:val="16"/>
                <w:color w:val="auto"/>
              </w:rPr>
            </w:pPr>
          </w:p>
        </w:tc>
        <w:tc>
          <w:tcPr>
            <w:tcW w:w="25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860" w:type="dxa"/>
            <w:vAlign w:val="bottom"/>
            <w:gridSpan w:val="4"/>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rPr>
              <w:t>Tennessee:</w:t>
            </w:r>
          </w:p>
        </w:tc>
        <w:tc>
          <w:tcPr>
            <w:tcW w:w="27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gridSpan w:val="4"/>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Nashville</w:t>
            </w:r>
          </w:p>
        </w:tc>
        <w:tc>
          <w:tcPr>
            <w:tcW w:w="27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gridSpan w:val="2"/>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85"/>
              </w:rPr>
              <w:t>Texas:</w:t>
            </w:r>
          </w:p>
        </w:tc>
        <w:tc>
          <w:tcPr>
            <w:tcW w:w="3460" w:type="dxa"/>
            <w:vAlign w:val="bottom"/>
            <w:tcBorders>
              <w:bottom w:val="single" w:sz="8" w:color="C0FFFF"/>
            </w:tcBorders>
            <w:gridSpan w:val="2"/>
            <w:shd w:val="clear" w:color="auto" w:fill="C0FFFF"/>
          </w:tcPr>
          <w:p>
            <w:pPr>
              <w:spacing w:after="0"/>
              <w:rPr>
                <w:sz w:val="14"/>
                <w:szCs w:val="14"/>
                <w:color w:val="auto"/>
              </w:rPr>
            </w:pPr>
          </w:p>
        </w:tc>
        <w:tc>
          <w:tcPr>
            <w:tcW w:w="2700" w:type="dxa"/>
            <w:vAlign w:val="bottom"/>
            <w:tcBorders>
              <w:bottom w:val="single" w:sz="8" w:color="C0FFFF"/>
            </w:tcBorders>
            <w:shd w:val="clear" w:color="auto" w:fill="C0FFFF"/>
          </w:tcPr>
          <w:p>
            <w:pPr>
              <w:spacing w:after="0"/>
              <w:rPr>
                <w:sz w:val="14"/>
                <w:szCs w:val="14"/>
                <w:color w:val="auto"/>
              </w:rPr>
            </w:pPr>
          </w:p>
        </w:tc>
        <w:tc>
          <w:tcPr>
            <w:tcW w:w="2580" w:type="dxa"/>
            <w:vAlign w:val="bottom"/>
            <w:tcBorders>
              <w:bottom w:val="single" w:sz="8" w:color="C0FFFF"/>
            </w:tcBorders>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Austin</w:t>
            </w:r>
          </w:p>
        </w:tc>
        <w:tc>
          <w:tcPr>
            <w:tcW w:w="27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gridSpan w:val="4"/>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El Paso</w:t>
            </w:r>
          </w:p>
        </w:tc>
        <w:tc>
          <w:tcPr>
            <w:tcW w:w="27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Houston</w:t>
            </w:r>
          </w:p>
        </w:tc>
        <w:tc>
          <w:tcPr>
            <w:tcW w:w="27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gridSpan w:val="4"/>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Laredo</w:t>
            </w:r>
          </w:p>
        </w:tc>
        <w:tc>
          <w:tcPr>
            <w:tcW w:w="27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Lubbock</w:t>
            </w:r>
          </w:p>
        </w:tc>
        <w:tc>
          <w:tcPr>
            <w:tcW w:w="27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gridSpan w:val="4"/>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San Antonio</w:t>
            </w:r>
          </w:p>
        </w:tc>
        <w:tc>
          <w:tcPr>
            <w:tcW w:w="2700" w:type="dxa"/>
            <w:vAlign w:val="bottom"/>
            <w:shd w:val="clear" w:color="auto" w:fill="C0FFFF"/>
          </w:tcPr>
          <w:p>
            <w:pPr>
              <w:jc w:val="center"/>
              <w:ind w:left="222"/>
              <w:spacing w:after="0"/>
              <w:rPr>
                <w:sz w:val="20"/>
                <w:szCs w:val="20"/>
                <w:color w:val="auto"/>
              </w:rPr>
            </w:pPr>
            <w:r>
              <w:rPr>
                <w:rFonts w:ascii="Times New Roman" w:cs="Times New Roman" w:eastAsia="Times New Roman" w:hAnsi="Times New Roman"/>
                <w:sz w:val="16"/>
                <w:szCs w:val="16"/>
                <w:color w:val="auto"/>
                <w:w w:val="99"/>
              </w:rPr>
              <w:t>PacLease</w:t>
            </w:r>
          </w:p>
        </w:tc>
        <w:tc>
          <w:tcPr>
            <w:tcW w:w="2580" w:type="dxa"/>
            <w:vAlign w:val="bottom"/>
            <w:shd w:val="clear" w:color="auto" w:fill="C0FFFF"/>
          </w:tcPr>
          <w:p>
            <w:pPr>
              <w:jc w:val="center"/>
              <w:ind w:left="42"/>
              <w:spacing w:after="0"/>
              <w:rPr>
                <w:sz w:val="20"/>
                <w:szCs w:val="20"/>
                <w:color w:val="auto"/>
              </w:rPr>
            </w:pPr>
            <w:r>
              <w:rPr>
                <w:rFonts w:ascii="Times New Roman" w:cs="Times New Roman" w:eastAsia="Times New Roman" w:hAnsi="Times New Roman"/>
                <w:sz w:val="16"/>
                <w:szCs w:val="16"/>
                <w:color w:val="auto"/>
                <w:w w:val="94"/>
              </w:rPr>
              <w:t>In RTC</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i w:val="1"/>
                <w:iCs w:val="1"/>
                <w:color w:val="auto"/>
                <w:w w:val="88"/>
              </w:rPr>
              <w:t>Utah:</w:t>
            </w:r>
          </w:p>
        </w:tc>
        <w:tc>
          <w:tcPr>
            <w:tcW w:w="3500" w:type="dxa"/>
            <w:vAlign w:val="bottom"/>
            <w:tcBorders>
              <w:bottom w:val="single" w:sz="8" w:color="C0FFFF"/>
            </w:tcBorders>
            <w:gridSpan w:val="3"/>
            <w:shd w:val="clear" w:color="auto" w:fill="C0FFFF"/>
          </w:tcPr>
          <w:p>
            <w:pPr>
              <w:spacing w:after="0"/>
              <w:rPr>
                <w:sz w:val="14"/>
                <w:szCs w:val="14"/>
                <w:color w:val="auto"/>
              </w:rPr>
            </w:pPr>
          </w:p>
        </w:tc>
        <w:tc>
          <w:tcPr>
            <w:tcW w:w="2700" w:type="dxa"/>
            <w:vAlign w:val="bottom"/>
            <w:tcBorders>
              <w:bottom w:val="single" w:sz="8" w:color="C0FFFF"/>
            </w:tcBorders>
            <w:shd w:val="clear" w:color="auto" w:fill="C0FFFF"/>
          </w:tcPr>
          <w:p>
            <w:pPr>
              <w:spacing w:after="0"/>
              <w:rPr>
                <w:sz w:val="14"/>
                <w:szCs w:val="14"/>
                <w:color w:val="auto"/>
              </w:rPr>
            </w:pPr>
          </w:p>
        </w:tc>
        <w:tc>
          <w:tcPr>
            <w:tcW w:w="2580" w:type="dxa"/>
            <w:vAlign w:val="bottom"/>
            <w:tcBorders>
              <w:bottom w:val="single" w:sz="8" w:color="C0FFFF"/>
            </w:tcBorders>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Salt Lake City</w:t>
            </w:r>
          </w:p>
        </w:tc>
        <w:tc>
          <w:tcPr>
            <w:tcW w:w="270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7"/>
              </w:rPr>
              <w:t>Idealease</w:t>
            </w:r>
          </w:p>
        </w:tc>
        <w:tc>
          <w:tcPr>
            <w:tcW w:w="258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Standalone</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addition to the locations in the above table, Rush Truck Leasing also provides full-service maintenance on customers’ vehicles at several of its customers’ facilities.</w:t>
      </w:r>
    </w:p>
    <w:p>
      <w:pPr>
        <w:spacing w:after="0" w:line="234" w:lineRule="exact"/>
        <w:rPr>
          <w:sz w:val="20"/>
          <w:szCs w:val="20"/>
          <w:color w:val="auto"/>
        </w:rPr>
      </w:pPr>
    </w:p>
    <w:p>
      <w:pPr>
        <w:jc w:val="both"/>
        <w:ind w:right="20" w:firstLine="56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Financial and Insurance Products. </w:t>
      </w:r>
      <w:r>
        <w:rPr>
          <w:rFonts w:ascii="Times New Roman" w:cs="Times New Roman" w:eastAsia="Times New Roman" w:hAnsi="Times New Roman"/>
          <w:sz w:val="16"/>
          <w:szCs w:val="16"/>
          <w:color w:val="auto"/>
        </w:rPr>
        <w:t>At our Rush Truck Centers, we offer third-party financing to assist customers in purchasing new and used commercial vehicles.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Additionally, we sell, as agent, a complete line of property and casualty insurance, including collision and liability insurance on commercial vehicles, cargo insurance and credit life insurance.</w:t>
      </w:r>
    </w:p>
    <w:p>
      <w:pPr>
        <w:spacing w:after="0" w:line="204" w:lineRule="exact"/>
        <w:rPr>
          <w:sz w:val="20"/>
          <w:szCs w:val="20"/>
          <w:color w:val="auto"/>
        </w:rPr>
      </w:pPr>
    </w:p>
    <w:p>
      <w:pPr>
        <w:jc w:val="both"/>
        <w:ind w:firstLine="56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Other Businesses. </w:t>
      </w:r>
      <w:r>
        <w:rPr>
          <w:rFonts w:ascii="Times New Roman" w:cs="Times New Roman" w:eastAsia="Times New Roman" w:hAnsi="Times New Roman"/>
          <w:sz w:val="16"/>
          <w:szCs w:val="16"/>
          <w:color w:val="auto"/>
        </w:rPr>
        <w:t>Perfection Equipment offers installation of equipment, equipment repair, parts installation, and paint and body repair at its location in Oklahoma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City. Perfection Equipment specializes in up-fitting trucks used by oilfield service providers and other specialized service providers.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World Wide Tires stores operate in three locations in Texas. World Wide Tires primarily sells tires for use on Class 8 trucks.</w:t>
      </w:r>
    </w:p>
    <w:p>
      <w:pPr>
        <w:spacing w:after="0" w:line="236"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Custom Vehicle Solutions operates in two locations in Texas. Custom Vehicle Solutions provides new vehicle pre-delivery inspections, truck modifications, natural gas fuel system installations, and body, chassis upfit and component installation.</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Industry</w:t>
      </w:r>
    </w:p>
    <w:p>
      <w:pPr>
        <w:spacing w:after="0" w:line="238"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See Part II, Item 7, “Management’s Discussion and Analysis of Financial Condition and Results of Operations – Industry” for a description of our industry and the markets in which we operate.</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Our Business Strategy</w:t>
      </w:r>
    </w:p>
    <w:p>
      <w:pPr>
        <w:spacing w:after="0" w:line="236" w:lineRule="exact"/>
        <w:rPr>
          <w:sz w:val="20"/>
          <w:szCs w:val="20"/>
          <w:color w:val="auto"/>
        </w:rPr>
      </w:pPr>
    </w:p>
    <w:p>
      <w:pPr>
        <w:jc w:val="both"/>
        <w:ind w:firstLine="56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Operating Strategy. </w:t>
      </w:r>
      <w:r>
        <w:rPr>
          <w:rFonts w:ascii="Times New Roman" w:cs="Times New Roman" w:eastAsia="Times New Roman" w:hAnsi="Times New Roman"/>
          <w:sz w:val="16"/>
          <w:szCs w:val="16"/>
          <w:color w:val="auto"/>
        </w:rPr>
        <w:t>Our strategy is to operate an integrated dealer network that provides service solutions to the commercial vehicle industry. Our strategy includes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key elements:</w:t>
      </w:r>
    </w:p>
    <w:p>
      <w:pPr>
        <w:spacing w:after="0" w:line="195" w:lineRule="exact"/>
        <w:rPr>
          <w:sz w:val="20"/>
          <w:szCs w:val="20"/>
          <w:color w:val="auto"/>
        </w:rPr>
      </w:pPr>
    </w:p>
    <w:p>
      <w:pPr>
        <w:ind w:left="840" w:right="140" w:hanging="287"/>
        <w:spacing w:after="0" w:line="251" w:lineRule="auto"/>
        <w:tabs>
          <w:tab w:leader="none" w:pos="8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One-Stop Centers</w:t>
      </w:r>
      <w:r>
        <w:rPr>
          <w:rFonts w:ascii="Times New Roman" w:cs="Times New Roman" w:eastAsia="Times New Roman" w:hAnsi="Times New Roman"/>
          <w:sz w:val="16"/>
          <w:szCs w:val="16"/>
          <w:color w:val="auto"/>
        </w:rPr>
        <w:t>. We have developed our commercial vehicle dealerships as “one-stop centers” where, at one convenient location, our customers can do the following: purchase new and used commercial vehicles; finance, lease or rent commercial vehicles;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commercial vehicle sales.</w:t>
      </w:r>
    </w:p>
    <w:p>
      <w:pPr>
        <w:spacing w:after="0" w:line="210" w:lineRule="exact"/>
        <w:rPr>
          <w:rFonts w:ascii="Times New Roman" w:cs="Times New Roman" w:eastAsia="Times New Roman" w:hAnsi="Times New Roman"/>
          <w:sz w:val="16"/>
          <w:szCs w:val="16"/>
          <w:color w:val="auto"/>
        </w:rPr>
      </w:pPr>
    </w:p>
    <w:p>
      <w:pPr>
        <w:ind w:left="840" w:right="20" w:hanging="287"/>
        <w:spacing w:after="0" w:line="267" w:lineRule="auto"/>
        <w:tabs>
          <w:tab w:leader="none" w:pos="8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Branding Program</w:t>
      </w:r>
      <w:r>
        <w:rPr>
          <w:rFonts w:ascii="Times New Roman" w:cs="Times New Roman" w:eastAsia="Times New Roman" w:hAnsi="Times New Roman"/>
          <w:sz w:val="16"/>
          <w:szCs w:val="16"/>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9" w:name="page10"/>
    <w:bookmarkEnd w:id="9"/>
    <w:p>
      <w:pPr>
        <w:jc w:val="both"/>
        <w:ind w:left="840" w:hanging="287"/>
        <w:spacing w:after="0" w:line="251" w:lineRule="auto"/>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Management by Dealership Units</w:t>
      </w:r>
      <w:r>
        <w:rPr>
          <w:rFonts w:ascii="Times New Roman" w:cs="Times New Roman" w:eastAsia="Times New Roman" w:hAnsi="Times New Roman"/>
          <w:sz w:val="16"/>
          <w:szCs w:val="16"/>
          <w:color w:val="auto"/>
        </w:rPr>
        <w:t>. At each of our dealerships, we operate one or more of the following departments: new commercial vehicle sales, used commercial vehicle sales, financial services, parts, service or body shop. Our general managers measure and manage the operations of each of our dealerships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210" w:lineRule="exact"/>
        <w:rPr>
          <w:rFonts w:ascii="Times New Roman" w:cs="Times New Roman" w:eastAsia="Times New Roman" w:hAnsi="Times New Roman"/>
          <w:sz w:val="16"/>
          <w:szCs w:val="16"/>
          <w:color w:val="auto"/>
        </w:rPr>
      </w:pPr>
    </w:p>
    <w:p>
      <w:pPr>
        <w:jc w:val="both"/>
        <w:ind w:left="840" w:hanging="287"/>
        <w:spacing w:after="0" w:line="255" w:lineRule="auto"/>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Aftermarket Services.</w:t>
      </w:r>
      <w:r>
        <w:rPr>
          <w:rFonts w:ascii="Times New Roman" w:cs="Times New Roman" w:eastAsia="Times New Roman" w:hAnsi="Times New Roman"/>
          <w:sz w:val="16"/>
          <w:szCs w:val="16"/>
          <w:color w:val="auto"/>
        </w:rPr>
        <w:t xml:space="preserve"> The Company’s aftermarket capabilities now include a wide range of services and products such as a fleet of mobile service units, mobile technicians who staff our customers’ facilities, a proprietary line of parts and accessories, new diagnostic and analysis capabilities, factory certified service for alternative fuel vehicles and assembly service for specialized bodies and equipment.</w:t>
      </w:r>
    </w:p>
    <w:p>
      <w:pPr>
        <w:spacing w:after="0" w:line="205" w:lineRule="exact"/>
        <w:rPr>
          <w:sz w:val="20"/>
          <w:szCs w:val="20"/>
          <w:color w:val="auto"/>
        </w:rPr>
      </w:pPr>
    </w:p>
    <w:p>
      <w:pPr>
        <w:jc w:val="both"/>
        <w:ind w:right="320" w:firstLine="56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Growth Strategy. </w:t>
      </w:r>
      <w:r>
        <w:rPr>
          <w:rFonts w:ascii="Times New Roman" w:cs="Times New Roman" w:eastAsia="Times New Roman" w:hAnsi="Times New Roman"/>
          <w:sz w:val="16"/>
          <w:szCs w:val="16"/>
          <w:color w:val="auto"/>
        </w:rPr>
        <w:t>Through our expansion and acquisition initiatives, we have grown to operate a large, multistate, full-service network of commercial vehicle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dealerships. As described below, we intend to continue to grow our business internally and through acquisitions by expanding into new geographic areas, expanding our product and service offerings and opening new dealerships in existing markets.</w:t>
      </w:r>
    </w:p>
    <w:p>
      <w:pPr>
        <w:spacing w:after="0" w:line="206" w:lineRule="exact"/>
        <w:rPr>
          <w:sz w:val="20"/>
          <w:szCs w:val="20"/>
          <w:color w:val="auto"/>
        </w:rPr>
      </w:pPr>
    </w:p>
    <w:p>
      <w:pPr>
        <w:jc w:val="both"/>
        <w:ind w:left="840" w:right="20" w:hanging="287"/>
        <w:spacing w:after="0" w:line="255" w:lineRule="auto"/>
        <w:tabs>
          <w:tab w:leader="none" w:pos="8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Expansion Into New Geographic Areas.</w:t>
      </w:r>
      <w:r>
        <w:rPr>
          <w:rFonts w:ascii="Times New Roman" w:cs="Times New Roman" w:eastAsia="Times New Roman" w:hAnsi="Times New Roman"/>
          <w:sz w:val="16"/>
          <w:szCs w:val="16"/>
          <w:color w:val="auto"/>
        </w:rPr>
        <w:t xml:space="preserve"> We plan to continue to expand our dealership network by acquiring dealerships in areas of the U.S. where we do not already have dealerships. We believe the geographic diversity of our Rush Truck Center network has significantly expanded our customer base while reducing the effects of local economic cycles.</w:t>
      </w:r>
    </w:p>
    <w:p>
      <w:pPr>
        <w:spacing w:after="0" w:line="206" w:lineRule="exact"/>
        <w:rPr>
          <w:rFonts w:ascii="Times New Roman" w:cs="Times New Roman" w:eastAsia="Times New Roman" w:hAnsi="Times New Roman"/>
          <w:sz w:val="16"/>
          <w:szCs w:val="16"/>
          <w:color w:val="auto"/>
        </w:rPr>
      </w:pPr>
    </w:p>
    <w:p>
      <w:pPr>
        <w:jc w:val="both"/>
        <w:ind w:left="840" w:hanging="287"/>
        <w:spacing w:after="0" w:line="249" w:lineRule="auto"/>
        <w:tabs>
          <w:tab w:leader="none" w:pos="8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Expansion of Product and Service Offerings.</w:t>
      </w:r>
      <w:r>
        <w:rPr>
          <w:rFonts w:ascii="Times New Roman" w:cs="Times New Roman" w:eastAsia="Times New Roman" w:hAnsi="Times New Roman"/>
          <w:sz w:val="16"/>
          <w:szCs w:val="16"/>
          <w:color w:val="auto"/>
        </w:rPr>
        <w:t xml:space="preserve"> We intend to continue to expand our product lines within our dealerships by adding product categories and service capabilities that are both complementary to our existing product lines and well suited to our operating model. We believe that there are many additional product and service offerings that would complement our primary product lines. For example, in recent years we have significantly expanded our fleet of mobile service units and mobile technicians who staff our customers’ facilities. We have also added two Custom Vehicle Solutions locations that are focused exclusively on pre-delivery modifications to vehicles sold at our dealerships and other dealerships around the country.</w:t>
      </w:r>
    </w:p>
    <w:p>
      <w:pPr>
        <w:spacing w:after="0" w:line="211" w:lineRule="exact"/>
        <w:rPr>
          <w:rFonts w:ascii="Times New Roman" w:cs="Times New Roman" w:eastAsia="Times New Roman" w:hAnsi="Times New Roman"/>
          <w:sz w:val="16"/>
          <w:szCs w:val="16"/>
          <w:color w:val="auto"/>
        </w:rPr>
      </w:pPr>
    </w:p>
    <w:p>
      <w:pPr>
        <w:ind w:left="840" w:hanging="287"/>
        <w:spacing w:after="0" w:line="267" w:lineRule="auto"/>
        <w:tabs>
          <w:tab w:leader="none" w:pos="8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Open New Rush Truck Centers in Existing Areas of Operation.</w:t>
      </w:r>
      <w:r>
        <w:rPr>
          <w:rFonts w:ascii="Times New Roman" w:cs="Times New Roman" w:eastAsia="Times New Roman" w:hAnsi="Times New Roman"/>
          <w:sz w:val="16"/>
          <w:szCs w:val="16"/>
          <w:color w:val="auto"/>
        </w:rPr>
        <w:t xml:space="preserve"> We continually evaluate opportunities to increase our market presence by adding new Rush Truck Centers to underserved markets within our current areas of operation.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of Our Dealerships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manage our dealerships as described below.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Rush Truck Centers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Our Rush Truck Centers are responsible for sales of new and used commercial vehicles, as well as related parts and services.</w:t>
      </w:r>
    </w:p>
    <w:p>
      <w:pPr>
        <w:spacing w:after="0" w:line="236" w:lineRule="exact"/>
        <w:rPr>
          <w:sz w:val="20"/>
          <w:szCs w:val="20"/>
          <w:color w:val="auto"/>
        </w:rPr>
      </w:pPr>
    </w:p>
    <w:p>
      <w:pPr>
        <w:jc w:val="both"/>
        <w:ind w:firstLine="560"/>
        <w:spacing w:after="0" w:line="247" w:lineRule="auto"/>
        <w:rPr>
          <w:sz w:val="20"/>
          <w:szCs w:val="20"/>
          <w:color w:val="auto"/>
        </w:rPr>
      </w:pPr>
      <w:r>
        <w:rPr>
          <w:rFonts w:ascii="Times New Roman" w:cs="Times New Roman" w:eastAsia="Times New Roman" w:hAnsi="Times New Roman"/>
          <w:sz w:val="16"/>
          <w:szCs w:val="16"/>
          <w:u w:val="single" w:color="auto"/>
          <w:color w:val="auto"/>
        </w:rPr>
        <w:t>Commercial Vehicle Parts and Service</w:t>
      </w:r>
      <w:r>
        <w:rPr>
          <w:rFonts w:ascii="Times New Roman" w:cs="Times New Roman" w:eastAsia="Times New Roman" w:hAnsi="Times New Roman"/>
          <w:sz w:val="16"/>
          <w:szCs w:val="16"/>
          <w:color w:val="auto"/>
        </w:rPr>
        <w:t>. Commercial vehicle related parts and service revenues accounted for approximately $817.3 million, or 26.4%, of our total revenues for 2012, but 63.0% of our gross profit. The parts and service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makes and classes of commercial vehicles. Each Rush Truck Center is a warranty service center for the commercial vehicle manufacturers represented at that location and most are also authorized service centers for other vehicle component manufacturers, including Cummins, Eaton and Allison. We have more than 1,450 service and body shop bays throughout our Rush Truck Center network. We also have approximately 180 mobile service units and 300 mobile technicians who staff our mobile service units and our customers’ facilities.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10" w:name="page11"/>
    <w:bookmarkEnd w:id="10"/>
    <w:p>
      <w:pPr>
        <w:jc w:val="both"/>
        <w:ind w:firstLine="816"/>
        <w:spacing w:after="0" w:line="255" w:lineRule="auto"/>
        <w:rPr>
          <w:sz w:val="20"/>
          <w:szCs w:val="20"/>
          <w:color w:val="auto"/>
        </w:rPr>
      </w:pPr>
      <w:r>
        <w:rPr>
          <w:rFonts w:ascii="Times New Roman" w:cs="Times New Roman" w:eastAsia="Times New Roman" w:hAnsi="Times New Roman"/>
          <w:sz w:val="16"/>
          <w:szCs w:val="16"/>
          <w:color w:val="auto"/>
        </w:rPr>
        <w:t>Our service departments perform warranty and non-warranty repairs on commercial vehicles. The cost of warranty work is generally reimbursed by the applicable manufacturer at retail commercial rates. Additionally, we provide a wide array of services, including assembly service for specialized truck bodies and truck mounted equipment. Our goal is to provide our customer any service that they need related to their commercial vehicles.</w:t>
      </w:r>
    </w:p>
    <w:p>
      <w:pPr>
        <w:spacing w:after="0" w:line="207"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As part of our leasing and rental operations, we also enter into contracts to provide full-service maintenance on some customers’ vehicles. We had 851 vehicles under contract maintenance as of December 31, 2012, and 637 vehicles under contract maintenance as of December 31, 2011. This revenue is included as parts and service revenue on the Consolidated Statement of Income.</w:t>
      </w:r>
    </w:p>
    <w:p>
      <w:pPr>
        <w:spacing w:after="0" w:line="207"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u w:val="single" w:color="auto"/>
          <w:color w:val="auto"/>
        </w:rPr>
        <w:t>New Commercial Vehicle Sales</w:t>
      </w:r>
      <w:r>
        <w:rPr>
          <w:rFonts w:ascii="Times New Roman" w:cs="Times New Roman" w:eastAsia="Times New Roman" w:hAnsi="Times New Roman"/>
          <w:sz w:val="16"/>
          <w:szCs w:val="16"/>
          <w:color w:val="auto"/>
        </w:rPr>
        <w:t>. New heavy-duty truck sales represent the largest portion of our revenue, accounting for approximately $1,410.3 million, or 45.6%, of our total revenues in 2012. New Class 8 heavy-duty Peterbilt truck sales accounted for approximately 68.0% of our new commercial vehicle revenues for 2012.</w:t>
      </w:r>
    </w:p>
    <w:p>
      <w:pPr>
        <w:spacing w:after="0" w:line="197" w:lineRule="exact"/>
        <w:rPr>
          <w:sz w:val="20"/>
          <w:szCs w:val="20"/>
          <w:color w:val="auto"/>
        </w:rPr>
      </w:pPr>
    </w:p>
    <w:p>
      <w:pPr>
        <w:jc w:val="both"/>
        <w:ind w:firstLine="560"/>
        <w:spacing w:after="0" w:line="247" w:lineRule="auto"/>
        <w:rPr>
          <w:sz w:val="20"/>
          <w:szCs w:val="20"/>
          <w:color w:val="auto"/>
        </w:rPr>
      </w:pPr>
      <w:r>
        <w:rPr>
          <w:rFonts w:ascii="Times New Roman" w:cs="Times New Roman" w:eastAsia="Times New Roman" w:hAnsi="Times New Roman"/>
          <w:sz w:val="16"/>
          <w:szCs w:val="16"/>
          <w:color w:val="auto"/>
        </w:rPr>
        <w:t xml:space="preserve">Our Rush Truck Centers that sell new and used Class 8 heavy-duty trucks also sell medium-duty and light-duty commercial vehicles. Certain Rush Truck Centers sell medium-duty commercial vehicles manufactured by Peterbilt, Hino, Isuzu, Ford, International or Mitsubishi Fuso and buses manufactured by Blue Bird, IC BUS and Elkhart and light-duty commercial vehicles manufactured by Ford (see Part I, Item 1, “General – </w:t>
      </w:r>
      <w:r>
        <w:rPr>
          <w:rFonts w:ascii="Times New Roman" w:cs="Times New Roman" w:eastAsia="Times New Roman" w:hAnsi="Times New Roman"/>
          <w:sz w:val="16"/>
          <w:szCs w:val="16"/>
          <w:i w:val="1"/>
          <w:iCs w:val="1"/>
          <w:color w:val="auto"/>
        </w:rPr>
        <w:t>Rush Truck Centers</w:t>
      </w:r>
      <w:r>
        <w:rPr>
          <w:rFonts w:ascii="Times New Roman" w:cs="Times New Roman" w:eastAsia="Times New Roman" w:hAnsi="Times New Roman"/>
          <w:sz w:val="16"/>
          <w:szCs w:val="16"/>
          <w:color w:val="auto"/>
        </w:rPr>
        <w:t>” for information on which brands we sell at each Rush Truck Center). New medium-duty commercial vehicle sales, excluding new bus sales, accounted for approximately $425.8 million, or 13.8% of our total revenues for 2012, and 21.8% of our new commercial vehicle revenues for 2012. New light-duty commercial vehicle sales accounted for approximately $45.4 million, or 1.5% of our total revenues for 2012, and 2.3% of our new commercial vehicle revenues for 2012. New bus sales accounted for approximately $53.7 million, or 1.7% of our total revenues for 2012, and 2.8% of our new commercial vehicle revenues for 2012.</w:t>
      </w:r>
    </w:p>
    <w:p>
      <w:pPr>
        <w:spacing w:after="0" w:line="214"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A significant portion of our new commercial vehicle sales are to fleet customers (customers who purchase more than five commercial vehicles in any 12-month period). Because of the size and geographic scope of our Rush Truck Center network, our strong relationships with our fleet customers and our ability to handle large quantities of used commercial vehicle trade-ins, we are able to successfully market and sell to fleet customers nationwide. We believe that we have a competitive advantage over most other dealers in that we can absorb multi-unit trade-ins often associated with fleet sales and effectively disperse the used commercial vehicles for resale throughout our dealership network. We believe that the broad range of services we offer to purchasers of commercial vehicles at the time of purchase and post-purchase has resulted in a high level of customer loyalty.</w:t>
      </w:r>
    </w:p>
    <w:p>
      <w:pPr>
        <w:spacing w:after="0" w:line="212"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u w:val="single" w:color="auto"/>
          <w:color w:val="auto"/>
        </w:rPr>
        <w:t>Used Commercial Vehicle Sales</w:t>
      </w:r>
      <w:r>
        <w:rPr>
          <w:rFonts w:ascii="Times New Roman" w:cs="Times New Roman" w:eastAsia="Times New Roman" w:hAnsi="Times New Roman"/>
          <w:sz w:val="16"/>
          <w:szCs w:val="16"/>
          <w:color w:val="auto"/>
        </w:rPr>
        <w:t>. Used commercial vehicle sales accounted for approximately $197.6 million, or 6.4%, of our total revenues for 2012. We sell used commercial vehicles at most of our Rush Truck Centers. We believe that we are well positioned to market used commercial vehicles due to our ability to recondition them for resale utilizing the parts and service departments of our Rush Truck Centers and our ability to move used commercial vehicles between Rush Truck Centers to satisfy customer demand. The majority of our used commercial vehicle inventory consists of commercial vehicles taken as trade-ins from new truck customers or retired from our lease and rental fleet, but we supplement our used commercial vehicle inventory by purchasing used commercial vehicles from third parties for resale.</w:t>
      </w:r>
    </w:p>
    <w:p>
      <w:pPr>
        <w:spacing w:after="0" w:line="212"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u w:val="single" w:color="auto"/>
          <w:color w:val="auto"/>
        </w:rPr>
        <w:t>New and Used Commercial Vehicle Financing</w:t>
      </w:r>
      <w:r>
        <w:rPr>
          <w:rFonts w:ascii="Times New Roman" w:cs="Times New Roman" w:eastAsia="Times New Roman" w:hAnsi="Times New Roman"/>
          <w:sz w:val="16"/>
          <w:szCs w:val="16"/>
          <w:color w:val="auto"/>
        </w:rPr>
        <w:t>. Our Rush Truck Centers have personnel responsible for arranging third-party financing for our product offerings. Generally, commercial vehicle finance contracts are memorialized through the use of installment contracts, which are secured by the commercial vehicles financed, and require a down payment, with the remaining balance financed over a two to seven-year period. The majority of finance contracts are sold to third parties without recourse to the Company. The Company provides an allowance for repossession losses and early repayment penalties.</w:t>
      </w:r>
    </w:p>
    <w:p>
      <w:pPr>
        <w:spacing w:after="0" w:line="210"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u w:val="single" w:color="auto"/>
          <w:color w:val="auto"/>
        </w:rPr>
        <w:t>Truck Leasing and Rental</w:t>
      </w:r>
      <w:r>
        <w:rPr>
          <w:rFonts w:ascii="Times New Roman" w:cs="Times New Roman" w:eastAsia="Times New Roman" w:hAnsi="Times New Roman"/>
          <w:sz w:val="16"/>
          <w:szCs w:val="16"/>
          <w:color w:val="auto"/>
        </w:rPr>
        <w:t>. Truck leasing and rental revenues accounted for approximately $100.3 million, or 3.2%, of our total revenues for 2012. At our Rush Truck Leasing locations, we engage in full-service truck leasing under the PacLease and Idealease trade names.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4,508 vehicles in our lease and rental fleet as of December 31, 2012 compared to 3,363 vehicles as of December 31, 2011. Generally, we sell trucks that have been retired from our lease and rental fleet through the used sales operations at our Rush Truck Centers. Historically, we have realized gains on the sale of used lease and rental trucks.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color w:val="auto"/>
        </w:rPr>
        <w:t>Insurance Products</w:t>
      </w:r>
    </w:p>
    <w:p>
      <w:pPr>
        <w:spacing w:after="0" w:line="238"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The sale of financial and insurance products accounted for approximately $13.6 million, or 0.4%, of our total revenue for 2012. Finance and insurance revenues have minimal direct costs and, therefore, contribute a disproportionate share of our operating profits.</w:t>
      </w:r>
    </w:p>
    <w:p>
      <w:pPr>
        <w:spacing w:after="0" w:line="197"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u w:val="single" w:color="auto"/>
          <w:color w:val="auto"/>
        </w:rPr>
        <w:t>Insurance Products</w:t>
      </w:r>
      <w:r>
        <w:rPr>
          <w:rFonts w:ascii="Times New Roman" w:cs="Times New Roman" w:eastAsia="Times New Roman" w:hAnsi="Times New Roman"/>
          <w:sz w:val="16"/>
          <w:szCs w:val="16"/>
          <w:color w:val="auto"/>
        </w:rPr>
        <w:t>. We sell, as agent, a complete line of property and casualty insurance to commercial vehicle owners. Our agency is licensed to sell truck liability, collision and comprehensive, workers’ compensation, cargo, credit life and occupational accident insurance coverage offered by a number of leading insurance companies. Our renewal rate in 2012 was 80%. We also have licensed insurance agents at several Rush Truck Centers.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38" w:lineRule="exact"/>
        <w:rPr>
          <w:sz w:val="20"/>
          <w:szCs w:val="20"/>
          <w:color w:val="auto"/>
        </w:rPr>
      </w:pPr>
    </w:p>
    <w:p>
      <w:pPr>
        <w:jc w:val="both"/>
        <w:ind w:right="20" w:firstLine="560"/>
        <w:spacing w:after="0" w:line="251" w:lineRule="auto"/>
        <w:rPr>
          <w:sz w:val="20"/>
          <w:szCs w:val="20"/>
          <w:color w:val="auto"/>
        </w:rPr>
      </w:pPr>
      <w:r>
        <w:rPr>
          <w:rFonts w:ascii="Times New Roman" w:cs="Times New Roman" w:eastAsia="Times New Roman" w:hAnsi="Times New Roman"/>
          <w:sz w:val="16"/>
          <w:szCs w:val="16"/>
          <w:color w:val="auto"/>
        </w:rPr>
        <w:t>Our established long history of operations in the commercial vehicle business has resulted in a strong customer base that is diverse in terms of geography, industry and scale of operations. Our customers include owner operators, regional and national truck fleets, corporations and local governments. During 2012, no single customer accounted for more than 10% of our sales by dollar volume. We generally promote our products and related services through direct customer contact by our sales personnel, advertisements in trade magazines and attendance at industry shows.</w:t>
      </w:r>
    </w:p>
    <w:p>
      <w:pPr>
        <w:spacing w:after="0" w:line="210"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In an effort to enhance our name recognition and to communicate the standardized high level of quality products and services provided at our Rush Truck Centers, we implement our “Rush” brand name concept at each of our dealerships.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Facility Management</w:t>
      </w:r>
    </w:p>
    <w:p>
      <w:pPr>
        <w:spacing w:after="0" w:line="236" w:lineRule="exact"/>
        <w:rPr>
          <w:sz w:val="20"/>
          <w:szCs w:val="20"/>
          <w:color w:val="auto"/>
        </w:rPr>
      </w:pPr>
    </w:p>
    <w:p>
      <w:pPr>
        <w:jc w:val="both"/>
        <w:ind w:firstLine="560"/>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Personnel. </w:t>
      </w:r>
      <w:r>
        <w:rPr>
          <w:rFonts w:ascii="Times New Roman" w:cs="Times New Roman" w:eastAsia="Times New Roman" w:hAnsi="Times New Roman"/>
          <w:sz w:val="16"/>
          <w:szCs w:val="16"/>
          <w:color w:val="auto"/>
        </w:rPr>
        <w:t>Each of our facilities is typically managed by a general manager who oversees the operations, personnel and the financial performance of the location,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direction of a regional manager and personnel at our corporate headquarters. Additionally, each full-service Rush Truck Center is typically staffed by a sales manager, parts manager, service manager, body shop manager, sales representatives, parts employees, and other service and make-ready employees, as appropriate, given the services offered. The sales staff of each Rush Truck Center is compensated on a salary plus commission or a commission only basis, while managers receive a combination of salary and performance bonus. We believe that our employees are among the highest paid in their respective industry, which enables us to attract and retain qualified personnel.</w:t>
      </w:r>
    </w:p>
    <w:p>
      <w:pPr>
        <w:spacing w:after="0" w:line="210"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On an annual basis, the regional managers work with the general managers to prepare detailed monthly profit and loss forecasts based upon historical information and projected trends. During the year, the general managers regularly review their facility’s progress with their regional manager and senior management and make appropriate adjustments as needed.</w:t>
      </w:r>
    </w:p>
    <w:p>
      <w:pPr>
        <w:spacing w:after="0" w:line="207"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 sponsored leadership and management seminars and receive continuing education on the products we distribute, marketing strategies and management information systems.</w:t>
      </w:r>
    </w:p>
    <w:p>
      <w:pPr>
        <w:spacing w:after="0" w:line="207"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Each Rush Truck Center is audited regularly for compliance with corporate policies and procedures. These routine unannounced internal 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2" w:name="page13"/>
    <w:bookmarkEnd w:id="12"/>
    <w:p>
      <w:pPr>
        <w:jc w:val="both"/>
        <w:ind w:firstLine="56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Purchasing and Suppliers. </w:t>
      </w:r>
      <w:r>
        <w:rPr>
          <w:rFonts w:ascii="Times New Roman" w:cs="Times New Roman" w:eastAsia="Times New Roman" w:hAnsi="Times New Roman"/>
          <w:sz w:val="16"/>
          <w:szCs w:val="16"/>
          <w:color w:val="auto"/>
        </w:rPr>
        <w:t>We believe that pricing is an important element of our marketing strategy. Because of our size, we benefit from volume purchases at favorable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207" w:lineRule="exact"/>
        <w:rPr>
          <w:sz w:val="20"/>
          <w:szCs w:val="20"/>
          <w:color w:val="auto"/>
        </w:rPr>
      </w:pPr>
    </w:p>
    <w:p>
      <w:pPr>
        <w:jc w:val="both"/>
        <w:ind w:firstLine="56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Management Information Systems. </w:t>
      </w:r>
      <w:r>
        <w:rPr>
          <w:rFonts w:ascii="Times New Roman" w:cs="Times New Roman" w:eastAsia="Times New Roman" w:hAnsi="Times New Roman"/>
          <w:sz w:val="16"/>
          <w:szCs w:val="16"/>
          <w:color w:val="auto"/>
        </w:rPr>
        <w:t>We utilize our management information systems to monitor the inventory level of commercial vehicles and parts at each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dealerships. Management tracks historic sales levels of different product lines, which enables management to identify the appropriate level and combination of inventory and forms the basis of our operating plan.</w:t>
      </w:r>
    </w:p>
    <w:p>
      <w:pPr>
        <w:spacing w:after="0" w:line="206"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Information received from industry analysts allows us to determine market share statistics and gross volume sales numbers for our products as well as those of competitors. Local management remains aware of changes within markets we service and are able to realign product lines and add new commercial vehicle models as demands of the market change.</w:t>
      </w:r>
    </w:p>
    <w:p>
      <w:pPr>
        <w:spacing w:after="0" w:line="205" w:lineRule="exact"/>
        <w:rPr>
          <w:sz w:val="20"/>
          <w:szCs w:val="20"/>
          <w:color w:val="auto"/>
        </w:rPr>
      </w:pPr>
    </w:p>
    <w:p>
      <w:pPr>
        <w:jc w:val="both"/>
        <w:ind w:firstLine="560"/>
        <w:spacing w:after="0" w:line="299" w:lineRule="auto"/>
        <w:rPr>
          <w:sz w:val="20"/>
          <w:szCs w:val="20"/>
          <w:color w:val="auto"/>
        </w:rPr>
      </w:pPr>
      <w:r>
        <w:rPr>
          <w:rFonts w:ascii="Times New Roman" w:cs="Times New Roman" w:eastAsia="Times New Roman" w:hAnsi="Times New Roman"/>
          <w:sz w:val="14"/>
          <w:szCs w:val="14"/>
          <w:i w:val="1"/>
          <w:iCs w:val="1"/>
          <w:color w:val="auto"/>
        </w:rPr>
        <w:t xml:space="preserve">Distribution and Inventory Management. </w:t>
      </w:r>
      <w:r>
        <w:rPr>
          <w:rFonts w:ascii="Times New Roman" w:cs="Times New Roman" w:eastAsia="Times New Roman" w:hAnsi="Times New Roman"/>
          <w:sz w:val="14"/>
          <w:szCs w:val="14"/>
          <w:color w:val="auto"/>
        </w:rPr>
        <w:t>We utilize a real-time inventory tracking system that allows for the prompt transfer of inventory among various Rush Truck Centers.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transfer of inventory reduces delays in delivery, helps maximize inventory turns and assists in controlling problems created by overstock and understock situations. We are linked directly to our major suppliers,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Acquisitions and Disposition</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$26.2 million at closing and a $4.8 million note receivable to be paid over four years. Before closing, the Company paid liabilities, related to the assets sold, of approximately $14.6 million. The Company recorded a gain on the transaction of $10.1 million. The Construction Equipment segment will no longer be reported as a separate business segment.</w:t>
      </w:r>
    </w:p>
    <w:p>
      <w:pPr>
        <w:spacing w:after="0" w:line="210" w:lineRule="exact"/>
        <w:rPr>
          <w:sz w:val="20"/>
          <w:szCs w:val="20"/>
          <w:color w:val="auto"/>
        </w:rPr>
      </w:pPr>
    </w:p>
    <w:p>
      <w:pPr>
        <w:jc w:val="both"/>
        <w:ind w:right="20" w:firstLine="560"/>
        <w:spacing w:after="0" w:line="249" w:lineRule="auto"/>
        <w:rPr>
          <w:sz w:val="20"/>
          <w:szCs w:val="20"/>
          <w:color w:val="auto"/>
        </w:rPr>
      </w:pPr>
      <w:r>
        <w:rPr>
          <w:rFonts w:ascii="Times New Roman" w:cs="Times New Roman" w:eastAsia="Times New Roman" w:hAnsi="Times New Roman"/>
          <w:sz w:val="16"/>
          <w:szCs w:val="16"/>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at five locations in Utah, five locations in Idaho and one location in Oregon. These locations now operate as Rush Truck Centers. Rush Truck Leasing operates Idealease truck rental and leasing franchises at locations in Salt Lake City, Utah, and Boise, Idaho. The transaction, including the real estate, was valued at approximately $70.0 million. The purchase price for the assets of the business was paid in cash and the purchase price for the real estate was partially paid in cash with the remainder financed with long-term debt.</w:t>
      </w:r>
    </w:p>
    <w:p>
      <w:pPr>
        <w:spacing w:after="0" w:line="212"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w:t>
      </w:r>
    </w:p>
    <w:p>
      <w:pPr>
        <w:spacing w:after="0" w:line="207"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On October 12, 2010, the Company acquired certain assets of Metro Ford Truck Sales, Inc., which consisted of a Ford and Isuzu commercial vehicle dealership in Dallas, Texas. The Company is operating the facility as a full-service Rush Truck Center offering Ford and Isuzu medium-duty trucks, parts and service. The transaction, including the real estate, was valued at approximately $5.6 million, with the purchase price paid in cash.</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3" w:name="page14"/>
    <w:bookmarkEnd w:id="13"/>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On February 21, 2011, the Company acquired certain assets of Heintzelman’s Truck Center, which consisted of a Ford commercial vehicle dealership in Orlando, Florida. The Company is operating the facility as a full-service Rush Truck Center offering Ford trucks, parts, service, leasing, financing and insurance. The transaction was valued at approximately $4.7 million, with the purchase price paid in cash.</w:t>
      </w:r>
    </w:p>
    <w:p>
      <w:pPr>
        <w:spacing w:after="0" w:line="207"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On March 14, 2011, the Company acquired certain assets of Asbury Automotive Atlanta L.L.C., a subsidiary of Asbury Automotive Group, Inc., which operates commercial truck and bus dealerships in the metro Atlanta area under the "Nalley Motor Trucks" name. The acquisition included the International, Hino, Isuzu, UD, IC Bus and Workhorse franchises in metro Atlanta, dealership locations in Atlanta and Doraville and a collision center in Atlanta. These locations now operate as Rush Truck Centers. The transaction was valued at approximately $55.3 million. The purchase price for the assets of the business was paid in cash and the purchase price for the real estate was partially paid in cash with the remainder financed with long-term debt.</w:t>
      </w:r>
    </w:p>
    <w:p>
      <w:pPr>
        <w:spacing w:after="0" w:line="212"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On November 5, 2011, the Company acquired certain assets of Peck Road Ford, which consisted of a Ford and Isuzu commercial vehicle dealership in Whittier, California. The Company is operating the facility as a full-service Rush Truck Center offering Ford and Isuzu trucks, parts, service, financing and insurance. This location also offers Peterbilt parts and service. The transaction, including real estate, was valued at approximately $10.0 million. The purchase price for the assets of the business was paid in cash and the purchase price for the real estate was partially paid in cash with the remainder financed with long-term debt.</w:t>
      </w:r>
    </w:p>
    <w:p>
      <w:pPr>
        <w:spacing w:after="0" w:line="210" w:lineRule="exact"/>
        <w:rPr>
          <w:sz w:val="20"/>
          <w:szCs w:val="20"/>
          <w:color w:val="auto"/>
        </w:rPr>
      </w:pPr>
    </w:p>
    <w:p>
      <w:pPr>
        <w:jc w:val="both"/>
        <w:ind w:firstLine="560"/>
        <w:spacing w:after="0" w:line="298" w:lineRule="auto"/>
        <w:rPr>
          <w:sz w:val="20"/>
          <w:szCs w:val="20"/>
          <w:color w:val="auto"/>
        </w:rPr>
      </w:pPr>
      <w:r>
        <w:rPr>
          <w:rFonts w:ascii="Times New Roman" w:cs="Times New Roman" w:eastAsia="Times New Roman" w:hAnsi="Times New Roman"/>
          <w:sz w:val="14"/>
          <w:szCs w:val="14"/>
          <w:color w:val="auto"/>
        </w:rPr>
        <w:t>On December 5, 2011, the Company acquired certain assets of West Texas Peterbilt, which consisted of dealerships in Amarillo, Lubbock and Odessa, Texas that offer Peterbilt trucks, parts and service, a parts and service facility in Dalhart, Texas and a parts facility in Hereford, Texas. These dealerships now operate as Rush Truck Centers. Rush Truck Leasing operates a PacLease truck rental and leasing franchise in Lubbock, Texas. The transaction, including real estate, was valued at approximately $24.6 million. The purchase price for the assets of the business was paid in cash and the purchase price for the real estate was partially paid in cash with the remainder financed with long-term debt.</w:t>
      </w:r>
    </w:p>
    <w:p>
      <w:pPr>
        <w:spacing w:after="0" w:line="180" w:lineRule="exact"/>
        <w:rPr>
          <w:sz w:val="20"/>
          <w:szCs w:val="20"/>
          <w:color w:val="auto"/>
        </w:rPr>
      </w:pPr>
    </w:p>
    <w:p>
      <w:pPr>
        <w:jc w:val="both"/>
        <w:ind w:firstLine="560"/>
        <w:spacing w:after="0" w:line="293" w:lineRule="auto"/>
        <w:rPr>
          <w:sz w:val="20"/>
          <w:szCs w:val="20"/>
          <w:color w:val="auto"/>
        </w:rPr>
      </w:pPr>
      <w:r>
        <w:rPr>
          <w:rFonts w:ascii="Times New Roman" w:cs="Times New Roman" w:eastAsia="Times New Roman" w:hAnsi="Times New Roman"/>
          <w:sz w:val="14"/>
          <w:szCs w:val="14"/>
          <w:color w:val="auto"/>
        </w:rPr>
        <w:t>On December 31, 2012, the Company acquired certain assets of MVI Group, which operated commercial truck and bus dealerships in Ohio under the names of Miami Valley International, Center City International, CCI North Coast and Buckeye Truck Centers. The acquisition included International, IC Bus, and Isuzu franchise locations in Akron, Cincinnati, Cleveland, Columbus, Dayton, Findlay and Lima, Ohio. These dealerships now operate as Rush Truck Centers. Rush Truck Leasing now operates Idealease truck rental and leasing franchises in Cincinnati, Cleveland, Columbus, Dayton and Lima, Ohio. The transaction, including real estate, was valued at approximately $104.5 million. The purchase price for the assets of the business was financed under the Company’s floor plan and lease and rental truck financing arrangements with the remainder paid in cash.</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See Note 15 of the Notes to Consolidated Financial Statements for a detailed discussion of the allocation of the purchase price of these acquisitions.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38" w:lineRule="exact"/>
        <w:rPr>
          <w:sz w:val="20"/>
          <w:szCs w:val="20"/>
          <w:color w:val="auto"/>
        </w:rPr>
      </w:pPr>
    </w:p>
    <w:p>
      <w:pPr>
        <w:ind w:right="320" w:firstLine="560"/>
        <w:spacing w:after="0" w:line="267" w:lineRule="auto"/>
        <w:rPr>
          <w:sz w:val="20"/>
          <w:szCs w:val="20"/>
          <w:color w:val="auto"/>
        </w:rPr>
      </w:pPr>
      <w:r>
        <w:rPr>
          <w:rFonts w:ascii="Times New Roman" w:cs="Times New Roman" w:eastAsia="Times New Roman" w:hAnsi="Times New Roman"/>
          <w:sz w:val="16"/>
          <w:szCs w:val="16"/>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97" w:lineRule="exact"/>
        <w:rPr>
          <w:sz w:val="20"/>
          <w:szCs w:val="20"/>
          <w:color w:val="auto"/>
        </w:rPr>
      </w:pPr>
    </w:p>
    <w:p>
      <w:pPr>
        <w:ind w:left="840" w:hanging="287"/>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accessibility of dealership locations;</w:t>
      </w:r>
    </w:p>
    <w:p>
      <w:pPr>
        <w:spacing w:after="0" w:line="235" w:lineRule="exact"/>
        <w:rPr>
          <w:rFonts w:ascii="Times New Roman" w:cs="Times New Roman" w:eastAsia="Times New Roman" w:hAnsi="Times New Roman"/>
          <w:sz w:val="16"/>
          <w:szCs w:val="16"/>
          <w:color w:val="auto"/>
        </w:rPr>
      </w:pPr>
    </w:p>
    <w:p>
      <w:pPr>
        <w:ind w:left="840" w:hanging="287"/>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dealership locations;</w:t>
      </w:r>
    </w:p>
    <w:p>
      <w:pPr>
        <w:spacing w:after="0" w:line="235" w:lineRule="exact"/>
        <w:rPr>
          <w:rFonts w:ascii="Times New Roman" w:cs="Times New Roman" w:eastAsia="Times New Roman" w:hAnsi="Times New Roman"/>
          <w:sz w:val="16"/>
          <w:szCs w:val="16"/>
          <w:color w:val="auto"/>
        </w:rPr>
      </w:pPr>
    </w:p>
    <w:p>
      <w:pPr>
        <w:ind w:left="840" w:hanging="287"/>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value, quality and design of the products sold; and</w:t>
      </w:r>
    </w:p>
    <w:p>
      <w:pPr>
        <w:spacing w:after="0" w:line="235" w:lineRule="exact"/>
        <w:rPr>
          <w:rFonts w:ascii="Times New Roman" w:cs="Times New Roman" w:eastAsia="Times New Roman" w:hAnsi="Times New Roman"/>
          <w:sz w:val="16"/>
          <w:szCs w:val="16"/>
          <w:color w:val="auto"/>
        </w:rPr>
      </w:pPr>
    </w:p>
    <w:p>
      <w:pPr>
        <w:ind w:left="840" w:hanging="287"/>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 to customer service (including technical service).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14" w:name="page15"/>
    <w:bookmarkEnd w:id="14"/>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Our dealerships compete with dealerships representing other manufacturers including commercial vehicles manufactured by Mack, Freightliner, Kenworth, Volvo, and Western Star. We believe that our dealerships are able to compete with manufacturer-owned dealers, independent dealers,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and our ability to provide comprehensive parts and service support, as well as financing, insurance and other customer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Dealership Agreements</w:t>
      </w:r>
    </w:p>
    <w:p>
      <w:pPr>
        <w:spacing w:after="0" w:line="236"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Peterbilt. </w:t>
      </w:r>
      <w:r>
        <w:rPr>
          <w:rFonts w:ascii="Times New Roman" w:cs="Times New Roman" w:eastAsia="Times New Roman" w:hAnsi="Times New Roman"/>
          <w:sz w:val="16"/>
          <w:szCs w:val="16"/>
          <w:color w:val="auto"/>
        </w:rPr>
        <w:t>We have entered into nonexclusive dealership agreements with Peterbilt which authorize us to act as a dealer of Peterbilt heavy- and medium-duty trucks.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Peterbilt areas of responsibility currently encompass areas in the states of Alabama, Arizona, California, Colorado, Florida, New Mexico, North Carolina, Oklahoma, Tennessee and Texas. These dealership agreements currently have terms expiring between March 2013 and August 2015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22%. Sales of new Peterbilt commercial vehicles accounted for approximately 47.4% of our total revenues for 2012.</w:t>
      </w:r>
    </w:p>
    <w:p>
      <w:pPr>
        <w:spacing w:after="0" w:line="212" w:lineRule="exact"/>
        <w:rPr>
          <w:sz w:val="20"/>
          <w:szCs w:val="20"/>
          <w:color w:val="auto"/>
        </w:rPr>
      </w:pPr>
    </w:p>
    <w:p>
      <w:pPr>
        <w:jc w:val="both"/>
        <w:ind w:firstLine="56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Other Commercial Vehicle Suppliers. </w:t>
      </w:r>
      <w:r>
        <w:rPr>
          <w:rFonts w:ascii="Times New Roman" w:cs="Times New Roman" w:eastAsia="Times New Roman" w:hAnsi="Times New Roman"/>
          <w:sz w:val="16"/>
          <w:szCs w:val="16"/>
          <w:color w:val="auto"/>
        </w:rPr>
        <w:t>In addition to our dealership agreements with Peterbilt, various Rush Truck Centers have entered into dealership agreements with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commercial vehicle manufacturers including Autocar, Blue Bird, Ford, Hino, IC, International, Isuzu, Micro Bird and Mitsubishi, which currently have terms expiring between March 2013 and December 2017. These dealership agreements impose operating requirements upon us and require consent from the affected supplier for sale or transfer of such dealership agreement. Sales of non-Peterbilt commercial vehicles accounted for approximately 15.2% of our total revenues for 2012.</w:t>
      </w:r>
    </w:p>
    <w:p>
      <w:pPr>
        <w:spacing w:after="0" w:line="209"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Any termination or non-renewal of these dealership agreements must follow certain guidelines established by both state and federal legislation designed to protect motor vehicle dealers from arbitrary termination or non-renewal of franchise agreements. The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Floor Plan Financing</w:t>
      </w:r>
    </w:p>
    <w:p>
      <w:pPr>
        <w:spacing w:after="0" w:line="236" w:lineRule="exact"/>
        <w:rPr>
          <w:sz w:val="20"/>
          <w:szCs w:val="20"/>
          <w:color w:val="auto"/>
        </w:rPr>
      </w:pPr>
    </w:p>
    <w:p>
      <w:pPr>
        <w:jc w:val="both"/>
        <w:ind w:firstLine="560"/>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Commercial Vehicles. </w:t>
      </w:r>
      <w:r>
        <w:rPr>
          <w:rFonts w:ascii="Times New Roman" w:cs="Times New Roman" w:eastAsia="Times New Roman" w:hAnsi="Times New Roman"/>
          <w:sz w:val="16"/>
          <w:szCs w:val="16"/>
          <w:color w:val="auto"/>
        </w:rPr>
        <w:t>During 2012, we financed substantially all new commercial vehicle inventory and the loan value of our used commercial vehicle inventory under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agreement with General Electric Capital Corporation (“GE Capital”). Interest under the credit agreement is LIBOR plus 2.23% on inventory loans up to $500.0 million and LIBOR plus 2.95% on inventory loans exceeding $500.0 million and is payable monthly. The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 As of December 31, 2012, we had approximately $500.0 million outstanding under the credit agreement.</w:t>
      </w:r>
    </w:p>
    <w:p>
      <w:pPr>
        <w:spacing w:after="0" w:line="210" w:lineRule="exact"/>
        <w:rPr>
          <w:sz w:val="20"/>
          <w:szCs w:val="20"/>
          <w:color w:val="auto"/>
        </w:rPr>
      </w:pPr>
    </w:p>
    <w:p>
      <w:pPr>
        <w:jc w:val="both"/>
        <w:ind w:right="20" w:firstLine="560"/>
        <w:spacing w:after="0" w:line="298" w:lineRule="auto"/>
        <w:rPr>
          <w:sz w:val="20"/>
          <w:szCs w:val="20"/>
          <w:color w:val="auto"/>
        </w:rPr>
      </w:pPr>
      <w:r>
        <w:rPr>
          <w:rFonts w:ascii="Times New Roman" w:cs="Times New Roman" w:eastAsia="Times New Roman" w:hAnsi="Times New Roman"/>
          <w:sz w:val="14"/>
          <w:szCs w:val="14"/>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December 31, 2012, the interest rate on the wholesale financing agreement was 5.25% before considering the applicable incentives. As of December 31, 2012, the Company had an outstanding balance of $34.5 million under the Ford Motor Credit Company wholesale financing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 Warranties</w:t>
      </w:r>
    </w:p>
    <w:p>
      <w:pPr>
        <w:spacing w:after="0" w:line="23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manufacturers we represent provide retail purchasers of their products with a limited warranty against defects in materials and workmanship, excluding certain specified components that are separately warranted by the suppliers of such components. The Company provides a warranty on the Company’s branded parts and related service. The Company also provides an extended warranty beyond the manufacturer’s warranty on new school buses sold in the State of Texas, as required by state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15" w:name="page16"/>
    <w:bookmarkEnd w:id="15"/>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We generally sell used commercial vehicles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238" w:lineRule="exact"/>
        <w:rPr>
          <w:sz w:val="20"/>
          <w:szCs w:val="20"/>
          <w:color w:val="auto"/>
        </w:rPr>
      </w:pPr>
    </w:p>
    <w:p>
      <w:pPr>
        <w:jc w:val="both"/>
        <w:ind w:firstLine="560"/>
        <w:spacing w:after="0" w:line="298" w:lineRule="auto"/>
        <w:rPr>
          <w:sz w:val="20"/>
          <w:szCs w:val="20"/>
          <w:color w:val="auto"/>
        </w:rPr>
      </w:pPr>
      <w:r>
        <w:rPr>
          <w:rFonts w:ascii="Times New Roman" w:cs="Times New Roman" w:eastAsia="Times New Roman" w:hAnsi="Times New Roman"/>
          <w:sz w:val="14"/>
          <w:szCs w:val="14"/>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names “Rush Enterprises,” “Rush Truck Center,” “Associated Truck Insurance Services,” “Chrome Country” and “Rig Tough.”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38"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On December 31, 2012, the Company had 4,372 employees. The Company has no contracts or collective bargaining agreements with labor unions and has never experienced work stoppages. The Company considers its relations with its employees to be good.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38" w:lineRule="exact"/>
        <w:rPr>
          <w:sz w:val="20"/>
          <w:szCs w:val="20"/>
          <w:color w:val="auto"/>
        </w:rPr>
      </w:pPr>
    </w:p>
    <w:p>
      <w:pPr>
        <w:jc w:val="both"/>
        <w:ind w:firstLine="560"/>
        <w:spacing w:after="0" w:line="309" w:lineRule="auto"/>
        <w:rPr>
          <w:sz w:val="20"/>
          <w:szCs w:val="20"/>
          <w:color w:val="auto"/>
        </w:rPr>
      </w:pPr>
      <w:r>
        <w:rPr>
          <w:rFonts w:ascii="Times New Roman" w:cs="Times New Roman" w:eastAsia="Times New Roman" w:hAnsi="Times New Roman"/>
          <w:sz w:val="14"/>
          <w:szCs w:val="14"/>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238"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On December 31, 2012, the Company’s backlog of commercial vehicle orders was approximately $719.2 million as compared to a backlog of commercial vehicle orders of approximately $678.7 million on December 31, 2011. The Company includes only confirmed orders in its backlog. The delivery time for a custom-ordered commercial vehicle varies depending on the commercial vehicle specifications and demand for the particular model ordered, however, the Company expects to fill all of its backlog orders during 2013. The Company sells the majority of its new commercial vehicles by customer special order, with the remainder sold out of inventory. Orders from a number of the Company’s major fleet customers are included in the Company’s backlog as of December 31, 2012.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Standards and Other Governmental Regulations</w:t>
      </w:r>
    </w:p>
    <w:p>
      <w:pPr>
        <w:spacing w:after="0" w:line="238"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212"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16" w:name="page17"/>
    <w:bookmarkEnd w:id="16"/>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212"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212" w:lineRule="exact"/>
        <w:rPr>
          <w:sz w:val="20"/>
          <w:szCs w:val="20"/>
          <w:color w:val="auto"/>
        </w:rPr>
      </w:pPr>
    </w:p>
    <w:p>
      <w:pPr>
        <w:jc w:val="both"/>
        <w:ind w:firstLine="560"/>
        <w:spacing w:after="0" w:line="247" w:lineRule="auto"/>
        <w:rPr>
          <w:sz w:val="20"/>
          <w:szCs w:val="20"/>
          <w:color w:val="auto"/>
        </w:rPr>
      </w:pPr>
      <w:r>
        <w:rPr>
          <w:rFonts w:ascii="Times New Roman" w:cs="Times New Roman" w:eastAsia="Times New Roman" w:hAnsi="Times New Roman"/>
          <w:sz w:val="16"/>
          <w:szCs w:val="16"/>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14"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 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are substantially dependent upon PACCAR for the supply of Peterbilt trucks and parts, the sale of which generates the majority of our revenues.</w:t>
      </w:r>
    </w:p>
    <w:p>
      <w:pPr>
        <w:spacing w:after="0" w:line="238" w:lineRule="exact"/>
        <w:rPr>
          <w:sz w:val="20"/>
          <w:szCs w:val="20"/>
          <w:color w:val="auto"/>
        </w:rPr>
      </w:pPr>
    </w:p>
    <w:p>
      <w:pPr>
        <w:jc w:val="both"/>
        <w:ind w:firstLine="560"/>
        <w:spacing w:after="0" w:line="309" w:lineRule="auto"/>
        <w:rPr>
          <w:sz w:val="20"/>
          <w:szCs w:val="20"/>
          <w:color w:val="auto"/>
        </w:rPr>
      </w:pPr>
      <w:r>
        <w:rPr>
          <w:rFonts w:ascii="Times New Roman" w:cs="Times New Roman" w:eastAsia="Times New Roman" w:hAnsi="Times New Roman"/>
          <w:sz w:val="14"/>
          <w:szCs w:val="14"/>
          <w:color w:val="auto"/>
        </w:rPr>
        <w:t>At certain Rush Truck Centers, we operate as a dealer of Peterbilt trucks and parts pursuant to dealership agreements with Peterbilt, a division of PACCAR. We have no control over the management or operation of Peterbilt or PACCAR. During 2012, the majority of our revenues resulted from sales of trucks purchased from Peterbilt and parts purchased from PACCAR. Due to our dependence on PACCAR and Peterbilt, we believe that the long-term success of our Rush Truck Centers depends, in large part, on the following:</w:t>
      </w:r>
    </w:p>
    <w:p>
      <w:pPr>
        <w:spacing w:after="0" w:line="171" w:lineRule="exact"/>
        <w:rPr>
          <w:sz w:val="20"/>
          <w:szCs w:val="20"/>
          <w:color w:val="auto"/>
        </w:rPr>
      </w:pPr>
    </w:p>
    <w:p>
      <w:pPr>
        <w:ind w:left="560" w:hanging="28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dealership agreements with Peterbilt;</w:t>
      </w:r>
    </w:p>
    <w:p>
      <w:pPr>
        <w:spacing w:after="0" w:line="235"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manufacture and delivery of competitively-priced, high quality Peterbilt trucks and parts by PACCAR in quantities sufficient to meet our requirements;</w:t>
      </w:r>
    </w:p>
    <w:p>
      <w:pPr>
        <w:spacing w:after="0" w:line="235"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overall success of PACCAR and Peterbilt;</w:t>
      </w:r>
    </w:p>
    <w:p>
      <w:pPr>
        <w:spacing w:after="0" w:line="235"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PACCAR’s continuation of its Peterbilt division;</w:t>
      </w:r>
    </w:p>
    <w:p>
      <w:pPr>
        <w:spacing w:after="0" w:line="235" w:lineRule="exact"/>
        <w:rPr>
          <w:rFonts w:ascii="Times New Roman" w:cs="Times New Roman" w:eastAsia="Times New Roman" w:hAnsi="Times New Roman"/>
          <w:sz w:val="16"/>
          <w:szCs w:val="16"/>
          <w:color w:val="auto"/>
        </w:rPr>
      </w:pPr>
    </w:p>
    <w:p>
      <w:pPr>
        <w:ind w:left="560" w:hanging="287"/>
        <w:spacing w:after="0" w:line="267"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maintenance of goodwill associated with the Peterbilt brand, which can be adversely affected by decisions made by PACCAR, Peterbilt and the owners of other Peterbilt dealerships; and</w:t>
      </w:r>
    </w:p>
    <w:p>
      <w:pPr>
        <w:spacing w:after="0" w:line="197" w:lineRule="exact"/>
        <w:rPr>
          <w:rFonts w:ascii="Times New Roman" w:cs="Times New Roman" w:eastAsia="Times New Roman" w:hAnsi="Times New Roman"/>
          <w:sz w:val="16"/>
          <w:szCs w:val="16"/>
          <w:color w:val="auto"/>
        </w:rPr>
      </w:pPr>
    </w:p>
    <w:p>
      <w:pPr>
        <w:ind w:left="560" w:hanging="28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Peterbilt’s ability to offer vehicles that meet federal and state emissions requirements.</w:t>
      </w:r>
    </w:p>
    <w:p>
      <w:pPr>
        <w:spacing w:after="0" w:line="200" w:lineRule="exact"/>
        <w:rPr>
          <w:sz w:val="20"/>
          <w:szCs w:val="20"/>
          <w:color w:val="auto"/>
        </w:rPr>
      </w:pP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negative change in any of the preceding could have a material adverse affect on our operations, revenues and profitability.</w:t>
      </w:r>
    </w:p>
    <w:p>
      <w:pPr>
        <w:spacing w:after="0" w:line="234"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6"/>
          <w:szCs w:val="16"/>
          <w:i w:val="1"/>
          <w:iCs w:val="1"/>
          <w:color w:val="auto"/>
        </w:rPr>
        <w:t>Our dealership agreements may be terminable upon a change of control and we cannot control whether our controlling shareholder and management maintain their current positions.</w:t>
      </w:r>
    </w:p>
    <w:p>
      <w:pPr>
        <w:spacing w:after="0" w:line="195" w:lineRule="exact"/>
        <w:rPr>
          <w:sz w:val="20"/>
          <w:szCs w:val="20"/>
          <w:color w:val="auto"/>
        </w:rPr>
      </w:pPr>
    </w:p>
    <w:p>
      <w:pPr>
        <w:jc w:val="both"/>
        <w:ind w:firstLine="560"/>
        <w:spacing w:after="0" w:line="284" w:lineRule="auto"/>
        <w:rPr>
          <w:sz w:val="20"/>
          <w:szCs w:val="20"/>
          <w:color w:val="auto"/>
        </w:rPr>
      </w:pPr>
      <w:r>
        <w:rPr>
          <w:rFonts w:ascii="Times New Roman" w:cs="Times New Roman" w:eastAsia="Times New Roman" w:hAnsi="Times New Roman"/>
          <w:sz w:val="14"/>
          <w:szCs w:val="14"/>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Barbara Rush, Robin M. Rush, David C. Orf, James Thor, Martin A. Naegelin, Scott Anderson, Derrek Weaver, Steven Keller, Corey Lowe and Rich Ryan (collectively, the “Dealer Principals”) decreases below 22% (such persons controlled 28.3% of the aggregate voting power with respect to the election of directors as of December 31, 2012);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or W.M. “Rusty” Rush were to sell their Class B common stock or bequest their Class B common stock to nonfamily members or if their estates are required to liquidate their Class B common stock to pay estate taxes or otherwise, the change of control provisions of the Peterbilt dealership agreements may be triggered and cause us to lose our critical right to sell Peterbilt products. If our dealership agreements with Peterbilt are terminated, we will lose the right to purchase Peterbilt products, which would have a material adverse effect on our operations, revenues and profitability.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color w:val="auto"/>
        </w:rPr>
        <w:t>If state dealer laws are repealed or weakened, our dealerships will be more susceptible to termination, nonrenewal or renegotiation of their dealership agreements.</w:t>
      </w:r>
    </w:p>
    <w:p>
      <w:pPr>
        <w:spacing w:after="0" w:line="238"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in the states in which we operate dealerships, our manufacturers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could have a material adverse effect on our operations, revenues and profitability.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may be required to obtain additional financing to maintain adequate inventory levels.</w:t>
      </w:r>
    </w:p>
    <w:p>
      <w:pPr>
        <w:spacing w:after="0" w:line="238"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Our business requires inventories held for sale to be maintained at dealer locations in order to facilitate immediate sales to customers on demand. We generally purchase inventories with the assistance of floor plan financing agreements. Our primary floor plan financing agreement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 significant percentage of our revenues come from customers in the oil and gas exploration and production industry, a historically cyclical industry.</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Several of our large customers provide oil and gas production services. The oil and gas exploration and production industry is a historically cyclical industry characterized by significant changes in the levels of exploration and development activities. Oil and gas prices, and market expectations of potential changes in those prices, significantly affect the levels of those activities. Any reduction in the overall level of exploration and development activities, whether resulting from changes in oil and gas prices or otherwise, could materially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 in the carrying value of goodwill and other indefinite-lived intangible assets could negatively affect our operating results.</w:t>
      </w:r>
    </w:p>
    <w:p>
      <w:pPr>
        <w:spacing w:after="0" w:line="191" w:lineRule="exact"/>
        <w:rPr>
          <w:sz w:val="20"/>
          <w:szCs w:val="20"/>
          <w:color w:val="auto"/>
        </w:rPr>
      </w:pPr>
    </w:p>
    <w:p>
      <w:pPr>
        <w:jc w:val="both"/>
        <w:ind w:firstLine="560"/>
        <w:spacing w:after="0" w:line="245" w:lineRule="auto"/>
        <w:rPr>
          <w:sz w:val="20"/>
          <w:szCs w:val="20"/>
          <w:color w:val="auto"/>
        </w:rPr>
      </w:pPr>
      <w:r>
        <w:rPr>
          <w:rFonts w:ascii="Times New Roman" w:cs="Times New Roman" w:eastAsia="Times New Roman" w:hAnsi="Times New Roman"/>
          <w:sz w:val="16"/>
          <w:szCs w:val="16"/>
          <w:color w:val="auto"/>
        </w:rPr>
        <w:t>We have a substantial amount of goodwill on our balance sheet as a result of acquisitions we have completed. Approximately 98%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a prolonged weak economic recovery, adverse changes in the regulatory environment, any matters that impact manufacturers’ ability to provide trucks to us,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Management’s assumptions are subject to change as more information becomes available. Changes in these assumptions could result in an impairment charge in the future, which could have a significant adverse impact on our reported earnings. See “Management’s Discussion and Analysis of Financial Condition and Results of Operations — Critical Accounting Estimates — Goodwill” for more information regarding the potential impact of changes in assumptions.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3"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color w:val="auto"/>
        </w:rPr>
        <w:t>Changes in interest rates could have a material adverse effect on our profitability.</w:t>
      </w:r>
    </w:p>
    <w:p>
      <w:pPr>
        <w:spacing w:after="0" w:line="191"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Our primary floor plan financing agreement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these large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growth is subject to a number of economic risks.</w:t>
      </w:r>
    </w:p>
    <w:p>
      <w:pPr>
        <w:spacing w:after="0" w:line="23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New and used commercial vehicle retail sales tend to experience periods of decline characterized by oversupply and weak demand. The commercial vehicle retail industries may experience sustained periods of decline in commercial vehicle sales in the future. Any decline or change of this type could materially affect our business, financial condition and results of operations.</w:t>
      </w:r>
    </w:p>
    <w:p>
      <w:pPr>
        <w:spacing w:after="0" w:line="207"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Adverse regional economic and competitive conditions in the geographic markets in which we operate could materially adversely affect our business, financial condition and results of operations. Our new commercial vehicle sales volume therefore may differ from industry sales fluctuations.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Economic conditions and the other factors described above also may materially adversely impact our sales of finance and insurance products, and parts and repair services.</w:t>
      </w:r>
    </w:p>
    <w:p>
      <w:pPr>
        <w:spacing w:after="0" w:line="25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95"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depend on relationships with suppliers for sales incentives, discounts and similar programs which are material to our operations.</w:t>
      </w:r>
    </w:p>
    <w:p>
      <w:pPr>
        <w:spacing w:after="0" w:line="23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have a material adverse effect on our profitability.</w:t>
      </w:r>
    </w:p>
    <w:p>
      <w:pPr>
        <w:spacing w:after="0" w:line="20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i w:val="1"/>
          <w:iCs w:val="1"/>
          <w:color w:val="auto"/>
        </w:rPr>
        <w:t>We are dependent on the ongoing success of the manufacturers we represent and adverse conditions affecting the manufacturers we represent may negatively impact our revenues and profitability.</w:t>
      </w:r>
    </w:p>
    <w:p>
      <w:pPr>
        <w:spacing w:after="0" w:line="195"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The success of our dealerships is dependent on the manufacturers represented at such dealerships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the store customer. We generally have significant receivables from manufacturers for warranty and service work performed for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20" w:name="page21"/>
    <w:bookmarkEnd w:id="20"/>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212" w:lineRule="exact"/>
        <w:rPr>
          <w:sz w:val="20"/>
          <w:szCs w:val="20"/>
          <w:color w:val="auto"/>
        </w:rPr>
      </w:pPr>
    </w:p>
    <w:p>
      <w:pPr>
        <w:jc w:val="both"/>
        <w:ind w:firstLine="560"/>
        <w:spacing w:after="0" w:line="290" w:lineRule="auto"/>
        <w:rPr>
          <w:sz w:val="20"/>
          <w:szCs w:val="20"/>
          <w:color w:val="auto"/>
        </w:rPr>
      </w:pPr>
      <w:r>
        <w:rPr>
          <w:rFonts w:ascii="Times New Roman" w:cs="Times New Roman" w:eastAsia="Times New Roman" w:hAnsi="Times New Roman"/>
          <w:sz w:val="14"/>
          <w:szCs w:val="14"/>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the Company’s medium-duty GMC truck franchises, which forced the Company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dealership agreements are non-exclusive and have relatively short terms which could result in non-renewal or imposition of less favorable terms upon renewal.</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Our dealership agreements generally do not contractually provide us with exclusive dealerships in any territory. The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w:t>
      </w:r>
    </w:p>
    <w:p>
      <w:pPr>
        <w:spacing w:after="0" w:line="210" w:lineRule="exact"/>
        <w:rPr>
          <w:sz w:val="20"/>
          <w:szCs w:val="20"/>
          <w:color w:val="auto"/>
        </w:rPr>
      </w:pPr>
    </w:p>
    <w:p>
      <w:pPr>
        <w:jc w:val="both"/>
        <w:ind w:firstLine="560"/>
        <w:spacing w:after="0" w:line="298" w:lineRule="auto"/>
        <w:rPr>
          <w:sz w:val="20"/>
          <w:szCs w:val="20"/>
          <w:color w:val="auto"/>
        </w:rPr>
      </w:pPr>
      <w:r>
        <w:rPr>
          <w:rFonts w:ascii="Times New Roman" w:cs="Times New Roman" w:eastAsia="Times New Roman" w:hAnsi="Times New Roman"/>
          <w:sz w:val="14"/>
          <w:szCs w:val="14"/>
          <w:color w:val="auto"/>
        </w:rPr>
        <w:t>Our dealership agreements with Peterbilt, International, Autocar, Mitsubishi, Hino, Ford, Isuzu, Elkhart, Blue Bird and IC Bus have current terms expiring between March 2013 and May 2018. Upon expiration of each agreement, we must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dollar amount of our backlog, as stated at any given time, is not necessarily indicative of our future earnings.</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As of December 31, 2012, our backlog of new commercial vehicle orders was approximately $719.2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210"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dealerships are subject to federal, state and local environmental regulations that may result in claims and liabilities, which could be material.</w:t>
      </w:r>
    </w:p>
    <w:p>
      <w:pPr>
        <w:spacing w:after="0" w:line="238" w:lineRule="exact"/>
        <w:rPr>
          <w:sz w:val="20"/>
          <w:szCs w:val="20"/>
          <w:color w:val="auto"/>
        </w:rPr>
      </w:pPr>
    </w:p>
    <w:p>
      <w:pPr>
        <w:jc w:val="both"/>
        <w:ind w:firstLine="560"/>
        <w:spacing w:after="0" w:line="293" w:lineRule="auto"/>
        <w:rPr>
          <w:sz w:val="20"/>
          <w:szCs w:val="20"/>
          <w:color w:val="auto"/>
        </w:rPr>
      </w:pPr>
      <w:r>
        <w:rPr>
          <w:rFonts w:ascii="Times New Roman" w:cs="Times New Roman" w:eastAsia="Times New Roman" w:hAnsi="Times New Roman"/>
          <w:sz w:val="14"/>
          <w:szCs w:val="14"/>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21" w:name="page22"/>
    <w:bookmarkEnd w:id="21"/>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212"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Natural disasters and adverse weather events can disrupt our business.</w:t>
      </w:r>
    </w:p>
    <w:p>
      <w:pPr>
        <w:spacing w:after="0" w:line="238"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Our dealerships are concentrated in states and regions in the United States in which actual or threatened natural disasters and severe weather events (such as hurricanes, earthquakes, fires, floods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subject to certain limitations and exclusions, substantial insurance, we may be exposed to uninsured or underinsured losses that could have a material adverse effect on our business, financial condition,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Climate change legislation or regulations restricting emissions of “greenhouse gases” could result in increased costs and reduced demand for our products and services.</w:t>
      </w:r>
    </w:p>
    <w:p>
      <w:pPr>
        <w:spacing w:after="0" w:line="238" w:lineRule="exact"/>
        <w:rPr>
          <w:sz w:val="20"/>
          <w:szCs w:val="20"/>
          <w:color w:val="auto"/>
        </w:rPr>
      </w:pPr>
    </w:p>
    <w:p>
      <w:pPr>
        <w:jc w:val="both"/>
        <w:ind w:right="20" w:firstLine="560"/>
        <w:spacing w:after="0" w:line="247" w:lineRule="auto"/>
        <w:rPr>
          <w:sz w:val="20"/>
          <w:szCs w:val="20"/>
          <w:color w:val="auto"/>
        </w:rPr>
      </w:pPr>
      <w:r>
        <w:rPr>
          <w:rFonts w:ascii="Times New Roman" w:cs="Times New Roman" w:eastAsia="Times New Roman" w:hAnsi="Times New Roman"/>
          <w:sz w:val="16"/>
          <w:szCs w:val="16"/>
          <w:color w:val="auto"/>
        </w:rPr>
        <w:t>The EPA and the DOT’s National Highway Traffic Safety Administration (“NHTSA”) recently announced proposed rules to reduce greenhouse gas emissions and improve fuel efficiency of medium and heavy-duty vehicles. The EPA and NHTSA are attempting to create a “heavy-duty national program,” designed to reduce oil consumption and address global climate change by each proposing complementary standards to reduce fuel use and greenhouse gas emissions from on-highway transportation sources. The emissions and fuel consumption standards in the proposed rules would phase in with increasing stringency in each model year from 2014 to 2017. The proposed rules are likely to increase the production costs of the manufacturers we represent. Our manufacturers are likely to pass such costs on to us, which could increase the cost of the new vehicles we sell and, accordingly, reduce demand for such products. Increased costs and reduced demand could materially adversely affect our ability to sell new vehicles, which would materially adversely affect our business,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investments in auction rate securities may be further impaired.</w:t>
      </w:r>
    </w:p>
    <w:p>
      <w:pPr>
        <w:spacing w:after="0" w:line="191"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Auction rate securities (“ARS”) are long-term debt instruments with interest rates that reset through periodic short-term auctions. Holders of ARS can either sell into the auction, or bid, based on a desired interest rate, or hold and accept the reset rate. If there are insufficient buyers, then the auction fails and holders are unable to liquidate their investment through the auction. A failed auction is not a default of the debt instrument, but does set a new interest rate in accordance with the original terms of the debt instrument. The result of a failed auction is that the ARS continues to pay interest in accordance with its terms; however, liquidity for holders is limited until there is a successful auction or until such time as another market for ARS develops. ARS are generally callable at any time by the issuer. Auctions continue to be held as scheduled until the ARS matures or until it is called.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22" w:name="page23"/>
    <w:bookmarkEnd w:id="22"/>
    <w:p>
      <w:pPr>
        <w:jc w:val="both"/>
        <w:ind w:firstLine="560"/>
        <w:spacing w:after="0" w:line="245" w:lineRule="auto"/>
        <w:rPr>
          <w:sz w:val="20"/>
          <w:szCs w:val="20"/>
          <w:color w:val="auto"/>
        </w:rPr>
      </w:pPr>
      <w:r>
        <w:rPr>
          <w:rFonts w:ascii="Times New Roman" w:cs="Times New Roman" w:eastAsia="Times New Roman" w:hAnsi="Times New Roman"/>
          <w:sz w:val="16"/>
          <w:szCs w:val="16"/>
          <w:color w:val="auto"/>
        </w:rPr>
        <w:t>As a result of the conditions in the global credit markets, we have been unable to liquidate our holdings of certain ARS because the auctions for the ARS we hold have failed. As of December 31, 2012, the Company held ARS with underlying tax-exempt municipal bonds that mature in 2030 that have a fair value of $6.6 million and a cost basis of $7.6 million. This decrease in fair value is considered temporary and the impairment charge is recorded as other comprehensive income, a component of shareholder equity. We continue to earn interest on these investments at the contractual rate. In the event we need to access these funds, we will not be able to do so until a future auction is successful, the issuer redeems the securities, a buyer is found outside of the auction process or the securities mature. If these ARS are unable to successfully clear at future auctions or issuers do not redeem the securities, we may be required to further adjust the carrying value of the securities and record additional impairment charges. If we determine that the fair value of these ARS is further impaired, we will record a temporary impairment within other comprehensive income, a component of stockholders’ equity. If it is determined that the fair value of these securities is other than temporarily impaired, we would recognize the credit loss portion of the other than temporary impairment in earnings, which could adversely impact our results of operations and financial condition. Any noncredit loss would be recognized in other comprehensive income. For further discussion of the risks related to our auction rate securities, see Note 9 – Financial Instruments and Fair Value of the Notes to Consolidated Financial Statements and Item 7A – Quantitative and Qualitative Disclosures about Market Risk.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are controlled by two shareholders and their affiliates.</w:t>
      </w:r>
    </w:p>
    <w:p>
      <w:pPr>
        <w:spacing w:after="0" w:line="238" w:lineRule="exact"/>
        <w:rPr>
          <w:sz w:val="20"/>
          <w:szCs w:val="20"/>
          <w:color w:val="auto"/>
        </w:rPr>
      </w:pPr>
    </w:p>
    <w:p>
      <w:pPr>
        <w:jc w:val="both"/>
        <w:ind w:right="20" w:firstLine="560"/>
        <w:spacing w:after="0" w:line="249" w:lineRule="auto"/>
        <w:rPr>
          <w:sz w:val="20"/>
          <w:szCs w:val="20"/>
          <w:color w:val="auto"/>
        </w:rPr>
      </w:pPr>
      <w:r>
        <w:rPr>
          <w:rFonts w:ascii="Times New Roman" w:cs="Times New Roman" w:eastAsia="Times New Roman" w:hAnsi="Times New Roman"/>
          <w:sz w:val="16"/>
          <w:szCs w:val="16"/>
          <w:color w:val="auto"/>
        </w:rPr>
        <w:t>Collectively, W. Marvin Rush and W. M. “Rusty” Rush and their affiliates own approximately 0.33% of our issued and outstanding shares of Class A common stock and 31.9% of our issued and outstanding Class B common stock. W. Marvin Rush and W. M. “Rusty” Rush collectively control more than 28.3% of the aggregate voting power of our outstanding shares and voting power which is superior to that of any other person or group. The interests of W. Marvin Rush and W.M. “Rusty” Rush may not be consistent with the interests of all shareholders. As a result of such ownership, W. Marvin Rush and W. M. “Rusty” Rush have the power to effectively control the Company, including the election of directors, the determination of matters requiring shareholder approval and other matters pertaining to corporate governance.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dealership agreements could discourage another company from acquiring us.</w:t>
      </w:r>
    </w:p>
    <w:p>
      <w:pPr>
        <w:spacing w:after="0" w:line="238"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Our dealership agreements with Peterbilt impose ownership requirements on officers of the Company. All of our dealer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207" w:lineRule="exact"/>
        <w:rPr>
          <w:sz w:val="20"/>
          <w:szCs w:val="20"/>
          <w:color w:val="auto"/>
        </w:rPr>
      </w:pPr>
    </w:p>
    <w:p>
      <w:pPr>
        <w:jc w:val="both"/>
        <w:ind w:firstLine="560"/>
        <w:spacing w:after="0" w:line="247" w:lineRule="auto"/>
        <w:rPr>
          <w:sz w:val="20"/>
          <w:szCs w:val="20"/>
          <w:color w:val="auto"/>
        </w:rPr>
      </w:pPr>
      <w:r>
        <w:rPr>
          <w:rFonts w:ascii="Times New Roman" w:cs="Times New Roman" w:eastAsia="Times New Roman" w:hAnsi="Times New Roman"/>
          <w:sz w:val="16"/>
          <w:szCs w:val="16"/>
          <w:color w:val="auto"/>
        </w:rPr>
        <w:t>Additionally, W. Marvin Rush and W. M. “Rusty” Rush have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W. Marvin Rush, certain shares of his Class B common stock of the Company are exempt from his rights of first refusal agreement. These rights of first refusal, the number of shares owned by W. Marvin Rush and W.M. “Rusty” Rush and their affiliates, the requirement in our dealership agreements that the Dealer Principals retain a controlling interest in us,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214"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Class A common stock has limited voting power.</w:t>
      </w:r>
    </w:p>
    <w:p>
      <w:pPr>
        <w:spacing w:after="0" w:line="238" w:lineRule="exact"/>
        <w:rPr>
          <w:sz w:val="20"/>
          <w:szCs w:val="20"/>
          <w:color w:val="auto"/>
        </w:rPr>
      </w:pPr>
    </w:p>
    <w:p>
      <w:pPr>
        <w:ind w:right="180" w:firstLine="560"/>
        <w:spacing w:after="0" w:line="251" w:lineRule="auto"/>
        <w:rPr>
          <w:sz w:val="20"/>
          <w:szCs w:val="20"/>
          <w:color w:val="auto"/>
        </w:rPr>
      </w:pPr>
      <w:r>
        <w:rPr>
          <w:rFonts w:ascii="Times New Roman" w:cs="Times New Roman" w:eastAsia="Times New Roman" w:hAnsi="Times New Roman"/>
          <w:sz w:val="16"/>
          <w:szCs w:val="16"/>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20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23" w:name="page24"/>
    <w:bookmarkEnd w:id="23"/>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market price of our Class B common stock has historically been lower than the market price of our Class A common stock. The volume of trading in our Class B common stock varies greatly and may often be light. As of December 31, 2012, the three-month average daily trading volume of our Class B common stock was approximately 4,000 shares, with several days having a trading volume below 500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Company’s corporate headquarters are located in New Braunfels, Texas. As of December 2012, the Company also owns or leases numerous facilities used in our operations in the following states: Alabama, Arizona, California, Colorado, Florida, Georgia, Idaho, New Mexico, North Carolina, Ohio, Oklahoma, Oregon, Tennessee, Texas and Utah. A Rush Truck Center may be comprised of one or more locations, generally in close proximity, in the same metropolitan area. These facilities consist primarily of office space, display lots, service facilities and parking lots.</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Company’s truck leasing operations lease additional space in Alabama, Arizona, California and Florida.</w:t>
      </w: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Company’s insurance agency leases space in California, Florida, Oklahoma and Texas.</w:t>
      </w:r>
    </w:p>
    <w:p>
      <w:pPr>
        <w:spacing w:after="0" w:line="236"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The Company leases a hangar in New Braunfels, Texas for the corporate aircraft. The Company also owns and operates a guest ranch of approximately 9,500 acres near Cotulla, Texas. The Company uses the ranch for client development purposes and sells hunting trips on the ranch.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38"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Shareholder Matters, and Issuer Purchases of Equity Securities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Our common stock trades on The NASDAQ Global Select Market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 xml:space="preserve"> under the symbols RUSHA and RUSHB.</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24" w:name="page25"/>
    <w:bookmarkEnd w:id="24"/>
    <w:p>
      <w:pPr>
        <w:ind w:right="240" w:firstLine="560"/>
        <w:spacing w:after="0" w:line="288" w:lineRule="auto"/>
        <w:rPr>
          <w:sz w:val="20"/>
          <w:szCs w:val="20"/>
          <w:color w:val="auto"/>
        </w:rPr>
      </w:pPr>
      <w:r>
        <w:rPr>
          <w:rFonts w:ascii="Times New Roman" w:cs="Times New Roman" w:eastAsia="Times New Roman" w:hAnsi="Times New Roman"/>
          <w:sz w:val="16"/>
          <w:szCs w:val="16"/>
          <w:color w:val="auto"/>
        </w:rPr>
        <w:t>The following table sets forth the high and low sales prices for the Class A common stock and Class B common stock for the fiscal periods indicated and as quoted on The NASDAQ Global Select Market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2012</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2011</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High</w:t>
            </w:r>
          </w:p>
        </w:tc>
        <w:tc>
          <w:tcPr>
            <w:tcW w:w="200" w:type="dxa"/>
            <w:vAlign w:val="bottom"/>
          </w:tcPr>
          <w:p>
            <w:pPr>
              <w:spacing w:after="0"/>
              <w:rPr>
                <w:sz w:val="24"/>
                <w:szCs w:val="24"/>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Low</w:t>
            </w:r>
          </w:p>
        </w:tc>
        <w:tc>
          <w:tcPr>
            <w:tcW w:w="180" w:type="dxa"/>
            <w:vAlign w:val="bottom"/>
          </w:tcPr>
          <w:p>
            <w:pPr>
              <w:spacing w:after="0"/>
              <w:rPr>
                <w:sz w:val="24"/>
                <w:szCs w:val="24"/>
                <w:color w:val="auto"/>
              </w:rPr>
            </w:pP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Low</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tc>
        <w:tc>
          <w:tcPr>
            <w:tcW w:w="180" w:type="dxa"/>
            <w:vAlign w:val="bottom"/>
            <w:tcBorders>
              <w:top w:val="single" w:sz="8" w:color="auto"/>
            </w:tcBorders>
            <w:shd w:val="clear" w:color="auto" w:fill="C0FFFF"/>
          </w:tcPr>
          <w:p>
            <w:pPr>
              <w:spacing w:after="0"/>
              <w:rPr>
                <w:sz w:val="16"/>
                <w:szCs w:val="16"/>
                <w:color w:val="auto"/>
              </w:rPr>
            </w:pPr>
          </w:p>
        </w:tc>
        <w:tc>
          <w:tcPr>
            <w:tcW w:w="900" w:type="dxa"/>
            <w:vAlign w:val="bottom"/>
            <w:tcBorders>
              <w:top w:val="single" w:sz="8" w:color="auto"/>
            </w:tcBorders>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200" w:type="dxa"/>
            <w:vAlign w:val="bottom"/>
            <w:tcBorders>
              <w:top w:val="single" w:sz="8" w:color="auto"/>
            </w:tcBorders>
            <w:shd w:val="clear" w:color="auto" w:fill="C0FFFF"/>
          </w:tcPr>
          <w:p>
            <w:pPr>
              <w:spacing w:after="0"/>
              <w:rPr>
                <w:sz w:val="16"/>
                <w:szCs w:val="16"/>
                <w:color w:val="auto"/>
              </w:rPr>
            </w:pPr>
          </w:p>
        </w:tc>
        <w:tc>
          <w:tcPr>
            <w:tcW w:w="860" w:type="dxa"/>
            <w:vAlign w:val="bottom"/>
            <w:tcBorders>
              <w:top w:val="single" w:sz="8" w:color="auto"/>
            </w:tcBorders>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80" w:type="dxa"/>
            <w:vAlign w:val="bottom"/>
            <w:tcBorders>
              <w:top w:val="single" w:sz="8" w:color="auto"/>
            </w:tcBorders>
            <w:shd w:val="clear" w:color="auto" w:fill="C0FFFF"/>
          </w:tcPr>
          <w:p>
            <w:pPr>
              <w:spacing w:after="0"/>
              <w:rPr>
                <w:sz w:val="16"/>
                <w:szCs w:val="16"/>
                <w:color w:val="auto"/>
              </w:rPr>
            </w:pPr>
          </w:p>
        </w:tc>
        <w:tc>
          <w:tcPr>
            <w:tcW w:w="860" w:type="dxa"/>
            <w:vAlign w:val="bottom"/>
            <w:tcBorders>
              <w:top w:val="single" w:sz="8" w:color="auto"/>
            </w:tcBorders>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00" w:type="dxa"/>
            <w:vAlign w:val="bottom"/>
            <w:tcBorders>
              <w:top w:val="single" w:sz="8" w:color="auto"/>
            </w:tcBorders>
            <w:shd w:val="clear" w:color="auto" w:fill="C0FFFF"/>
          </w:tcPr>
          <w:p>
            <w:pPr>
              <w:spacing w:after="0"/>
              <w:rPr>
                <w:sz w:val="16"/>
                <w:szCs w:val="16"/>
                <w:color w:val="auto"/>
              </w:rPr>
            </w:pPr>
          </w:p>
        </w:tc>
        <w:tc>
          <w:tcPr>
            <w:tcW w:w="86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462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900" w:type="dxa"/>
            <w:vAlign w:val="bottom"/>
            <w:tcBorders>
              <w:top w:val="single" w:sz="8" w:color="C0FFFF"/>
            </w:tcBorders>
          </w:tcPr>
          <w:p>
            <w:pPr>
              <w:spacing w:after="0"/>
              <w:rPr>
                <w:sz w:val="16"/>
                <w:szCs w:val="16"/>
                <w:color w:val="auto"/>
              </w:rPr>
            </w:pPr>
          </w:p>
        </w:tc>
        <w:tc>
          <w:tcPr>
            <w:tcW w:w="200" w:type="dxa"/>
            <w:vAlign w:val="bottom"/>
            <w:tcBorders>
              <w:top w:val="single" w:sz="8" w:color="C0FFFF"/>
            </w:tcBorders>
          </w:tcPr>
          <w:p>
            <w:pPr>
              <w:spacing w:after="0"/>
              <w:rPr>
                <w:sz w:val="16"/>
                <w:szCs w:val="16"/>
                <w:color w:val="auto"/>
              </w:rPr>
            </w:pPr>
          </w:p>
        </w:tc>
        <w:tc>
          <w:tcPr>
            <w:tcW w:w="200" w:type="dxa"/>
            <w:vAlign w:val="bottom"/>
            <w:tcBorders>
              <w:top w:val="single" w:sz="8" w:color="C0FFFF"/>
            </w:tcBorders>
          </w:tcPr>
          <w:p>
            <w:pPr>
              <w:spacing w:after="0"/>
              <w:rPr>
                <w:sz w:val="16"/>
                <w:szCs w:val="16"/>
                <w:color w:val="auto"/>
              </w:rPr>
            </w:pPr>
          </w:p>
        </w:tc>
        <w:tc>
          <w:tcPr>
            <w:tcW w:w="860" w:type="dxa"/>
            <w:vAlign w:val="bottom"/>
            <w:tcBorders>
              <w:top w:val="single" w:sz="8" w:color="C0FFFF"/>
            </w:tcBorders>
          </w:tcPr>
          <w:p>
            <w:pPr>
              <w:spacing w:after="0"/>
              <w:rPr>
                <w:sz w:val="16"/>
                <w:szCs w:val="16"/>
                <w:color w:val="auto"/>
              </w:rPr>
            </w:pPr>
          </w:p>
        </w:tc>
        <w:tc>
          <w:tcPr>
            <w:tcW w:w="200" w:type="dxa"/>
            <w:vAlign w:val="bottom"/>
            <w:tcBorders>
              <w:top w:val="single" w:sz="8" w:color="C0FFFF"/>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860" w:type="dxa"/>
            <w:vAlign w:val="bottom"/>
            <w:tcBorders>
              <w:top w:val="single" w:sz="8" w:color="C0FFFF"/>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200" w:type="dxa"/>
            <w:vAlign w:val="bottom"/>
            <w:tcBorders>
              <w:top w:val="single" w:sz="8" w:color="C0FFFF"/>
            </w:tcBorders>
          </w:tcPr>
          <w:p>
            <w:pPr>
              <w:spacing w:after="0"/>
              <w:rPr>
                <w:sz w:val="16"/>
                <w:szCs w:val="16"/>
                <w:color w:val="auto"/>
              </w:rPr>
            </w:pPr>
          </w:p>
        </w:tc>
        <w:tc>
          <w:tcPr>
            <w:tcW w:w="86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72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18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24.66</w:t>
            </w:r>
          </w:p>
        </w:tc>
        <w:tc>
          <w:tcPr>
            <w:tcW w:w="20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20.47</w:t>
            </w:r>
          </w:p>
        </w:tc>
        <w:tc>
          <w:tcPr>
            <w:tcW w:w="180" w:type="dxa"/>
            <w:vAlign w:val="bottom"/>
            <w:shd w:val="clear" w:color="auto" w:fill="C0FF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21.25</w:t>
            </w:r>
          </w:p>
        </w:tc>
        <w:tc>
          <w:tcPr>
            <w:tcW w:w="20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18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21.70</w:t>
            </w:r>
          </w:p>
        </w:tc>
        <w:tc>
          <w:tcPr>
            <w:tcW w:w="2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15.01</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21.99</w:t>
            </w:r>
          </w:p>
        </w:tc>
        <w:tc>
          <w:tcPr>
            <w:tcW w:w="2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180" w:type="dxa"/>
            <w:vAlign w:val="bottom"/>
            <w:shd w:val="clear" w:color="auto" w:fill="C0FFFF"/>
          </w:tcPr>
          <w:p>
            <w:pPr>
              <w:spacing w:after="0"/>
              <w:rPr>
                <w:sz w:val="16"/>
                <w:szCs w:val="16"/>
                <w:color w:val="auto"/>
              </w:rPr>
            </w:pPr>
          </w:p>
        </w:tc>
        <w:tc>
          <w:tcPr>
            <w:tcW w:w="110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19.58</w:t>
            </w:r>
          </w:p>
        </w:tc>
        <w:tc>
          <w:tcPr>
            <w:tcW w:w="200" w:type="dxa"/>
            <w:vAlign w:val="bottom"/>
            <w:shd w:val="clear" w:color="auto" w:fill="C0FFFF"/>
          </w:tcPr>
          <w:p>
            <w:pPr>
              <w:spacing w:after="0"/>
              <w:rPr>
                <w:sz w:val="16"/>
                <w:szCs w:val="16"/>
                <w:color w:val="auto"/>
              </w:rPr>
            </w:pPr>
          </w:p>
        </w:tc>
        <w:tc>
          <w:tcPr>
            <w:tcW w:w="106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14.05</w:t>
            </w:r>
          </w:p>
        </w:tc>
        <w:tc>
          <w:tcPr>
            <w:tcW w:w="180" w:type="dxa"/>
            <w:vAlign w:val="bottom"/>
            <w:shd w:val="clear" w:color="auto" w:fill="C0FFFF"/>
          </w:tcPr>
          <w:p>
            <w:pPr>
              <w:spacing w:after="0"/>
              <w:rPr>
                <w:sz w:val="16"/>
                <w:szCs w:val="16"/>
                <w:color w:val="auto"/>
              </w:rPr>
            </w:pPr>
          </w:p>
        </w:tc>
        <w:tc>
          <w:tcPr>
            <w:tcW w:w="10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21.77</w:t>
            </w:r>
          </w:p>
        </w:tc>
        <w:tc>
          <w:tcPr>
            <w:tcW w:w="20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18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20.75</w:t>
            </w:r>
          </w:p>
        </w:tc>
        <w:tc>
          <w:tcPr>
            <w:tcW w:w="2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15.98</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21.47</w:t>
            </w:r>
          </w:p>
        </w:tc>
        <w:tc>
          <w:tcPr>
            <w:tcW w:w="2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46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Class B Common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462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21.01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16.48</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18.33</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180" w:type="dxa"/>
            <w:vAlign w:val="bottom"/>
            <w:shd w:val="clear" w:color="auto" w:fill="C0FFFF"/>
          </w:tcPr>
          <w:p>
            <w:pPr>
              <w:spacing w:after="0"/>
              <w:rPr>
                <w:sz w:val="16"/>
                <w:szCs w:val="16"/>
                <w:color w:val="auto"/>
              </w:rPr>
            </w:pPr>
          </w:p>
        </w:tc>
        <w:tc>
          <w:tcPr>
            <w:tcW w:w="110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17.68</w:t>
            </w:r>
          </w:p>
        </w:tc>
        <w:tc>
          <w:tcPr>
            <w:tcW w:w="200" w:type="dxa"/>
            <w:vAlign w:val="bottom"/>
            <w:shd w:val="clear" w:color="auto" w:fill="C0FFFF"/>
          </w:tcPr>
          <w:p>
            <w:pPr>
              <w:spacing w:after="0"/>
              <w:rPr>
                <w:sz w:val="16"/>
                <w:szCs w:val="16"/>
                <w:color w:val="auto"/>
              </w:rPr>
            </w:pPr>
          </w:p>
        </w:tc>
        <w:tc>
          <w:tcPr>
            <w:tcW w:w="106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12.37</w:t>
            </w:r>
          </w:p>
        </w:tc>
        <w:tc>
          <w:tcPr>
            <w:tcW w:w="180" w:type="dxa"/>
            <w:vAlign w:val="bottom"/>
            <w:shd w:val="clear" w:color="auto" w:fill="C0FFFF"/>
          </w:tcPr>
          <w:p>
            <w:pPr>
              <w:spacing w:after="0"/>
              <w:rPr>
                <w:sz w:val="16"/>
                <w:szCs w:val="16"/>
                <w:color w:val="auto"/>
              </w:rPr>
            </w:pPr>
          </w:p>
        </w:tc>
        <w:tc>
          <w:tcPr>
            <w:tcW w:w="10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19.05</w:t>
            </w:r>
          </w:p>
        </w:tc>
        <w:tc>
          <w:tcPr>
            <w:tcW w:w="20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18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17.00</w:t>
            </w:r>
          </w:p>
        </w:tc>
        <w:tc>
          <w:tcPr>
            <w:tcW w:w="2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11.58</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17.89</w:t>
            </w:r>
          </w:p>
        </w:tc>
        <w:tc>
          <w:tcPr>
            <w:tcW w:w="2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180" w:type="dxa"/>
            <w:vAlign w:val="bottom"/>
            <w:shd w:val="clear" w:color="auto" w:fill="C0FFFF"/>
          </w:tcPr>
          <w:p>
            <w:pPr>
              <w:spacing w:after="0"/>
              <w:rPr>
                <w:sz w:val="16"/>
                <w:szCs w:val="16"/>
                <w:color w:val="auto"/>
              </w:rPr>
            </w:pPr>
          </w:p>
        </w:tc>
        <w:tc>
          <w:tcPr>
            <w:tcW w:w="110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17.61</w:t>
            </w:r>
          </w:p>
        </w:tc>
        <w:tc>
          <w:tcPr>
            <w:tcW w:w="200" w:type="dxa"/>
            <w:vAlign w:val="bottom"/>
            <w:shd w:val="clear" w:color="auto" w:fill="C0FFFF"/>
          </w:tcPr>
          <w:p>
            <w:pPr>
              <w:spacing w:after="0"/>
              <w:rPr>
                <w:sz w:val="16"/>
                <w:szCs w:val="16"/>
                <w:color w:val="auto"/>
              </w:rPr>
            </w:pPr>
          </w:p>
        </w:tc>
        <w:tc>
          <w:tcPr>
            <w:tcW w:w="106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14.81</w:t>
            </w:r>
          </w:p>
        </w:tc>
        <w:tc>
          <w:tcPr>
            <w:tcW w:w="180" w:type="dxa"/>
            <w:vAlign w:val="bottom"/>
            <w:shd w:val="clear" w:color="auto" w:fill="C0FFFF"/>
          </w:tcPr>
          <w:p>
            <w:pPr>
              <w:spacing w:after="0"/>
              <w:rPr>
                <w:sz w:val="16"/>
                <w:szCs w:val="16"/>
                <w:color w:val="auto"/>
              </w:rPr>
            </w:pPr>
          </w:p>
        </w:tc>
        <w:tc>
          <w:tcPr>
            <w:tcW w:w="10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17.41</w:t>
            </w:r>
          </w:p>
        </w:tc>
        <w:tc>
          <w:tcPr>
            <w:tcW w:w="20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of March 1, 2013, there were approximately 39 record holders of the Class A common stock and approximately 50 record holders of the Class B common stock.</w:t>
      </w:r>
    </w:p>
    <w:p>
      <w:pPr>
        <w:spacing w:after="0" w:line="236"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Company did not pay dividends during the fiscal year ended December 31, 2012, or the fiscal year ended December 31, 2011. The Board of Directors intends to retain any earnings of the Company to support operations and to finance expansion.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has not sold any securities in the last three years that were not registered under the Securities Act.</w:t>
      </w:r>
    </w:p>
    <w:p>
      <w:pPr>
        <w:spacing w:after="0" w:line="2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Company did not repurchase any shares of its Class A Common Stock or Class B Common Stock during the fourth quarter of 2012.</w:t>
      </w:r>
    </w:p>
    <w:p>
      <w:pPr>
        <w:spacing w:after="0" w:line="236"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Item 6. Selected Financial Data</w:t>
      </w:r>
    </w:p>
    <w:p>
      <w:pPr>
        <w:spacing w:after="0" w:line="238"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the Company’s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the Company’s other financial information included elsewhere herein.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2010</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2008</w:t>
            </w:r>
          </w:p>
        </w:tc>
        <w:tc>
          <w:tcPr>
            <w:tcW w:w="120" w:type="dxa"/>
            <w:vAlign w:val="bottom"/>
          </w:tcPr>
          <w:p>
            <w:pPr>
              <w:spacing w:after="0"/>
              <w:rPr>
                <w:sz w:val="16"/>
                <w:szCs w:val="16"/>
                <w:color w:val="auto"/>
              </w:rPr>
            </w:pPr>
          </w:p>
        </w:tc>
      </w:tr>
      <w:tr>
        <w:trPr>
          <w:trHeight w:val="187"/>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80" w:type="dxa"/>
            <w:vAlign w:val="bottom"/>
            <w:gridSpan w:val="9"/>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SUMMARY OF INCOME STATEMENT DATA</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8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New and used commercial vehicle sales</w:t>
            </w:r>
          </w:p>
        </w:tc>
        <w:tc>
          <w:tcPr>
            <w:tcW w:w="7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2,149,335</w:t>
            </w:r>
          </w:p>
        </w:tc>
        <w:tc>
          <w:tcPr>
            <w:tcW w:w="260" w:type="dxa"/>
            <w:vAlign w:val="bottom"/>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1,801,964</w:t>
            </w:r>
          </w:p>
        </w:tc>
        <w:tc>
          <w:tcPr>
            <w:tcW w:w="120" w:type="dxa"/>
            <w:vAlign w:val="bottom"/>
            <w:shd w:val="clear" w:color="auto" w:fill="C0FFFF"/>
          </w:tcPr>
          <w:p>
            <w:pPr>
              <w:spacing w:after="0"/>
              <w:rPr>
                <w:sz w:val="16"/>
                <w:szCs w:val="16"/>
                <w:color w:val="auto"/>
              </w:rPr>
            </w:pPr>
          </w:p>
        </w:tc>
        <w:tc>
          <w:tcPr>
            <w:tcW w:w="3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926,584</w:t>
            </w:r>
          </w:p>
        </w:tc>
        <w:tc>
          <w:tcPr>
            <w:tcW w:w="240" w:type="dxa"/>
            <w:vAlign w:val="bottom"/>
            <w:shd w:val="clear" w:color="auto" w:fill="C0FF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738,705</w:t>
            </w:r>
          </w:p>
        </w:tc>
        <w:tc>
          <w:tcPr>
            <w:tcW w:w="3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1,041,189</w:t>
            </w:r>
          </w:p>
        </w:tc>
      </w:tr>
      <w:tr>
        <w:trPr>
          <w:trHeight w:val="187"/>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Parts and service sales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817,280</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489,259</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395,133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457,669</w:t>
            </w:r>
          </w:p>
        </w:tc>
      </w:tr>
      <w:tr>
        <w:trPr>
          <w:trHeight w:val="187"/>
        </w:trPr>
        <w:tc>
          <w:tcPr>
            <w:tcW w:w="418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Lease and rental</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100,247</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83,426</w:t>
            </w: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67,423</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53,710</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54,813</w:t>
            </w:r>
          </w:p>
        </w:tc>
      </w:tr>
      <w:tr>
        <w:trPr>
          <w:trHeight w:val="187"/>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and insurance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13,638</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7,922</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11,801</w:t>
            </w:r>
          </w:p>
        </w:tc>
      </w:tr>
      <w:tr>
        <w:trPr>
          <w:trHeight w:val="187"/>
        </w:trPr>
        <w:tc>
          <w:tcPr>
            <w:tcW w:w="418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10,067</w:t>
            </w: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6,739</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5,437</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5,721</w:t>
            </w:r>
          </w:p>
        </w:tc>
      </w:tr>
      <w:tr>
        <w:trPr>
          <w:trHeight w:val="23"/>
        </w:trPr>
        <w:tc>
          <w:tcPr>
            <w:tcW w:w="418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4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3,090,567</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2,580,611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1,497,927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1,200,453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1,571,193</w:t>
            </w: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Cost of products sold</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2,589,800</w:t>
            </w: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2,157,334</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1,213,037</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984,812</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1,291,001</w:t>
            </w:r>
          </w:p>
        </w:tc>
      </w:tr>
      <w:tr>
        <w:trPr>
          <w:trHeight w:val="23"/>
        </w:trPr>
        <w:tc>
          <w:tcPr>
            <w:tcW w:w="418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500,767</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284,890</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215,641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280,192</w:t>
            </w: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361,727</w:t>
            </w: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306,273</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227,467</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192,296</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218,775</w:t>
            </w: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25,016</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15,720</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15,890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15,273</w:t>
            </w: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Gain (loss) on sale of assets</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176</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128</w:t>
            </w:r>
          </w:p>
        </w:tc>
      </w:tr>
      <w:tr>
        <w:trPr>
          <w:trHeight w:val="23"/>
        </w:trPr>
        <w:tc>
          <w:tcPr>
            <w:tcW w:w="418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114,200</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97,338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41,667</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46,272</w:t>
            </w: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13,017</w:t>
            </w: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7,161</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5,363</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5,695</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7,230</w:t>
            </w:r>
          </w:p>
        </w:tc>
      </w:tr>
      <w:tr>
        <w:trPr>
          <w:trHeight w:val="23"/>
        </w:trPr>
        <w:tc>
          <w:tcPr>
            <w:tcW w:w="418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income taxes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101,183</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90,177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36,304</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39,042</w:t>
            </w: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38,728</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34,964</w:t>
            </w: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11,737</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(3,173)</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13,864</w:t>
            </w:r>
          </w:p>
        </w:tc>
      </w:tr>
      <w:tr>
        <w:trPr>
          <w:trHeight w:val="23"/>
        </w:trPr>
        <w:tc>
          <w:tcPr>
            <w:tcW w:w="418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62,455</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55,213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24,567</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25,178</w:t>
            </w: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taxes</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6,715</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789</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3,687</w:t>
            </w:r>
          </w:p>
        </w:tc>
      </w:tr>
      <w:tr>
        <w:trPr>
          <w:trHeight w:val="23"/>
        </w:trPr>
        <w:tc>
          <w:tcPr>
            <w:tcW w:w="418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62,455</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55,213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31,282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5,884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28,865</w:t>
            </w: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4180" w:type="dxa"/>
            <w:vAlign w:val="bottom"/>
            <w:shd w:val="clear" w:color="auto" w:fill="C0FFFF"/>
          </w:tcPr>
          <w:p>
            <w:pPr>
              <w:spacing w:after="0"/>
              <w:rPr>
                <w:sz w:val="15"/>
                <w:szCs w:val="15"/>
                <w:color w:val="auto"/>
              </w:rPr>
            </w:pPr>
          </w:p>
        </w:tc>
        <w:tc>
          <w:tcPr>
            <w:tcW w:w="5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 - Basic:</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7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1.62</w:t>
            </w:r>
          </w:p>
        </w:tc>
        <w:tc>
          <w:tcPr>
            <w:tcW w:w="260" w:type="dxa"/>
            <w:vAlign w:val="bottom"/>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3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0.66</w:t>
            </w:r>
          </w:p>
        </w:tc>
        <w:tc>
          <w:tcPr>
            <w:tcW w:w="240" w:type="dxa"/>
            <w:vAlign w:val="bottom"/>
            <w:shd w:val="clear" w:color="auto" w:fill="C0FF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0.14</w:t>
            </w:r>
          </w:p>
        </w:tc>
        <w:tc>
          <w:tcPr>
            <w:tcW w:w="3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1.62</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0.84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0.76</w:t>
            </w:r>
          </w:p>
        </w:tc>
      </w:tr>
      <w:tr>
        <w:trPr>
          <w:trHeight w:val="187"/>
        </w:trPr>
        <w:tc>
          <w:tcPr>
            <w:tcW w:w="4180" w:type="dxa"/>
            <w:vAlign w:val="bottom"/>
            <w:shd w:val="clear" w:color="auto" w:fill="C0FFFF"/>
          </w:tcPr>
          <w:p>
            <w:pPr>
              <w:spacing w:after="0"/>
              <w:rPr>
                <w:sz w:val="16"/>
                <w:szCs w:val="16"/>
                <w:color w:val="auto"/>
              </w:rPr>
            </w:pP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 - Diluted:</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7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1.57</w:t>
            </w:r>
          </w:p>
        </w:tc>
        <w:tc>
          <w:tcPr>
            <w:tcW w:w="260" w:type="dxa"/>
            <w:vAlign w:val="bottom"/>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1.42</w:t>
            </w:r>
          </w:p>
        </w:tc>
        <w:tc>
          <w:tcPr>
            <w:tcW w:w="3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0.64</w:t>
            </w:r>
          </w:p>
        </w:tc>
        <w:tc>
          <w:tcPr>
            <w:tcW w:w="240" w:type="dxa"/>
            <w:vAlign w:val="bottom"/>
            <w:shd w:val="clear" w:color="auto" w:fill="C0FF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0.14</w:t>
            </w:r>
          </w:p>
        </w:tc>
        <w:tc>
          <w:tcPr>
            <w:tcW w:w="3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0.65</w:t>
            </w: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1.57</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0.82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0.75</w:t>
            </w:r>
          </w:p>
        </w:tc>
      </w:tr>
      <w:tr>
        <w:trPr>
          <w:trHeight w:val="187"/>
        </w:trPr>
        <w:tc>
          <w:tcPr>
            <w:tcW w:w="4180" w:type="dxa"/>
            <w:vAlign w:val="bottom"/>
            <w:shd w:val="clear" w:color="auto" w:fill="C0FFFF"/>
          </w:tcPr>
          <w:p>
            <w:pPr>
              <w:spacing w:after="0"/>
              <w:rPr>
                <w:sz w:val="16"/>
                <w:szCs w:val="16"/>
                <w:color w:val="auto"/>
              </w:rPr>
            </w:pP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8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5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38,643</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37,861</w:t>
            </w: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37,307</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37,066</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38,089</w:t>
            </w:r>
          </w:p>
        </w:tc>
      </w:tr>
      <w:tr>
        <w:trPr>
          <w:trHeight w:val="205"/>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39,688</w:t>
            </w: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38,218</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37,597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38,587</w:t>
            </w:r>
          </w:p>
        </w:tc>
      </w:tr>
      <w:tr>
        <w:trPr>
          <w:trHeight w:val="740"/>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4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2010</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2008</w:t>
            </w:r>
          </w:p>
        </w:tc>
        <w:tc>
          <w:tcPr>
            <w:tcW w:w="120" w:type="dxa"/>
            <w:vAlign w:val="bottom"/>
          </w:tcPr>
          <w:p>
            <w:pPr>
              <w:spacing w:after="0"/>
              <w:rPr>
                <w:sz w:val="16"/>
                <w:szCs w:val="16"/>
                <w:color w:val="auto"/>
              </w:rPr>
            </w:pPr>
          </w:p>
        </w:tc>
      </w:tr>
      <w:tr>
        <w:trPr>
          <w:trHeight w:val="187"/>
        </w:trPr>
        <w:tc>
          <w:tcPr>
            <w:tcW w:w="46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OPERATING DATA</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6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Unit vehicle sales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62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New vehicles</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18,427</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15,540</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7,680</w:t>
            </w: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6,615</w:t>
            </w: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9,289</w:t>
            </w:r>
          </w:p>
        </w:tc>
      </w:tr>
      <w:tr>
        <w:trPr>
          <w:trHeight w:val="187"/>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Used vehicles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4,744</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3,461</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3,234</w:t>
            </w:r>
          </w:p>
        </w:tc>
      </w:tr>
      <w:tr>
        <w:trPr>
          <w:trHeight w:val="23"/>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462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Total unit vehicles sales</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23,171</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20,189</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11,141</w:t>
            </w: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9,490</w:t>
            </w: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12,523</w:t>
            </w:r>
          </w:p>
        </w:tc>
      </w:tr>
      <w:tr>
        <w:trPr>
          <w:trHeight w:val="205"/>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w w:val="98"/>
              </w:rPr>
              <w:t>Truck lease and rental units (including units under contract maintenance)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5,359</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3,809</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2,570</w:t>
            </w:r>
          </w:p>
        </w:tc>
      </w:tr>
      <w:tr>
        <w:trPr>
          <w:trHeight w:val="639"/>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2010</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2008</w:t>
            </w:r>
          </w:p>
        </w:tc>
        <w:tc>
          <w:tcPr>
            <w:tcW w:w="120" w:type="dxa"/>
            <w:vAlign w:val="bottom"/>
          </w:tcPr>
          <w:p>
            <w:pPr>
              <w:spacing w:after="0"/>
              <w:rPr>
                <w:sz w:val="16"/>
                <w:szCs w:val="16"/>
                <w:color w:val="auto"/>
              </w:rPr>
            </w:pPr>
          </w:p>
        </w:tc>
      </w:t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6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6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217,613</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189,214</w:t>
            </w:r>
          </w:p>
        </w:tc>
        <w:tc>
          <w:tcPr>
            <w:tcW w:w="1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143,778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164,165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177,117</w:t>
            </w:r>
          </w:p>
        </w:tc>
      </w:tr>
      <w:tr>
        <w:trPr>
          <w:trHeight w:val="187"/>
        </w:trPr>
        <w:tc>
          <w:tcPr>
            <w:tcW w:w="46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690,953</w:t>
            </w: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649,626</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321,933</w:t>
            </w: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252,219</w:t>
            </w: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343,032</w:t>
            </w:r>
          </w:p>
        </w:tc>
      </w:tr>
      <w:tr>
        <w:trPr>
          <w:trHeight w:val="187"/>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24,479</w:t>
            </w:r>
          </w:p>
        </w:tc>
      </w:tr>
      <w:tr>
        <w:trPr>
          <w:trHeight w:val="187"/>
        </w:trPr>
        <w:tc>
          <w:tcPr>
            <w:tcW w:w="46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1,881,566</w:t>
            </w: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1,717,701</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1,167,933</w:t>
            </w: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977,297</w:t>
            </w: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1,056,790</w:t>
            </w:r>
          </w:p>
        </w:tc>
      </w:t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7"/>
        </w:trPr>
        <w:tc>
          <w:tcPr>
            <w:tcW w:w="46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Floor plan notes payable</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534,520</w:t>
            </w:r>
          </w:p>
        </w:tc>
        <w:tc>
          <w:tcPr>
            <w:tcW w:w="260" w:type="dxa"/>
            <w:vAlign w:val="bottom"/>
            <w:shd w:val="clear" w:color="auto" w:fill="C0FFFF"/>
          </w:tcPr>
          <w:p>
            <w:pPr>
              <w:spacing w:after="0"/>
              <w:rPr>
                <w:sz w:val="16"/>
                <w:szCs w:val="16"/>
                <w:color w:val="auto"/>
              </w:rPr>
            </w:pP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520,693</w:t>
            </w: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237,810</w:t>
            </w: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189,256</w:t>
            </w: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282,702</w:t>
            </w:r>
          </w:p>
        </w:tc>
      </w:tr>
      <w:tr>
        <w:trPr>
          <w:trHeight w:val="187"/>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399,664</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252,129</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209,502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209,677</w:t>
            </w:r>
          </w:p>
        </w:tc>
      </w:tr>
      <w:tr>
        <w:trPr>
          <w:trHeight w:val="187"/>
        </w:trPr>
        <w:tc>
          <w:tcPr>
            <w:tcW w:w="46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Capital lease obligations, including current portion</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49,973</w:t>
            </w:r>
          </w:p>
        </w:tc>
        <w:tc>
          <w:tcPr>
            <w:tcW w:w="26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45,554</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42,202</w:t>
            </w: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34,444</w:t>
            </w: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14,820</w:t>
            </w:r>
          </w:p>
        </w:tc>
      </w:tr>
      <w:tr>
        <w:trPr>
          <w:trHeight w:val="205"/>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607,946</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464,919</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426,225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416,041</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38"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Company’s record results in 2012 validate our sustained efforts to build an organization with a diversified earnings base. The Company continues to work to position itself as a service solutions provider to the commercial vehicle industry by implementing our growth strategy to expand our portfolio of aftermarket services, broadening the diversity of our commercial vehicle product offerings and extending our network of service points across the United States. The Company’s commitment to provide innovative solutions to service its customers’ business needs continues to drive its strong parts, service and body shop revenues. The service needs of an aged fleet also contributed to the growth in our aftermarket revenues in 2012.</w:t>
      </w:r>
    </w:p>
    <w:p>
      <w:pPr>
        <w:spacing w:after="0" w:line="212"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Company’s aftermarket capabilities include a wide range of services and products such as a fleet of mobile service units, mobile technicians who staff customers’ facilities, a proprietary line of commercial vehicle parts and accessories, new diagnostic and analysis capabilities, factory certified service for alternative fuel vehicles and assembly service for specialized bodies and equipment. As a result of the Company’s efforts to expand aftermarket capabilities, aftermarket operations now account for more than 60% of the Company’s total gross profits.</w:t>
      </w:r>
    </w:p>
    <w:p>
      <w:pPr>
        <w:spacing w:after="0" w:line="210"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Company continues to offer a commercial vehicle product line to include medium-duty and light-duty trucks, buses and vocational specialty vehicles such as refuse trucks, tow trucks and truck-mounted cranes. The Company has developed relationships with a more diverse customer base across a wide range of market segments, resulting in our ability to offer a complete range of solutions from sales of new vehicles to aftermarket support for vehicles in operation.</w:t>
      </w:r>
    </w:p>
    <w:p>
      <w:pPr>
        <w:spacing w:after="0" w:line="207"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Company continues to invest in its infrastructure to better serve its customers operating natural gas vehicles in anticipation of continued adoption of this technology. Substantial investments have been made at six Rush Truck Center locations to enable technicians to perform certified CNG and LNG service, with plans in place to bring additional facilities online as needed in key markets. Approximately 85 technicians have been factory-certified to service natural gas fuel systems. The Company believes that natural gas-powered vehicles will grow in popularity and could represent up to 10% of the Class 8 new truck sales market by 2017.</w:t>
      </w:r>
    </w:p>
    <w:p>
      <w:pPr>
        <w:spacing w:after="0" w:line="210"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Company has a track record of growth through acquisitions and additions of dealerships within its current areas of responsibility. It now operates a contiguous network of 78 Rush Truck Centers across the United States. The Company believes that this geographic diversity will more effectively allow the Company to withstand regional economic downturns and expand service capabilities that better match the footprint of its customer base.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27" w:name="page28"/>
    <w:bookmarkEnd w:id="27"/>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On December 31, 2012, the Company acquired certain assets of MVI Group, which operated commercial truck and bus dealerships in Ohio under the names of Miami Valley International, Center City International, CCI North Coast and Buckeye Truck Centers. The acquisition included International, IC Bus, and Isuzu franchise locations in Akron, Cincinnati, Cleveland, Columbus, Dayton, Findlay and Lima, Ohio. These dealerships now operate as Rush Truck Centers. Rush Truck Leasing now operates Idealease truck rental and leasing franchises in Cincinnati, Cleveland, Columbus, Dayton and Lima, Ohio. The transaction, including real estate, was valued at approximately $104.5 million. The purchase price for the assets of the business was financed under the Company’s floor plan and lease and rental truck financing arrangements with the remainder paid in cash. The Company now operates 24 full service Navistar locations and one collision center in 6 states.</w:t>
      </w:r>
    </w:p>
    <w:p>
      <w:pPr>
        <w:spacing w:after="0" w:line="212"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On February 1, 2013, the Company’s Board of Directors approved a stock repurchase program authorizing the Company to repurchase, from time to time, up to an aggregate of $40.0 million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February 12, 2014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Performance Indicator</w:t>
      </w:r>
    </w:p>
    <w:p>
      <w:pPr>
        <w:spacing w:after="0" w:line="236" w:lineRule="exact"/>
        <w:rPr>
          <w:sz w:val="20"/>
          <w:szCs w:val="20"/>
          <w:color w:val="auto"/>
        </w:rPr>
      </w:pPr>
    </w:p>
    <w:p>
      <w:pPr>
        <w:jc w:val="both"/>
        <w:ind w:firstLine="560"/>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Absorption Ratio. </w:t>
      </w:r>
      <w:r>
        <w:rPr>
          <w:rFonts w:ascii="Times New Roman" w:cs="Times New Roman" w:eastAsia="Times New Roman" w:hAnsi="Times New Roman"/>
          <w:sz w:val="14"/>
          <w:szCs w:val="14"/>
          <w:color w:val="auto"/>
        </w:rPr>
        <w:t>Management uses several performance metrics to evaluate the performance of its commercial vehicle dealerships, and considers Rush Truck Centers’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the Company’s commercial vehicle dealerships’ absorption ratio was approximately 80%. The Company has made a concerted effort to increase its absorption ratio since 1999. The Company’s commercial vehicle dealerships achieved a 115.9% absorption ratio for the year in 2012 and 113.9% absorption ratio for the year in 2011.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38" w:lineRule="exact"/>
        <w:rPr>
          <w:sz w:val="20"/>
          <w:szCs w:val="20"/>
          <w:color w:val="auto"/>
        </w:rPr>
      </w:pPr>
    </w:p>
    <w:p>
      <w:pPr>
        <w:jc w:val="both"/>
        <w:ind w:firstLine="560"/>
        <w:spacing w:after="0" w:line="293" w:lineRule="auto"/>
        <w:rPr>
          <w:sz w:val="20"/>
          <w:szCs w:val="20"/>
          <w:color w:val="auto"/>
        </w:rPr>
      </w:pPr>
      <w:r>
        <w:rPr>
          <w:rFonts w:ascii="Times New Roman" w:cs="Times New Roman" w:eastAsia="Times New Roman" w:hAnsi="Times New Roman"/>
          <w:sz w:val="14"/>
          <w:szCs w:val="14"/>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28" w:name="page29"/>
    <w:bookmarkEnd w:id="28"/>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238"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Goodwill is not amortized but instead is tested at least annually by reporting unit for impairment, or more frequently when events or changes in circumstances indicate that the asset might be impaired.</w:t>
      </w:r>
    </w:p>
    <w:p>
      <w:pPr>
        <w:spacing w:after="0" w:line="197" w:lineRule="exact"/>
        <w:rPr>
          <w:sz w:val="20"/>
          <w:szCs w:val="20"/>
          <w:color w:val="auto"/>
        </w:rPr>
      </w:pPr>
    </w:p>
    <w:p>
      <w:pPr>
        <w:jc w:val="both"/>
        <w:ind w:firstLine="560"/>
        <w:spacing w:after="0" w:line="293" w:lineRule="auto"/>
        <w:rPr>
          <w:sz w:val="20"/>
          <w:szCs w:val="20"/>
          <w:color w:val="auto"/>
        </w:rPr>
      </w:pPr>
      <w:r>
        <w:rPr>
          <w:rFonts w:ascii="Times New Roman" w:cs="Times New Roman" w:eastAsia="Times New Roman" w:hAnsi="Times New Roman"/>
          <w:sz w:val="14"/>
          <w:szCs w:val="14"/>
          <w:color w:val="auto"/>
        </w:rPr>
        <w:t>Goodwill is reviewed for impairment utilizing a two-step process. The first step requires the Company to compare the fair value of the reporting unit, which is the same as the segment, to the respective carrying value. The Company considers its Truck Segment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4"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212"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210"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Goodwill was tested for impairment during the fourth quarter of 2012 and no impairment write down was required. The fair value of our reporting unit exceeded the carrying value of its net assets. As a result, we were not required to conduct the second step of the impairment test. The Company does not believe its reporting unit is at risk of failing step one of the impairment test.</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Insurance Accruals</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210"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 A 10% change in the Company’s estimate would have changed its reserve for these losses at December 31, 2012 by $0.6 million.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for Income Taxes</w:t>
      </w:r>
    </w:p>
    <w:p>
      <w:pPr>
        <w:spacing w:after="0" w:line="238"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212" w:lineRule="exact"/>
        <w:rPr>
          <w:sz w:val="20"/>
          <w:szCs w:val="20"/>
          <w:color w:val="auto"/>
        </w:rPr>
      </w:pPr>
    </w:p>
    <w:p>
      <w:pPr>
        <w:jc w:val="both"/>
        <w:ind w:right="20" w:firstLine="560"/>
        <w:spacing w:after="0" w:line="251" w:lineRule="auto"/>
        <w:rPr>
          <w:sz w:val="20"/>
          <w:szCs w:val="20"/>
          <w:color w:val="auto"/>
        </w:rPr>
      </w:pPr>
      <w:r>
        <w:rPr>
          <w:rFonts w:ascii="Times New Roman" w:cs="Times New Roman" w:eastAsia="Times New Roman" w:hAnsi="Times New Roman"/>
          <w:sz w:val="16"/>
          <w:szCs w:val="16"/>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10"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Instruments and Hedging Activities</w:t>
      </w:r>
    </w:p>
    <w:p>
      <w:pPr>
        <w:spacing w:after="0" w:line="23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207"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If the interest rate swaps become ineffective, portions of these interest rate swaps would be reported as a component of interest expense in the accompanying Consolidated Statements of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Standards</w:t>
      </w:r>
    </w:p>
    <w:p>
      <w:pPr>
        <w:spacing w:after="0" w:line="191"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In June 2011, the Financial Accounting Standards Board (“FASB”) issued an amendment to the existing guidance on the presentation of comprehensive income. Under the amended guidance, entities have the option to present the components of net income and other comprehensive income in either a single continuous statement of comprehensive income or in two separate but consecutive statements. Entities no longer have the option of presenting the components of other comprehensive income within the statement of changes in stockholders’ equity. This amendment was effective on a retrospective basis for fiscal years, and interim periods within those years, beginning after December 15, 2011, which was the first quarter of 2012 for the Company. The adoption of this amendment resulted in a change to the Company’s current presentation of comprehensive income, but did not have any impact on the Company’s consolidated financial statements and related disclosures.</w:t>
      </w:r>
    </w:p>
    <w:p>
      <w:pPr>
        <w:spacing w:after="0" w:line="212" w:lineRule="exact"/>
        <w:rPr>
          <w:sz w:val="20"/>
          <w:szCs w:val="20"/>
          <w:color w:val="auto"/>
        </w:rPr>
      </w:pPr>
    </w:p>
    <w:p>
      <w:pPr>
        <w:jc w:val="both"/>
        <w:ind w:firstLine="560"/>
        <w:spacing w:after="0" w:line="247" w:lineRule="auto"/>
        <w:rPr>
          <w:sz w:val="20"/>
          <w:szCs w:val="20"/>
          <w:color w:val="auto"/>
        </w:rPr>
      </w:pPr>
      <w:r>
        <w:rPr>
          <w:rFonts w:ascii="Times New Roman" w:cs="Times New Roman" w:eastAsia="Times New Roman" w:hAnsi="Times New Roman"/>
          <w:sz w:val="16"/>
          <w:szCs w:val="16"/>
          <w:color w:val="auto"/>
        </w:rPr>
        <w:t>The FASB amended existing guidance by requiring that additional information be disclosed about items reclassified ("reclassification adjustments") out of accumulated other comprehensive income. The additional information includes separately stating the total change for each component of other comprehensive and separately disclosing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This accounting standard will be effective for interim and annual periods beginning after December 15, 2012. The Company does not believe the adoption of this update will have a material impact on its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8" w:lineRule="exact"/>
        <w:rPr>
          <w:sz w:val="20"/>
          <w:szCs w:val="20"/>
          <w:color w:val="auto"/>
        </w:rPr>
      </w:pPr>
    </w:p>
    <w:p>
      <w:pPr>
        <w:ind w:right="20" w:firstLine="560"/>
        <w:spacing w:after="0" w:line="267" w:lineRule="auto"/>
        <w:rPr>
          <w:sz w:val="20"/>
          <w:szCs w:val="20"/>
          <w:color w:val="auto"/>
        </w:rPr>
      </w:pPr>
      <w:r>
        <w:rPr>
          <w:rFonts w:ascii="Times New Roman" w:cs="Times New Roman" w:eastAsia="Times New Roman" w:hAnsi="Times New Roman"/>
          <w:sz w:val="16"/>
          <w:szCs w:val="16"/>
          <w:color w:val="auto"/>
        </w:rPr>
        <w:t>The following discussion and analysis includes the Company’s historical results of operations for 2012, 2011 and 2010. The following table sets forth for the years indicated certain financial data as a percentage of total revenues:</w:t>
      </w:r>
    </w:p>
    <w:p>
      <w:pPr>
        <w:spacing w:after="0" w:line="19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9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6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2011</w:t>
            </w: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2010</w:t>
            </w:r>
          </w:p>
        </w:tc>
        <w:tc>
          <w:tcPr>
            <w:tcW w:w="140" w:type="dxa"/>
            <w:vAlign w:val="bottom"/>
          </w:tcPr>
          <w:p>
            <w:pPr>
              <w:spacing w:after="0"/>
              <w:rPr>
                <w:sz w:val="16"/>
                <w:szCs w:val="16"/>
                <w:color w:val="auto"/>
              </w:rPr>
            </w:pPr>
          </w:p>
        </w:tc>
      </w:tr>
      <w:tr>
        <w:trPr>
          <w:trHeight w:val="187"/>
        </w:trPr>
        <w:tc>
          <w:tcPr>
            <w:tcW w:w="53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6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New and used commercial vehicle sales</w:t>
            </w:r>
          </w:p>
        </w:tc>
        <w:tc>
          <w:tcPr>
            <w:tcW w:w="7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69.6%</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69.8%</w:t>
            </w:r>
          </w:p>
        </w:tc>
        <w:tc>
          <w:tcPr>
            <w:tcW w:w="15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61.9%</w:t>
            </w:r>
          </w:p>
        </w:tc>
      </w:tr>
      <w:tr>
        <w:trPr>
          <w:trHeight w:val="187"/>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Parts and service sales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26.5</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26.2</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32.7</w:t>
            </w:r>
          </w:p>
        </w:tc>
      </w:tr>
      <w:tr>
        <w:trPr>
          <w:trHeight w:val="187"/>
        </w:trPr>
        <w:tc>
          <w:tcPr>
            <w:tcW w:w="6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Lease and rental</w:t>
            </w:r>
          </w:p>
        </w:tc>
        <w:tc>
          <w:tcPr>
            <w:tcW w:w="7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3.2</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15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r>
      <w:tr>
        <w:trPr>
          <w:trHeight w:val="187"/>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0.4</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r>
      <w:tr>
        <w:trPr>
          <w:trHeight w:val="187"/>
        </w:trPr>
        <w:tc>
          <w:tcPr>
            <w:tcW w:w="5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0.3</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15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r>
      <w:tr>
        <w:trPr>
          <w:trHeight w:val="23"/>
        </w:trPr>
        <w:tc>
          <w:tcPr>
            <w:tcW w:w="5380" w:type="dxa"/>
            <w:vAlign w:val="bottom"/>
            <w:shd w:val="clear" w:color="auto" w:fill="C0FF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9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100.0</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r>
      <w:tr>
        <w:trPr>
          <w:trHeight w:val="187"/>
        </w:trPr>
        <w:tc>
          <w:tcPr>
            <w:tcW w:w="5380" w:type="dxa"/>
            <w:vAlign w:val="bottom"/>
            <w:shd w:val="clear" w:color="auto" w:fill="C0FFFF"/>
          </w:tcPr>
          <w:p>
            <w:pPr>
              <w:spacing w:after="0"/>
              <w:rPr>
                <w:sz w:val="16"/>
                <w:szCs w:val="16"/>
                <w:color w:val="auto"/>
              </w:rPr>
            </w:pPr>
          </w:p>
        </w:tc>
        <w:tc>
          <w:tcPr>
            <w:tcW w:w="980" w:type="dxa"/>
            <w:vAlign w:val="bottom"/>
            <w:tcBorders>
              <w:top w:val="single" w:sz="8" w:color="auto"/>
            </w:tcBorders>
            <w:shd w:val="clear" w:color="auto" w:fill="C0FFFF"/>
          </w:tcPr>
          <w:p>
            <w:pPr>
              <w:spacing w:after="0"/>
              <w:rPr>
                <w:sz w:val="16"/>
                <w:szCs w:val="16"/>
                <w:color w:val="auto"/>
              </w:rPr>
            </w:pPr>
          </w:p>
        </w:tc>
        <w:tc>
          <w:tcPr>
            <w:tcW w:w="440" w:type="dxa"/>
            <w:vAlign w:val="bottom"/>
            <w:tcBorders>
              <w:top w:val="single" w:sz="8" w:color="auto"/>
            </w:tcBorders>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60" w:type="dxa"/>
            <w:vAlign w:val="bottom"/>
            <w:tcBorders>
              <w:top w:val="single" w:sz="8" w:color="auto"/>
            </w:tcBorders>
            <w:shd w:val="clear" w:color="auto" w:fill="C0FFFF"/>
          </w:tcPr>
          <w:p>
            <w:pPr>
              <w:spacing w:after="0"/>
              <w:rPr>
                <w:sz w:val="16"/>
                <w:szCs w:val="16"/>
                <w:color w:val="auto"/>
              </w:rPr>
            </w:pPr>
          </w:p>
        </w:tc>
        <w:tc>
          <w:tcPr>
            <w:tcW w:w="460" w:type="dxa"/>
            <w:vAlign w:val="bottom"/>
            <w:tcBorders>
              <w:top w:val="single" w:sz="8" w:color="auto"/>
            </w:tcBorders>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42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r>
      <w:tr>
        <w:trPr>
          <w:trHeight w:val="187"/>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products sold</w:t>
            </w:r>
          </w:p>
        </w:tc>
        <w:tc>
          <w:tcPr>
            <w:tcW w:w="9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83.8</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83.6</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81.0</w:t>
            </w:r>
          </w:p>
        </w:tc>
      </w:tr>
      <w:tr>
        <w:trPr>
          <w:trHeight w:val="23"/>
        </w:trPr>
        <w:tc>
          <w:tcPr>
            <w:tcW w:w="5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5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16.2</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16.4</w:t>
            </w:r>
          </w:p>
        </w:tc>
        <w:tc>
          <w:tcPr>
            <w:tcW w:w="15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19.0</w:t>
            </w:r>
          </w:p>
        </w:tc>
      </w:tr>
      <w:tr>
        <w:trPr>
          <w:trHeight w:val="187"/>
        </w:trPr>
        <w:tc>
          <w:tcPr>
            <w:tcW w:w="5380" w:type="dxa"/>
            <w:vAlign w:val="bottom"/>
            <w:tcBorders>
              <w:top w:val="single" w:sz="8" w:color="C0FFFF"/>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Borders>
              <w:top w:val="single" w:sz="8" w:color="C0FF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40" w:type="dxa"/>
            <w:vAlign w:val="bottom"/>
            <w:tcBorders>
              <w:top w:val="single" w:sz="8" w:color="C0FFFF"/>
            </w:tcBorders>
          </w:tcPr>
          <w:p>
            <w:pPr>
              <w:spacing w:after="0"/>
              <w:rPr>
                <w:sz w:val="16"/>
                <w:szCs w:val="16"/>
                <w:color w:val="auto"/>
              </w:rPr>
            </w:pPr>
          </w:p>
        </w:tc>
      </w:tr>
      <w:tr>
        <w:trPr>
          <w:trHeight w:val="187"/>
        </w:trPr>
        <w:tc>
          <w:tcPr>
            <w:tcW w:w="6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11.7</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11.9</w:t>
            </w:r>
          </w:p>
        </w:tc>
        <w:tc>
          <w:tcPr>
            <w:tcW w:w="15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15.2</w:t>
            </w:r>
          </w:p>
        </w:tc>
      </w:tr>
      <w:tr>
        <w:trPr>
          <w:trHeight w:val="187"/>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0.8</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0.7</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r>
      <w:tr>
        <w:trPr>
          <w:trHeight w:val="23"/>
        </w:trPr>
        <w:tc>
          <w:tcPr>
            <w:tcW w:w="5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7"/>
        </w:trPr>
        <w:tc>
          <w:tcPr>
            <w:tcW w:w="5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98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3.7</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3.8</w:t>
            </w:r>
          </w:p>
        </w:tc>
        <w:tc>
          <w:tcPr>
            <w:tcW w:w="15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2.8</w:t>
            </w:r>
          </w:p>
        </w:tc>
      </w:tr>
      <w:tr>
        <w:trPr>
          <w:trHeight w:val="187"/>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9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0.4</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0.3</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r>
      <w:tr>
        <w:trPr>
          <w:trHeight w:val="23"/>
        </w:trPr>
        <w:tc>
          <w:tcPr>
            <w:tcW w:w="5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7"/>
        </w:trPr>
        <w:tc>
          <w:tcPr>
            <w:tcW w:w="5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98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3.3</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3.5</w:t>
            </w:r>
          </w:p>
        </w:tc>
        <w:tc>
          <w:tcPr>
            <w:tcW w:w="15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r>
      <w:tr>
        <w:trPr>
          <w:trHeight w:val="187"/>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1.3</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0.8</w:t>
            </w:r>
          </w:p>
        </w:tc>
      </w:tr>
      <w:tr>
        <w:trPr>
          <w:trHeight w:val="23"/>
        </w:trPr>
        <w:tc>
          <w:tcPr>
            <w:tcW w:w="5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7"/>
        </w:trPr>
        <w:tc>
          <w:tcPr>
            <w:tcW w:w="5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98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w:t>
            </w:r>
          </w:p>
        </w:tc>
        <w:tc>
          <w:tcPr>
            <w:tcW w:w="960" w:type="dxa"/>
            <w:vAlign w:val="bottom"/>
            <w:shd w:val="clear" w:color="auto" w:fill="C0FFFF"/>
          </w:tcPr>
          <w:p>
            <w:pPr>
              <w:spacing w:after="0"/>
              <w:rPr>
                <w:sz w:val="16"/>
                <w:szCs w:val="16"/>
                <w:color w:val="auto"/>
              </w:rPr>
            </w:pPr>
          </w:p>
        </w:tc>
        <w:tc>
          <w:tcPr>
            <w:tcW w:w="7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2.1</w:t>
            </w:r>
          </w:p>
        </w:tc>
        <w:tc>
          <w:tcPr>
            <w:tcW w:w="15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r>
      <w:tr>
        <w:trPr>
          <w:trHeight w:val="187"/>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9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0.0</w:t>
            </w:r>
          </w:p>
        </w:tc>
        <w:tc>
          <w:tcPr>
            <w:tcW w:w="96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r>
      <w:tr>
        <w:trPr>
          <w:trHeight w:val="23"/>
        </w:trPr>
        <w:tc>
          <w:tcPr>
            <w:tcW w:w="5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7"/>
        </w:trPr>
        <w:tc>
          <w:tcPr>
            <w:tcW w:w="5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0FFFF"/>
          </w:tcPr>
          <w:p>
            <w:pPr>
              <w:spacing w:after="0"/>
              <w:rPr>
                <w:sz w:val="17"/>
                <w:szCs w:val="17"/>
                <w:color w:val="auto"/>
              </w:rPr>
            </w:pPr>
          </w:p>
        </w:tc>
        <w:tc>
          <w:tcPr>
            <w:tcW w:w="7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w:t>
            </w:r>
          </w:p>
        </w:tc>
        <w:tc>
          <w:tcPr>
            <w:tcW w:w="960" w:type="dxa"/>
            <w:vAlign w:val="bottom"/>
            <w:shd w:val="clear" w:color="auto" w:fill="C0FFFF"/>
          </w:tcPr>
          <w:p>
            <w:pPr>
              <w:spacing w:after="0"/>
              <w:rPr>
                <w:sz w:val="17"/>
                <w:szCs w:val="17"/>
                <w:color w:val="auto"/>
              </w:rPr>
            </w:pPr>
          </w:p>
        </w:tc>
        <w:tc>
          <w:tcPr>
            <w:tcW w:w="7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15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538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r>
    </w:tbl>
    <w:p>
      <w:pPr>
        <w:spacing w:after="0" w:line="217" w:lineRule="exact"/>
        <w:rPr>
          <w:sz w:val="20"/>
          <w:szCs w:val="20"/>
          <w:color w:val="auto"/>
        </w:rPr>
      </w:pPr>
    </w:p>
    <w:p>
      <w:pPr>
        <w:ind w:right="20" w:firstLine="560"/>
        <w:spacing w:after="0" w:line="267" w:lineRule="auto"/>
        <w:rPr>
          <w:sz w:val="20"/>
          <w:szCs w:val="20"/>
          <w:color w:val="auto"/>
        </w:rPr>
      </w:pPr>
      <w:r>
        <w:rPr>
          <w:rFonts w:ascii="Times New Roman" w:cs="Times New Roman" w:eastAsia="Times New Roman" w:hAnsi="Times New Roman"/>
          <w:sz w:val="16"/>
          <w:szCs w:val="16"/>
          <w:color w:val="auto"/>
        </w:rPr>
        <w:t>The following table sets forth the unit sales and revenue for new heavy-duty, new medium-duty, new light-duty and used commercial vehicles and the absorption ratio for the years indicated (revenue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8"/>
        </w:trPr>
        <w:tc>
          <w:tcPr>
            <w:tcW w:w="5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center"/>
              <w:ind w:left="282"/>
              <w:spacing w:after="0" w:line="168" w:lineRule="exact"/>
              <w:rPr>
                <w:sz w:val="20"/>
                <w:szCs w:val="20"/>
                <w:color w:val="auto"/>
              </w:rPr>
            </w:pPr>
            <w:r>
              <w:rPr>
                <w:rFonts w:ascii="Times New Roman" w:cs="Times New Roman" w:eastAsia="Times New Roman" w:hAnsi="Times New Roman"/>
                <w:sz w:val="16"/>
                <w:szCs w:val="16"/>
                <w:b w:val="1"/>
                <w:bCs w:val="1"/>
                <w:color w:val="auto"/>
                <w:w w:val="99"/>
              </w:rPr>
              <w:t>2012</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center"/>
              <w:ind w:right="222"/>
              <w:spacing w:after="0" w:line="168" w:lineRule="exact"/>
              <w:rPr>
                <w:sz w:val="20"/>
                <w:szCs w:val="20"/>
                <w:color w:val="auto"/>
              </w:rPr>
            </w:pPr>
            <w:r>
              <w:rPr>
                <w:rFonts w:ascii="Times New Roman" w:cs="Times New Roman" w:eastAsia="Times New Roman" w:hAnsi="Times New Roman"/>
                <w:sz w:val="16"/>
                <w:szCs w:val="16"/>
                <w:b w:val="1"/>
                <w:bCs w:val="1"/>
                <w:color w:val="auto"/>
                <w:w w:val="93"/>
              </w:rPr>
              <w:t>2011</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84"/>
              </w:rPr>
              <w:t>vs</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vs</w:t>
            </w:r>
          </w:p>
        </w:tc>
        <w:tc>
          <w:tcPr>
            <w:tcW w:w="1100" w:type="dxa"/>
            <w:vAlign w:val="bottom"/>
          </w:tcPr>
          <w:p>
            <w:pPr>
              <w:spacing w:after="0"/>
              <w:rPr>
                <w:sz w:val="16"/>
                <w:szCs w:val="16"/>
                <w:color w:val="auto"/>
              </w:rPr>
            </w:pPr>
          </w:p>
        </w:tc>
      </w:tr>
      <w:tr>
        <w:trPr>
          <w:trHeight w:val="208"/>
        </w:trPr>
        <w:tc>
          <w:tcPr>
            <w:tcW w:w="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2011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80" w:type="dxa"/>
            <w:vAlign w:val="bottom"/>
            <w:gridSpan w:val="3"/>
          </w:tcPr>
          <w:p>
            <w:pPr>
              <w:jc w:val="center"/>
              <w:ind w:left="882"/>
              <w:spacing w:after="0"/>
              <w:rPr>
                <w:sz w:val="20"/>
                <w:szCs w:val="20"/>
                <w:color w:val="auto"/>
              </w:rPr>
            </w:pPr>
            <w:r>
              <w:rPr>
                <w:rFonts w:ascii="Times New Roman" w:cs="Times New Roman" w:eastAsia="Times New Roman" w:hAnsi="Times New Roman"/>
                <w:sz w:val="16"/>
                <w:szCs w:val="16"/>
                <w:b w:val="1"/>
                <w:bCs w:val="1"/>
                <w:color w:val="auto"/>
                <w:w w:val="99"/>
              </w:rPr>
              <w:t>2011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w w:val="93"/>
              </w:rPr>
              <w:t>2010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Vehicle unit sales:</w:t>
            </w:r>
          </w:p>
        </w:tc>
        <w:tc>
          <w:tcPr>
            <w:tcW w:w="220" w:type="dxa"/>
            <w:vAlign w:val="bottom"/>
            <w:tcBorders>
              <w:top w:val="single" w:sz="8" w:color="auto"/>
            </w:tcBorders>
            <w:shd w:val="clear" w:color="auto" w:fill="C0FFFF"/>
          </w:tcPr>
          <w:p>
            <w:pPr>
              <w:spacing w:after="0"/>
              <w:rPr>
                <w:sz w:val="16"/>
                <w:szCs w:val="16"/>
                <w:color w:val="auto"/>
              </w:rPr>
            </w:pPr>
          </w:p>
        </w:tc>
        <w:tc>
          <w:tcPr>
            <w:tcW w:w="820" w:type="dxa"/>
            <w:vAlign w:val="bottom"/>
            <w:tcBorders>
              <w:top w:val="single" w:sz="8" w:color="auto"/>
            </w:tcBorders>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280" w:type="dxa"/>
            <w:vAlign w:val="bottom"/>
            <w:tcBorders>
              <w:top w:val="single" w:sz="8" w:color="auto"/>
            </w:tcBorders>
            <w:shd w:val="clear" w:color="auto" w:fill="C0FFFF"/>
          </w:tcPr>
          <w:p>
            <w:pPr>
              <w:spacing w:after="0"/>
              <w:rPr>
                <w:sz w:val="16"/>
                <w:szCs w:val="16"/>
                <w:color w:val="auto"/>
              </w:rPr>
            </w:pPr>
          </w:p>
        </w:tc>
        <w:tc>
          <w:tcPr>
            <w:tcW w:w="780" w:type="dxa"/>
            <w:vAlign w:val="bottom"/>
            <w:tcBorders>
              <w:top w:val="single" w:sz="8" w:color="auto"/>
            </w:tcBorders>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220" w:type="dxa"/>
            <w:vAlign w:val="bottom"/>
            <w:tcBorders>
              <w:top w:val="single" w:sz="8" w:color="auto"/>
            </w:tcBorders>
            <w:shd w:val="clear" w:color="auto" w:fill="C0FFFF"/>
          </w:tcPr>
          <w:p>
            <w:pPr>
              <w:spacing w:after="0"/>
              <w:rPr>
                <w:sz w:val="16"/>
                <w:szCs w:val="16"/>
                <w:color w:val="auto"/>
              </w:rPr>
            </w:pPr>
          </w:p>
        </w:tc>
        <w:tc>
          <w:tcPr>
            <w:tcW w:w="460" w:type="dxa"/>
            <w:vAlign w:val="bottom"/>
            <w:tcBorders>
              <w:top w:val="single" w:sz="8" w:color="auto"/>
            </w:tcBorders>
            <w:shd w:val="clear" w:color="auto" w:fill="C0FFFF"/>
          </w:tcPr>
          <w:p>
            <w:pPr>
              <w:spacing w:after="0"/>
              <w:rPr>
                <w:sz w:val="16"/>
                <w:szCs w:val="16"/>
                <w:color w:val="auto"/>
              </w:rPr>
            </w:pPr>
          </w:p>
        </w:tc>
        <w:tc>
          <w:tcPr>
            <w:tcW w:w="360" w:type="dxa"/>
            <w:vAlign w:val="bottom"/>
            <w:tcBorders>
              <w:top w:val="single" w:sz="8" w:color="auto"/>
            </w:tcBorders>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680" w:type="dxa"/>
            <w:vAlign w:val="bottom"/>
            <w:tcBorders>
              <w:top w:val="single" w:sz="8" w:color="auto"/>
            </w:tcBorders>
            <w:shd w:val="clear" w:color="auto" w:fill="C0FFFF"/>
          </w:tcPr>
          <w:p>
            <w:pPr>
              <w:spacing w:after="0"/>
              <w:rPr>
                <w:sz w:val="16"/>
                <w:szCs w:val="16"/>
                <w:color w:val="auto"/>
              </w:rPr>
            </w:pPr>
          </w:p>
        </w:tc>
        <w:tc>
          <w:tcPr>
            <w:tcW w:w="360" w:type="dxa"/>
            <w:vAlign w:val="bottom"/>
            <w:tcBorders>
              <w:top w:val="single" w:sz="8" w:color="auto"/>
            </w:tcBorders>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00" w:type="dxa"/>
            <w:vAlign w:val="bottom"/>
            <w:tcBorders>
              <w:top w:val="single" w:sz="8" w:color="auto"/>
            </w:tcBorders>
            <w:shd w:val="clear" w:color="auto" w:fill="C0FFFF"/>
          </w:tcPr>
          <w:p>
            <w:pPr>
              <w:spacing w:after="0"/>
              <w:rPr>
                <w:sz w:val="16"/>
                <w:szCs w:val="16"/>
                <w:color w:val="auto"/>
              </w:rPr>
            </w:pPr>
          </w:p>
        </w:tc>
        <w:tc>
          <w:tcPr>
            <w:tcW w:w="76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New heavy-duty vehicles</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9,925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9,052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4"/>
              </w:rPr>
              <w:t>4,746</w:t>
            </w:r>
          </w:p>
        </w:tc>
        <w:tc>
          <w:tcPr>
            <w:tcW w:w="6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90.7%</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New medium-duty vehicles</w:t>
            </w:r>
          </w:p>
        </w:tc>
        <w:tc>
          <w:tcPr>
            <w:tcW w:w="22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7,126</w:t>
            </w:r>
          </w:p>
        </w:tc>
        <w:tc>
          <w:tcPr>
            <w:tcW w:w="6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5,469</w:t>
            </w:r>
          </w:p>
        </w:tc>
        <w:tc>
          <w:tcPr>
            <w:tcW w:w="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w w:val="94"/>
              </w:rPr>
              <w:t>2,820</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30.3%</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93.9%</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New light-duty vehicles</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1,376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1,019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114</w:t>
            </w:r>
          </w:p>
        </w:tc>
        <w:tc>
          <w:tcPr>
            <w:tcW w:w="6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w:t>
            </w:r>
          </w:p>
        </w:tc>
        <w:tc>
          <w:tcPr>
            <w:tcW w:w="3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793.9%</w:t>
            </w:r>
          </w:p>
        </w:tc>
        <w:tc>
          <w:tcPr>
            <w:tcW w:w="110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Total new vehicle unit sales</w:t>
            </w:r>
          </w:p>
        </w:tc>
        <w:tc>
          <w:tcPr>
            <w:tcW w:w="22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18,427</w:t>
            </w:r>
          </w:p>
        </w:tc>
        <w:tc>
          <w:tcPr>
            <w:tcW w:w="6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15,540</w:t>
            </w:r>
          </w:p>
        </w:tc>
        <w:tc>
          <w:tcPr>
            <w:tcW w:w="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w w:val="94"/>
              </w:rPr>
              <w:t>7,680</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18.6%</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102.3%</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Used vehicles sales</w:t>
            </w:r>
          </w:p>
        </w:tc>
        <w:tc>
          <w:tcPr>
            <w:tcW w:w="22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4,744</w:t>
            </w:r>
          </w:p>
        </w:tc>
        <w:tc>
          <w:tcPr>
            <w:tcW w:w="6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4,649</w:t>
            </w:r>
          </w:p>
        </w:tc>
        <w:tc>
          <w:tcPr>
            <w:tcW w:w="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w w:val="94"/>
              </w:rPr>
              <w:t>3,461</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34.3%</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Vehicle revenue:</w:t>
            </w:r>
          </w:p>
        </w:tc>
        <w:tc>
          <w:tcPr>
            <w:tcW w:w="220" w:type="dxa"/>
            <w:vAlign w:val="bottom"/>
            <w:shd w:val="clear" w:color="auto" w:fill="C0FFFF"/>
          </w:tcPr>
          <w:p>
            <w:pPr>
              <w:spacing w:after="0"/>
              <w:rPr>
                <w:sz w:val="16"/>
                <w:szCs w:val="16"/>
                <w:color w:val="auto"/>
              </w:rPr>
            </w:pPr>
          </w:p>
        </w:tc>
        <w:tc>
          <w:tcPr>
            <w:tcW w:w="82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680" w:type="dxa"/>
            <w:vAlign w:val="bottom"/>
            <w:shd w:val="clear" w:color="auto" w:fill="C0FFFF"/>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New heavy-duty vehicles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1,410.3</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1,186.5</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4"/>
              </w:rPr>
              <w:t>595.4</w:t>
            </w:r>
          </w:p>
        </w:tc>
        <w:tc>
          <w:tcPr>
            <w:tcW w:w="6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w:t>
            </w:r>
          </w:p>
        </w:tc>
        <w:tc>
          <w:tcPr>
            <w:tcW w:w="3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99.3%</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New medium-duty vehicles</w:t>
            </w:r>
          </w:p>
        </w:tc>
        <w:tc>
          <w:tcPr>
            <w:tcW w:w="22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479.5</w:t>
            </w:r>
          </w:p>
        </w:tc>
        <w:tc>
          <w:tcPr>
            <w:tcW w:w="6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380.7</w:t>
            </w:r>
          </w:p>
        </w:tc>
        <w:tc>
          <w:tcPr>
            <w:tcW w:w="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w w:val="94"/>
              </w:rPr>
              <w:t>185.9</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26.0%</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104.8%</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New light-duty vehicles</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w:t>
            </w:r>
          </w:p>
        </w:tc>
        <w:tc>
          <w:tcPr>
            <w:tcW w:w="6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36.3%</w:t>
            </w:r>
          </w:p>
        </w:tc>
        <w:tc>
          <w:tcPr>
            <w:tcW w:w="3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692.9%</w:t>
            </w:r>
          </w:p>
        </w:tc>
        <w:tc>
          <w:tcPr>
            <w:tcW w:w="110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Total new vehicle revenue</w:t>
            </w:r>
          </w:p>
        </w:tc>
        <w:tc>
          <w:tcPr>
            <w:tcW w:w="220" w:type="dxa"/>
            <w:vAlign w:val="bottom"/>
            <w:shd w:val="clear" w:color="auto" w:fill="C0FF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1,935.2</w:t>
            </w:r>
          </w:p>
        </w:tc>
        <w:tc>
          <w:tcPr>
            <w:tcW w:w="3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1,600.5</w:t>
            </w:r>
          </w:p>
        </w:tc>
        <w:tc>
          <w:tcPr>
            <w:tcW w:w="28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w w:val="94"/>
              </w:rPr>
              <w:t>785.5</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103.8%</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Used vehicle revenue</w:t>
            </w:r>
          </w:p>
        </w:tc>
        <w:tc>
          <w:tcPr>
            <w:tcW w:w="220" w:type="dxa"/>
            <w:vAlign w:val="bottom"/>
            <w:shd w:val="clear" w:color="auto" w:fill="C0FF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197.6</w:t>
            </w:r>
          </w:p>
        </w:tc>
        <w:tc>
          <w:tcPr>
            <w:tcW w:w="3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193.3</w:t>
            </w:r>
          </w:p>
        </w:tc>
        <w:tc>
          <w:tcPr>
            <w:tcW w:w="28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w w:val="94"/>
              </w:rPr>
              <w:t>139.0</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39.1%</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Other vehicle revenue:(1)</w:t>
            </w:r>
          </w:p>
        </w:tc>
        <w:tc>
          <w:tcPr>
            <w:tcW w:w="220" w:type="dxa"/>
            <w:vAlign w:val="bottom"/>
            <w:shd w:val="clear" w:color="auto" w:fill="C0FF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16.5</w:t>
            </w:r>
          </w:p>
        </w:tc>
        <w:tc>
          <w:tcPr>
            <w:tcW w:w="3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2.1</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w w:val="97"/>
              </w:rPr>
              <w:t>101.2%</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290.5%</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Dealership absorption ratio:</w:t>
            </w:r>
          </w:p>
        </w:tc>
        <w:tc>
          <w:tcPr>
            <w:tcW w:w="22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115.9%</w:t>
            </w:r>
          </w:p>
        </w:tc>
        <w:tc>
          <w:tcPr>
            <w:tcW w:w="6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9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113.9%</w:t>
            </w:r>
          </w:p>
        </w:tc>
        <w:tc>
          <w:tcPr>
            <w:tcW w:w="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w w:val="97"/>
              </w:rPr>
              <w:t>105.5%</w:t>
            </w:r>
          </w:p>
        </w:tc>
        <w:tc>
          <w:tcPr>
            <w:tcW w:w="68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0FFFF"/>
          </w:tcPr>
          <w:p>
            <w:pPr>
              <w:spacing w:after="0"/>
              <w:rPr>
                <w:sz w:val="16"/>
                <w:szCs w:val="16"/>
                <w:color w:val="auto"/>
              </w:rPr>
            </w:pP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1100" w:type="dxa"/>
            <w:vAlign w:val="bottom"/>
          </w:tcPr>
          <w:p>
            <w:pPr>
              <w:spacing w:after="0"/>
              <w:rPr>
                <w:sz w:val="16"/>
                <w:szCs w:val="16"/>
                <w:color w:val="auto"/>
              </w:rPr>
            </w:pPr>
          </w:p>
        </w:tc>
      </w:tr>
      <w:tr>
        <w:trPr>
          <w:trHeight w:val="373"/>
        </w:trPr>
        <w:tc>
          <w:tcPr>
            <w:tcW w:w="560" w:type="dxa"/>
            <w:vAlign w:val="bottom"/>
          </w:tcPr>
          <w:p>
            <w:pPr>
              <w:spacing w:after="0"/>
              <w:rPr>
                <w:sz w:val="24"/>
                <w:szCs w:val="24"/>
                <w:color w:val="auto"/>
              </w:rPr>
            </w:pPr>
          </w:p>
        </w:tc>
        <w:tc>
          <w:tcPr>
            <w:tcW w:w="500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8"/>
              </w:rPr>
              <w:t>(1) Includes sales of glider kits, truck bodies, trailers and other new equipment.</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02"/>
        </w:trPr>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56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31" w:name="page32"/>
    <w:bookmarkEnd w:id="31"/>
    <w:tbl>
      <w:tblPr>
        <w:tblLayout w:type="fixed"/>
        <w:tblInd w:w="560" w:type="dxa"/>
        <w:tblCellMar>
          <w:top w:w="0" w:type="dxa"/>
          <w:left w:w="0" w:type="dxa"/>
          <w:bottom w:w="0" w:type="dxa"/>
          <w:right w:w="0" w:type="dxa"/>
        </w:tblCellMar>
      </w:tblPr>
      <w:tr>
        <w:trPr>
          <w:trHeight w:val="203"/>
        </w:trPr>
        <w:tc>
          <w:tcPr>
            <w:tcW w:w="6820" w:type="dxa"/>
            <w:vAlign w:val="bottom"/>
            <w:gridSpan w:val="3"/>
          </w:tcPr>
          <w:p>
            <w:pPr>
              <w:jc w:val="right"/>
              <w:ind w:right="502"/>
              <w:spacing w:after="0"/>
              <w:rPr>
                <w:sz w:val="20"/>
                <w:szCs w:val="20"/>
                <w:color w:val="auto"/>
              </w:rPr>
            </w:pPr>
            <w:r>
              <w:rPr>
                <w:rFonts w:ascii="Times New Roman" w:cs="Times New Roman" w:eastAsia="Times New Roman" w:hAnsi="Times New Roman"/>
                <w:sz w:val="16"/>
                <w:szCs w:val="16"/>
                <w:color w:val="auto"/>
                <w:w w:val="96"/>
              </w:rPr>
              <w:t>The following table sets forth for the periods indicated the percent of gross profit by revenue source: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gridSpan w:val="2"/>
            <w:vMerge w:val="restart"/>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140" w:type="dxa"/>
            <w:vAlign w:val="bottom"/>
            <w:gridSpan w:val="2"/>
            <w:vMerge w:val="continue"/>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2011</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282"/>
              <w:spacing w:after="0" w:line="178" w:lineRule="exact"/>
              <w:rPr>
                <w:sz w:val="20"/>
                <w:szCs w:val="20"/>
                <w:color w:val="auto"/>
              </w:rPr>
            </w:pPr>
            <w:r>
              <w:rPr>
                <w:rFonts w:ascii="Times New Roman" w:cs="Times New Roman" w:eastAsia="Times New Roman" w:hAnsi="Times New Roman"/>
                <w:sz w:val="16"/>
                <w:szCs w:val="16"/>
                <w:b w:val="1"/>
                <w:bCs w:val="1"/>
                <w:color w:val="auto"/>
              </w:rPr>
              <w:t>2010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4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and used commercial vehicle sales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28.7%</w:t>
            </w:r>
          </w:p>
        </w:tc>
        <w:tc>
          <w:tcPr>
            <w:tcW w:w="6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4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Parts and service sales</w:t>
            </w:r>
          </w:p>
        </w:tc>
        <w:tc>
          <w:tcPr>
            <w:tcW w:w="5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63.4</w:t>
            </w:r>
          </w:p>
        </w:tc>
        <w:tc>
          <w:tcPr>
            <w:tcW w:w="6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63.0</w:t>
            </w:r>
          </w:p>
        </w:tc>
        <w:tc>
          <w:tcPr>
            <w:tcW w:w="11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and rental</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6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4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5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2.7</w:t>
            </w:r>
          </w:p>
        </w:tc>
        <w:tc>
          <w:tcPr>
            <w:tcW w:w="6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2.6</w:t>
            </w:r>
          </w:p>
        </w:tc>
        <w:tc>
          <w:tcPr>
            <w:tcW w:w="11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w:t>
            </w:r>
          </w:p>
        </w:tc>
        <w:tc>
          <w:tcPr>
            <w:tcW w:w="6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20" w:type="dxa"/>
            <w:vAlign w:val="bottom"/>
          </w:tcPr>
          <w:p>
            <w:pPr>
              <w:spacing w:after="0"/>
              <w:rPr>
                <w:sz w:val="16"/>
                <w:szCs w:val="16"/>
                <w:color w:val="auto"/>
              </w:rPr>
            </w:pPr>
          </w:p>
        </w:tc>
        <w:tc>
          <w:tcPr>
            <w:tcW w:w="57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 gross profit</w:t>
            </w:r>
          </w:p>
        </w:tc>
        <w:tc>
          <w:tcPr>
            <w:tcW w:w="680" w:type="dxa"/>
            <w:vAlign w:val="bottom"/>
            <w:shd w:val="clear" w:color="auto" w:fill="C0FFFF"/>
          </w:tcPr>
          <w:p>
            <w:pPr>
              <w:spacing w:after="0"/>
              <w:rPr>
                <w:sz w:val="16"/>
                <w:szCs w:val="16"/>
                <w:color w:val="auto"/>
              </w:rPr>
            </w:pPr>
          </w:p>
        </w:tc>
        <w:tc>
          <w:tcPr>
            <w:tcW w:w="5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w w:val="93"/>
              </w:rPr>
              <w:t>100.0%</w:t>
            </w:r>
          </w:p>
        </w:tc>
        <w:tc>
          <w:tcPr>
            <w:tcW w:w="66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w w:val="97"/>
              </w:rPr>
              <w:t>100.0%</w:t>
            </w:r>
          </w:p>
        </w:tc>
        <w:tc>
          <w:tcPr>
            <w:tcW w:w="116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5720" w:type="dxa"/>
            <w:vAlign w:val="bottom"/>
            <w:shd w:val="clear" w:color="auto" w:fill="C0FF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w:t>
      </w:r>
    </w:p>
    <w:p>
      <w:pPr>
        <w:spacing w:after="0" w:line="238"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We currently operate in the commercial vehicle market. There has historically been a high correlation between new product sales in the commercial vehicle market and the rate of change in U.S. industrial production and the U.S. gross domestic product.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Heavy-Duty Truck Market</w:t>
      </w:r>
    </w:p>
    <w:p>
      <w:pPr>
        <w:spacing w:after="0" w:line="238" w:lineRule="exact"/>
        <w:rPr>
          <w:sz w:val="20"/>
          <w:szCs w:val="20"/>
          <w:color w:val="auto"/>
        </w:rPr>
      </w:pPr>
    </w:p>
    <w:p>
      <w:pPr>
        <w:jc w:val="both"/>
        <w:ind w:right="20" w:firstLine="560"/>
        <w:spacing w:after="0" w:line="249" w:lineRule="auto"/>
        <w:rPr>
          <w:sz w:val="20"/>
          <w:szCs w:val="20"/>
          <w:color w:val="auto"/>
        </w:rPr>
      </w:pPr>
      <w:r>
        <w:rPr>
          <w:rFonts w:ascii="Times New Roman" w:cs="Times New Roman" w:eastAsia="Times New Roman" w:hAnsi="Times New Roman"/>
          <w:sz w:val="16"/>
          <w:szCs w:val="16"/>
          <w:color w:val="auto"/>
        </w:rPr>
        <w:t>The U.S. retail heavy-duty truck market is affected by a number of factors relating to general economic conditions, including fuel prices, government regulation, interest rate fluctuations, economic recessions, other methods of transportation and customer business cycles. In addition, unit sales of new commercial vehicles have historically been subject to substantial cyclical variation based on general economic conditions. According to data published by A.C.T. Research, in recent years total U.S. retail sales of new Class 8 trucks have ranged from a low of approximately 97,000 in 2009 to a high of approximately 291,000 in 2006. Class 8 trucks are defined by the American Automobile Association as trucks with a minimum gross vehicle weight rating above 33,000 pounds.</w:t>
      </w:r>
    </w:p>
    <w:p>
      <w:pPr>
        <w:spacing w:after="0" w:line="212" w:lineRule="exact"/>
        <w:rPr>
          <w:sz w:val="20"/>
          <w:szCs w:val="20"/>
          <w:color w:val="auto"/>
        </w:rPr>
      </w:pPr>
    </w:p>
    <w:p>
      <w:pPr>
        <w:jc w:val="both"/>
        <w:ind w:firstLine="560"/>
        <w:spacing w:after="0" w:line="245" w:lineRule="auto"/>
        <w:rPr>
          <w:sz w:val="20"/>
          <w:szCs w:val="20"/>
          <w:color w:val="auto"/>
        </w:rPr>
      </w:pPr>
      <w:r>
        <w:rPr>
          <w:rFonts w:ascii="Times New Roman" w:cs="Times New Roman" w:eastAsia="Times New Roman" w:hAnsi="Times New Roman"/>
          <w:sz w:val="16"/>
          <w:szCs w:val="16"/>
          <w:color w:val="auto"/>
        </w:rPr>
        <w:t>Typically, Class 8 trucks are assembled by manufacturers utilizing certain components that may be manufactured by other companies, including engines, transmissions, axles, wheels and other components. As commercial vehicles and commercial vehicle components have become increasingly complex, the ability to provide state-of-the-art service for commercial vehicles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in the future we believe that more of our customers will lease Class 8 trucks as fleets and seek to establish full-service leases or rental contracts, which provide for turnkey service including parts, maintenance and, potentially, fuel, fuel tax reporting and other services.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220"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A.C.T. Research currently estimates approximately 198,000 new Class 8 trucks will be sold in the United States in 2013, compared to approximately 198,700 new Class 8 trucks sold in 2012. A.C.T. Research currently forecasts sales of new Class 8 trucks in the U.S. to be approximately 228,000 in 2014.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Medium-Duty Truck Market</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Many of our Rush Truck Centers sell medium-duty commercial vehicles manufactured by Peterbilt, International, Hino, Ford, Mitsubishi Fuso or Isuzu, and all of our Rush Truck Centers provide parts and service for medium-duty commercial vehicles. Medium-duty commercial vehicles are principally used in short-haul, local markets as delivery vehicles. Medium-duty commercial vehicles typically operate locally and generally do not leave their service areas overnight. The Company also sells light-duty vehicles (Class 3 and under) at three of its Ford dealerships.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sectPr>
      </w:pPr>
    </w:p>
    <w:bookmarkStart w:id="32" w:name="page33"/>
    <w:bookmarkEnd w:id="32"/>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A.C.T. Research currently forecasts sales of new Class 4 through 7 commercial vehicles in the U.S. to be approximately 186,000 in 2013, compared to 164,000 in 2012. A.C.T. Research currently forecasts sales of new Class 4 through 7 commercial vehicles in the U.S. to be approximately 200,000 in 2014.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2012 Compared to Year Ended December 31, 2011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Revenues increased $510.0 million, or 19.8%, in 2012, compared to 2011.</w:t>
      </w:r>
    </w:p>
    <w:p>
      <w:pPr>
        <w:spacing w:after="0" w:line="236"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Our parts, service and body shop revenues increased $142.0 million, or 21.0%, in 2012, compared to 2011. This increase is the result of increased service needs of aging vehicles, continued service activity related to the energy sector, expanded product and service offerings and acquisitions that occurred in the fourth quarter of 2011. The Company expects parts, service and body shop sales to continue to remain strong through 2013 and remains focused on expanding aftermarket product and service offerings.</w:t>
      </w:r>
    </w:p>
    <w:p>
      <w:pPr>
        <w:spacing w:after="0" w:line="207"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Revenues for the sale of new and used commercial vehicles increased $347.4 million, or 19.3%, in 2012, compared to 2011. Demand for commercial vehicles increased as general economic conditions in the United States continued to improve and credit was being made available on reasonable terms to a wider range of buyers.</w:t>
      </w:r>
    </w:p>
    <w:p>
      <w:pPr>
        <w:spacing w:after="0" w:line="197" w:lineRule="exact"/>
        <w:rPr>
          <w:sz w:val="20"/>
          <w:szCs w:val="20"/>
          <w:color w:val="auto"/>
        </w:rPr>
      </w:pPr>
    </w:p>
    <w:p>
      <w:pPr>
        <w:jc w:val="both"/>
        <w:ind w:firstLine="560"/>
        <w:spacing w:after="0" w:line="247" w:lineRule="auto"/>
        <w:rPr>
          <w:sz w:val="20"/>
          <w:szCs w:val="20"/>
          <w:color w:val="auto"/>
        </w:rPr>
      </w:pPr>
      <w:r>
        <w:rPr>
          <w:rFonts w:ascii="Times New Roman" w:cs="Times New Roman" w:eastAsia="Times New Roman" w:hAnsi="Times New Roman"/>
          <w:sz w:val="16"/>
          <w:szCs w:val="16"/>
          <w:color w:val="auto"/>
        </w:rPr>
        <w:t>The Company sold 9,925 heavy-duty trucks in 2012, a 9.6% increase compared to 9,052 heavy-duty trucks in 2011. According to A.C.T. Research, the U.S. Class 8 truck market increased 14.0% in 2012, compared to 2011. The Company’s share of the U.S. Class 8 truck sales market decreased to approximately 5.0% in 2012, from 5.2% in 2011. This decrease in market share is primarily the result of a decrease in International’s U.S. Class 8 market share. Navistar was forced to change its Class 8 engine strategy in 2012, which had a significant negative impact on sales of Class 8 International trucks in the U.S. International’s U.S. Class 8 market share decreased from 20.7% in 2011 to 17.5% in 2012. The Company anticipates International’s new Class 8 truck market share to increase by 2014. The Company expects its market share to range between 5.2% and 5.5% of U.S. Class 8 truck sales in 2013. This market share percentage would result in the sale of approximately 10,300 to 10,800 of Class 8 trucks in 2013 based on A.C.T. Research’s U.S. retail sales estimate of 198,000 units.</w:t>
      </w:r>
    </w:p>
    <w:p>
      <w:pPr>
        <w:spacing w:after="0" w:line="214"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Company sold 7,126 medium-duty commercial vehicles, including 597 buses, in 2012, a 30.3% increase compared to 5,469 medium-duty commercial vehicles, including 1,074 buses, in 2011. A.C.T. Research estimates that unit sales of Class 4 through 7 commercial vehicles in the U.S. increased approximately 14.0% in 2012, compared to 2011. In 2012, the Company achieved a 4.3% share of the Class 4 through 7 commercial vehicle sales market in the U.S. The Company expects its market share to range between 4.1% and 4.6% of U.S. Class 4 through 7 commercial vehicle sales in 2013. This market share percentage would result in the sale of approximately 7,500 to 8,500 of Class 4 through 7 commercial vehicles in 2012 based on A.C.T. Research’s current U.S. retail sales estimates of 184,000 units.</w:t>
      </w:r>
    </w:p>
    <w:p>
      <w:pPr>
        <w:spacing w:after="0" w:line="212"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The Company sold 1,376 light-duty vehicles in 2012, a 35.0% increase compared to 1,019 light-duty vehicles in 2011. The Company expects to sell approximately 1,500 light-duty vehicles in 2013.</w:t>
      </w:r>
    </w:p>
    <w:p>
      <w:pPr>
        <w:spacing w:after="0" w:line="197"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Company sold 4,744 used commercial vehicles in 2012, a 2.0% increase compared to 4,649 used commercial vehicles in 2011. The Company expects to sell approximately 4,800 to 5,300 used commercial vehicles in 2013. The volume of used commercial vehicle sales will be largely dependent upon our ability to acquire quality used commercial vehicles and maintain an adequate used commercial vehicle inventory throughout 2013.</w:t>
      </w:r>
    </w:p>
    <w:p>
      <w:pPr>
        <w:spacing w:after="0" w:line="207"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Truck lease and rental revenues increased $16.8 million, or 20.2%, in 2012, compared to 2011. The increase in lease and rental revenue is primarily due to the increased number of units put into service in our lease and rental fleet during 2011 and 2012. The Company expects lease and rental revenue to increase 20% to 25% during 2013, compared to 2012.</w:t>
      </w:r>
    </w:p>
    <w:p>
      <w:pPr>
        <w:spacing w:after="0" w:line="207"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Finance and insurance revenues increased $2.8 million, or 25.5%, in 2012, compared to 2011. The increase in finance and insurance revenue is primarily a result of the increase in finance penetration rates and increased activity in the Company’s insurance business. The Company expects finance and insurance revenue to fluctuate proportionately with the Company’s new and used commercial vehicle sales in 2013. Finance and insurance revenues have limited direct costs and, therefore, contribute a disproportionate share of the Company’s operating profits.</w:t>
      </w:r>
    </w:p>
    <w:p>
      <w:pPr>
        <w:spacing w:after="0" w:line="10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33" w:name="page34"/>
    <w:bookmarkEnd w:id="33"/>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Other income increased $1.0 million, or 10.9% in 2012, compared to 2011. Other income consists primarily of the gain on sale realized on trucks from the lease and rental fleet, document fees related to commercial vehicle sales and mineral royalties.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38"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Gross profit increased $77.5 million, or 18.3%, in 2012, compared to 2011. Gross profit as a percentage of sales decreased slightly to 16.2% in 2012, from 16.4% in 2011. This decrease in gross profit as a percentage of sales is a result of a slight decrease in gross margins from commercial vehicle sales and parts and service revenue.</w:t>
      </w:r>
    </w:p>
    <w:p>
      <w:pPr>
        <w:spacing w:after="0" w:line="197"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Gross margins from the Company’s parts, service and body shop operations decreased to 38.8% in 2012, from 39.5% in 2011. Gross profit for the parts, service and body shop departments increased to $317.4 million in 2012, from $266.7 million in 2011. Historically, parts operations gross margins range from 27% to 28% and service and body shop operations range from 67% to 68%. Gross profits from parts sales represented 53% of total gross profit for parts, service and body shop operations in 2012, compared to 52% in 2011. Service and body shop operations represented 47% of total gross profit for parts, service and body shop operations in 2012, compared to 48% in 2011. The Company expects blended gross margins on parts, service and body shop operations to range 38.0% to 40.0% in 2013.</w:t>
      </w:r>
    </w:p>
    <w:p>
      <w:pPr>
        <w:spacing w:after="0" w:line="212"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Gross margins on Class 8 truck sales decreased to 6.9% in 2012, from 7.1% in 2011. In 2013, the Company expects overall gross margins from Class 8 truck sales of approximately 6.5% to 7.0%. The Company recorded expense of $3.3 million to increase its new heavy-duty truck valuation allowance in 2012 and $1.6 million in 2011.</w:t>
      </w:r>
    </w:p>
    <w:p>
      <w:pPr>
        <w:spacing w:after="0" w:line="197"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Gross margins on medium-duty commercial vehicle sales decreased to 4.6% in 2012, from 4.8% in 2011. Gross margins on medium-duty commercial vehicles are difficult to forecast accurately because gross margins vary significantly depending upon the mix of fleet and non-fleet purchasers and types of medium-duty commercial vehicles sold. For 2013, the Company expects overall gross margins from medium-duty commercial vehicle sales of approximately 4.5% to 5.0%, but this will largely depend upon general economic conditions and the mix of purchasers and types of vehicles sold. The Company recorded expense of $3.9 million to increase its new medium-duty commercial vehicle valuation allowance in 2012, compared to $1.9 million in 2011.</w:t>
      </w:r>
    </w:p>
    <w:p>
      <w:pPr>
        <w:spacing w:after="0" w:line="212"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Gross margins on used commercial vehicle sales decreased to 8.3% in 2012, from 9.4% in 2011. The decrease in the margin is primarily due to a softening used truck market and the mix of products sold in 2012. The Company expects margins on used commercial vehicles to range between 8.0% and 10.0% during 2013 depending upon general economic conditions and the availability of quality used vehicles. The Company recorded expense of $5.7 million to increase its used commercial vehicle valuation allowance in 2012, compared to $2.3 million in 2011.</w:t>
      </w:r>
    </w:p>
    <w:p>
      <w:pPr>
        <w:spacing w:after="0" w:line="210" w:lineRule="exact"/>
        <w:rPr>
          <w:sz w:val="20"/>
          <w:szCs w:val="20"/>
          <w:color w:val="auto"/>
        </w:rPr>
      </w:pPr>
    </w:p>
    <w:p>
      <w:pPr>
        <w:jc w:val="both"/>
        <w:ind w:firstLine="560"/>
        <w:spacing w:after="0" w:line="298" w:lineRule="auto"/>
        <w:rPr>
          <w:sz w:val="20"/>
          <w:szCs w:val="20"/>
          <w:color w:val="auto"/>
        </w:rPr>
      </w:pPr>
      <w:r>
        <w:rPr>
          <w:rFonts w:ascii="Times New Roman" w:cs="Times New Roman" w:eastAsia="Times New Roman" w:hAnsi="Times New Roman"/>
          <w:sz w:val="14"/>
          <w:szCs w:val="14"/>
          <w:color w:val="auto"/>
        </w:rPr>
        <w:t>Gross margins from truck lease and rental sales decreased to 16.0% in 2012, from approximately 16.5% in 2011. The Company expects gross margins from lease and rental sales of approximately 16.0% to 18.0% during 2013,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Finance and insurance revenues and other income, as described above, have limited direct costs and, therefore, contribute a disproportionate share of gross profit.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238"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Selling, General and Administrative (“SG&amp;A”) expenses increased $55.5 million, or 18.1%, in 2012, compared to 2011. SG&amp;A expenses as a percentage of total revenue decreased to 11.7% in 2012, from 11.9% in 2011.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2013, the Company expects SG&amp;A expenses as a percentage of total revenue to range from 11.0% to 12.0% and the selling portion of SG&amp;A expenses to be approximately 25% to 30% of new and used commercial vehicle gross profit. In 2013, the Company expects the general and administrative portion of SG&amp;A expenses to increase by approximately 10.0% to 15.0% compared to 2012 due primarily to the full year effect of the acquisition that occurred in 2012.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Depreciation and Amortization Expense</w:t>
      </w:r>
    </w:p>
    <w:p>
      <w:pPr>
        <w:spacing w:after="0" w:line="238" w:lineRule="exact"/>
        <w:rPr>
          <w:sz w:val="20"/>
          <w:szCs w:val="20"/>
          <w:color w:val="auto"/>
        </w:rPr>
      </w:pPr>
    </w:p>
    <w:p>
      <w:pPr>
        <w:ind w:right="260" w:firstLine="560"/>
        <w:spacing w:after="0" w:line="267" w:lineRule="auto"/>
        <w:rPr>
          <w:sz w:val="20"/>
          <w:szCs w:val="20"/>
          <w:color w:val="auto"/>
        </w:rPr>
      </w:pPr>
      <w:r>
        <w:rPr>
          <w:rFonts w:ascii="Times New Roman" w:cs="Times New Roman" w:eastAsia="Times New Roman" w:hAnsi="Times New Roman"/>
          <w:sz w:val="16"/>
          <w:szCs w:val="16"/>
          <w:color w:val="auto"/>
        </w:rPr>
        <w:t>Depreciation and amortization expense increased $4.9 million, or 24.6%, in 2012 compared to 2011. The Company incurred additional amortization expense related to the SAP software that was placed into service in August 2011.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 Net</w:t>
      </w:r>
    </w:p>
    <w:p>
      <w:pPr>
        <w:spacing w:after="0" w:line="23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Net interest expense increased $5.9 million, or 81.8%, in 2012, compared to 2011. The increase in net interest expense is primarily due to increased truck inventory levels and the fixed interest rates on interest rate swap contracts. In January 2012, the Company’s floor plan agreement with GE Capital was amended to decrease interest rates related to floor plan notes payable. Net interest expense in 2013 will depend on inventory levels and cash available for prepayment of floor plan financing.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from Continuing Operations before Income Taxes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Income from continuing operations before income taxes increased $11.0 million in 2012, compared to 2011, as a result of the factors described above.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38"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Income taxes increased $3.8 million in 2012, compared to 2011. The Company provided for taxes at a 38.3% effective rate in 2012 compared to an effective rate of 38.8% in 2011. The Company expects its effective tax rate to be approximately 37% to 39% of pretax income in 2013.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2011 Compared to Year Ended December 31, 2010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38"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Revenues increased $1,082.7 million, or 72.3%, in 2011, compared to 2010. Sales of new and used commercial vehicles increased $875.4 million, or 94.5%, in 2011, compared to 2010. Our parts, service and body shop revenues increased $186.0 million, or 38.0%, in 2011, compared to 2010, primarily due to continued aging of commercial vehicles in operation, strong activity by our energy sector customers and acquisitions that occurred during 2010 and 2011.</w:t>
      </w:r>
    </w:p>
    <w:p>
      <w:pPr>
        <w:spacing w:after="0" w:line="207"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The Company sold 9,052 heavy-duty trucks in 2011, a 90.7% increase compared to 4,746 heavy-duty trucks in 2010. The U.S. Class 8 truck market increased 58.0% in 2011, compared to 2010. The Company’s share of the U.S. Class 8 truck sales market was approximately 5.2% in 2011.</w:t>
      </w:r>
    </w:p>
    <w:p>
      <w:pPr>
        <w:spacing w:after="0" w:line="197"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Company sold 5,469 medium-duty commercial vehicles, including 1,074 buses, in 2011, a 93.9% increase compared to 2,820 medium-duty commercial vehicles, including 457 buses, in 2010. Unit sales of Class 4 through 7 commercial vehicles in the U.S. increased approximately 23.0% in 2011, compared to 2010. In 2011, the Company achieved a 3.8% share of the Class 4 through 7 commercial vehicle sales market in the U.S.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sold 1,019 light-duty vehicles in 2011, a 793.9% increase compared to 114 light-duty vehicles in 2010.</w:t>
      </w: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sold 4,649 used commercial vehicles in 2011, a 34.3% increase compared to 3,461 used commercial vehicles in 2010.</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35" w:name="page36"/>
    <w:bookmarkEnd w:id="35"/>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Truck lease and rental revenues increased $16.0 million, or 23.7%, in 2011, compared to 2010. The increase in lease and rental revenue is consistent with management’s expectations, which are based upon the increased number of units put into service in the lease and rental fleet during 2010 and 2011 and increasing rental fleet utilization.</w:t>
      </w:r>
    </w:p>
    <w:p>
      <w:pPr>
        <w:spacing w:after="0" w:line="197"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Finance and insurance revenues increased $2.9 million, or 37.2%, in 2011, compared to 2010. The increase in finance and insurance revenue is primarily a result of the increase in new and used commercial vehicle sales. Finance and insurance revenues have limited direct costs and, therefore, contribute a disproportionate share of the Company’s operating profits.</w:t>
      </w:r>
    </w:p>
    <w:p>
      <w:pPr>
        <w:spacing w:after="0" w:line="207"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Other income increased $2.3 million, or 34.7% in 2011, compared to 2010. Other income consists primarily of the gain on sale realized on trucks from the lease and rental fleet, document fees related to commercial vehicle sales and mineral royalties.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Gross profit increased $138.4 million, or 48.6%, in 2011, compared to 2010. Gross profit as a percentage of sales decreased to 16.4% in 2011, from 19.0% in 2010. This decrease in gross profit as a percentage of sales is primarily a result of a change in our product sales mix. Commercial vehicle sales, a lower margin revenue item, increased as a percentage of total revenue to 69.8% in 2011, from 61.9% in 2010. Parts and service revenue, a higher margin revenue item, decreased as a percentage of total revenue to 26.2% in 2011, from 32.7% in 2010.</w:t>
      </w:r>
    </w:p>
    <w:p>
      <w:pPr>
        <w:spacing w:after="0" w:line="210"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Gross margins from the Company’s parts, service and body shop operations increased to 39.5% in 2011, from 38.5% in 2010. Gross profit for the parts, service and body shop departments increased to $266.7 million in 2011, from $188.5 million in 2010. Gross profits from parts sales represented 52% of total gross profit for parts, service and body shop operations in 2011, compared to 53% in 2010. Service and body shop operations represented 48% of total gross profit for parts, service and body shop operations in 2011, compared to 47% in 2010.</w:t>
      </w:r>
    </w:p>
    <w:p>
      <w:pPr>
        <w:spacing w:after="0" w:line="210"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Gross margins on Class 8 truck sales decreased to 7.1% in 2011, from 7.4% in 2010. The Company recorded expense of $1.6 million to increase its new heavy-duty truck valuation allowance in 2011, compared to $1.9 million in 2010.</w:t>
      </w:r>
    </w:p>
    <w:p>
      <w:pPr>
        <w:spacing w:after="0" w:line="197"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Gross margins on medium-duty commercial vehicle sales decreased to 4.8% in 2011, from 5.6% in 2010. Gross margins on medium-duty commercial vehicles are difficult to forecast accurately because gross margins vary significantly depending upon the mix of fleet and non-fleet purchasers and types of medium-duty commercial vehicles sold. The Company recorded expense of $1.9 million to increase its new medium-duty commercial vehicle valuation allowance in 2011, compared to $0.6 million in 2010.</w:t>
      </w:r>
    </w:p>
    <w:p>
      <w:pPr>
        <w:spacing w:after="0" w:line="207"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Gross margins on used commercial vehicle sales decreased to 9.4% in 2011, from 12.2% in 2010. The Company recorded expense of $2.3 million to increase its used commercial vehicle valuation allowance in 2011, compared to $1.5 million in 2010.</w:t>
      </w:r>
    </w:p>
    <w:p>
      <w:pPr>
        <w:spacing w:after="0" w:line="197" w:lineRule="exact"/>
        <w:rPr>
          <w:sz w:val="20"/>
          <w:szCs w:val="20"/>
          <w:color w:val="auto"/>
        </w:rPr>
      </w:pPr>
    </w:p>
    <w:p>
      <w:pPr>
        <w:jc w:val="both"/>
        <w:ind w:firstLine="560"/>
        <w:spacing w:after="0" w:line="340" w:lineRule="auto"/>
        <w:rPr>
          <w:sz w:val="20"/>
          <w:szCs w:val="20"/>
          <w:color w:val="auto"/>
        </w:rPr>
      </w:pPr>
      <w:r>
        <w:rPr>
          <w:rFonts w:ascii="Times New Roman" w:cs="Times New Roman" w:eastAsia="Times New Roman" w:hAnsi="Times New Roman"/>
          <w:sz w:val="14"/>
          <w:szCs w:val="14"/>
          <w:color w:val="auto"/>
        </w:rPr>
        <w:t>Gross margins from truck lease and rental sales increased to 16.5% in 2011, from approximately 14.9% in 2010. The increase in lease and rental gross profit was primarily attributable to increased utilization of vehicles in the Company’s rental fleet and increased variable rental revenue that is based on the miles that vehicles being leased are driven.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SG&amp;A expenses increased $78.8 million, or 34.6%, in 2011, compared to 2010. SG&amp;A expenses as a percentage of total revenue decreased to 11.9% in 2011, from 15.2% in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Depreciation and Amortization Expense</w:t>
      </w:r>
    </w:p>
    <w:p>
      <w:pPr>
        <w:spacing w:after="0" w:line="238" w:lineRule="exact"/>
        <w:rPr>
          <w:sz w:val="20"/>
          <w:szCs w:val="20"/>
          <w:color w:val="auto"/>
        </w:rPr>
      </w:pPr>
    </w:p>
    <w:p>
      <w:pPr>
        <w:jc w:val="both"/>
        <w:ind w:firstLine="560"/>
        <w:spacing w:after="0" w:line="309" w:lineRule="auto"/>
        <w:rPr>
          <w:sz w:val="20"/>
          <w:szCs w:val="20"/>
          <w:color w:val="auto"/>
        </w:rPr>
      </w:pPr>
      <w:r>
        <w:rPr>
          <w:rFonts w:ascii="Times New Roman" w:cs="Times New Roman" w:eastAsia="Times New Roman" w:hAnsi="Times New Roman"/>
          <w:sz w:val="14"/>
          <w:szCs w:val="14"/>
          <w:color w:val="auto"/>
        </w:rPr>
        <w:t>Depreciation and amortization expense increased $4.4 million, or 27.8%, in 2011 compared to 2010. The increase in depreciation and amortization expense in 2011 was partially due to the acceleration of depreciation of the leasehold improvements related to the relocation of the Company’s dealership in Orlando, Florida. The Company incurred additional amortization expense of approximately $1.2 million during the third and fourth quarter of 2011 related to the SAP software that was placed into service in August 2011.</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color w:val="auto"/>
        </w:rPr>
        <w:t>Interest Expense, Net</w:t>
      </w:r>
    </w:p>
    <w:p>
      <w:pPr>
        <w:spacing w:after="0" w:line="238" w:lineRule="exact"/>
        <w:rPr>
          <w:sz w:val="20"/>
          <w:szCs w:val="20"/>
          <w:color w:val="auto"/>
        </w:rPr>
      </w:pPr>
    </w:p>
    <w:p>
      <w:pPr>
        <w:jc w:val="both"/>
        <w:ind w:firstLine="560"/>
        <w:spacing w:after="0" w:line="340" w:lineRule="auto"/>
        <w:rPr>
          <w:sz w:val="20"/>
          <w:szCs w:val="20"/>
          <w:color w:val="auto"/>
        </w:rPr>
      </w:pPr>
      <w:r>
        <w:rPr>
          <w:rFonts w:ascii="Times New Roman" w:cs="Times New Roman" w:eastAsia="Times New Roman" w:hAnsi="Times New Roman"/>
          <w:sz w:val="14"/>
          <w:szCs w:val="14"/>
          <w:color w:val="auto"/>
        </w:rPr>
        <w:t>Net interest expense increased $1.8 million, or 33.5%, in 2011, compared to 2010. The increase in net interest expense is primarily due to increased truck inventory levels and the Company entering into a new floor plan agreement with GE Capital at the end of 2010, which increased interest rates related to floor plan notes payable during 2011.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from Continuing Operations before Income Taxes</w:t>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Income from continuing operations before income taxes increased $53.9 million in 2011, compared to 2010, as a result of the factors described above.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38" w:lineRule="exact"/>
        <w:rPr>
          <w:sz w:val="20"/>
          <w:szCs w:val="20"/>
          <w:color w:val="auto"/>
        </w:rPr>
      </w:pPr>
    </w:p>
    <w:p>
      <w:pPr>
        <w:jc w:val="both"/>
        <w:ind w:firstLine="560"/>
        <w:spacing w:after="0" w:line="340" w:lineRule="auto"/>
        <w:rPr>
          <w:sz w:val="20"/>
          <w:szCs w:val="20"/>
          <w:color w:val="auto"/>
        </w:rPr>
      </w:pPr>
      <w:r>
        <w:rPr>
          <w:rFonts w:ascii="Times New Roman" w:cs="Times New Roman" w:eastAsia="Times New Roman" w:hAnsi="Times New Roman"/>
          <w:sz w:val="14"/>
          <w:szCs w:val="14"/>
          <w:color w:val="auto"/>
        </w:rPr>
        <w:t>Income taxes increased $23.2 million in 2011, compared to 2010. The Company provided for taxes at a 38.8% effective rate in 2011 compared to an effective rate of 39.0% in 2010, prior to the application of alternative fuel tax credits. In 2010, the Company received $2.5 million in tax credits for sales of alternative fuel vehicles to tax-exempt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from Discontinued Operations, Net</w:t>
      </w:r>
    </w:p>
    <w:p>
      <w:pPr>
        <w:spacing w:after="0" w:line="238"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Income from discontinued operations, net of income taxes decreased $6.7 million in 2011 compared to 2010. Income from discontinued operations during 2010 included operating results and a gain of $10.1 million on the disposition for the Company’s construction equipment business, which was sold in September 2010.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Effects of Inflation</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Inflationary factors such as increases in the cost of products and overhead costs may adversely affect the Company’s operating results. Although the Company does not believe that inflation had a material impact on its financial position or results of operations to date, a high rate of inflation in the future may have an adverse effect on its ability to maintain current levels of gross margin and selling, general and administrative expenses as a percentage of revenues if the selling prices of our products do not increase with these increased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The Company’s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arrangements and bank financings. As of December 31, 2012, the Company had working capital of approximately $217.6 million, including $198.8 million in cash available to fund our operations. The Company believes that these funds are sufficient to meet its operating requirements for at least the next twelve months.</w:t>
      </w:r>
    </w:p>
    <w:p>
      <w:pPr>
        <w:spacing w:after="0" w:line="210"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The Company has a secured line of credit that provides for a maximum borrowing of $10.0 million. There were no advances outstanding under this secured line of credit at December 31, 2012, however, $7.6 million was pledged to secure various letters of credit related to self-insurance products, leaving $2.4 million available for future borrowings as of December 31, 2012.</w:t>
      </w:r>
    </w:p>
    <w:p>
      <w:pPr>
        <w:spacing w:after="0" w:line="207" w:lineRule="exact"/>
        <w:rPr>
          <w:sz w:val="20"/>
          <w:szCs w:val="20"/>
          <w:color w:val="auto"/>
        </w:rPr>
      </w:pPr>
    </w:p>
    <w:p>
      <w:pPr>
        <w:jc w:val="both"/>
        <w:ind w:right="20" w:firstLine="560"/>
        <w:spacing w:after="0" w:line="309" w:lineRule="auto"/>
        <w:rPr>
          <w:sz w:val="20"/>
          <w:szCs w:val="20"/>
          <w:color w:val="auto"/>
        </w:rPr>
      </w:pPr>
      <w:r>
        <w:rPr>
          <w:rFonts w:ascii="Times New Roman" w:cs="Times New Roman" w:eastAsia="Times New Roman" w:hAnsi="Times New Roman"/>
          <w:sz w:val="14"/>
          <w:szCs w:val="14"/>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December 31, 2012,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71"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Company expects to purchase or lease trucks worth approximately $125.0 million for its leasing operations during 2013, depending on customer demand, all of which will be financed. The Company also expects to make capital expenditures for recurring items such as computers, shop tools and equipment and vehicles of approximately $15.0 million to $18.0 million during 2013.</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506" w:right="219" w:bottom="1440" w:gutter="0" w:footer="0" w:header="0"/>
        </w:sectPr>
      </w:pPr>
    </w:p>
    <w:bookmarkStart w:id="37" w:name="page38"/>
    <w:bookmarkEnd w:id="37"/>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The Company is currently under contract to construct a dealership facility in Ardmore, Oklahoma at an estimated cost of $4.9 million. The construction project is estimated to continue through the first quarter of 2013.</w:t>
      </w:r>
    </w:p>
    <w:p>
      <w:pPr>
        <w:spacing w:after="0" w:line="197" w:lineRule="exact"/>
        <w:rPr>
          <w:sz w:val="20"/>
          <w:szCs w:val="20"/>
          <w:color w:val="auto"/>
        </w:rPr>
      </w:pPr>
    </w:p>
    <w:p>
      <w:pPr>
        <w:jc w:val="both"/>
        <w:ind w:right="20" w:firstLine="560"/>
        <w:spacing w:after="0" w:line="267" w:lineRule="auto"/>
        <w:rPr>
          <w:sz w:val="20"/>
          <w:szCs w:val="20"/>
          <w:color w:val="auto"/>
        </w:rPr>
      </w:pPr>
      <w:r>
        <w:rPr>
          <w:rFonts w:ascii="Times New Roman" w:cs="Times New Roman" w:eastAsia="Times New Roman" w:hAnsi="Times New Roman"/>
          <w:sz w:val="16"/>
          <w:szCs w:val="16"/>
          <w:color w:val="auto"/>
        </w:rPr>
        <w:t>The Company is currently under contract to construct a dealership facility in Corpus Christi, Texas at an estimated cost of $6.6 million. The construction project is estimated to continue through the third quarter of 2013.</w:t>
      </w:r>
    </w:p>
    <w:p>
      <w:pPr>
        <w:spacing w:after="0" w:line="197"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The Company currently anticipates funding its capital expenditures relating to the improvement and expansion of existing facilities and recurring expenses, as well as a portion of the construction or purchase of new facilities, through its operating cash flow. The Company may finance 70% to 80% of the appraised value of any newly constructed or purchased facilities, which would increase the Company’s cash and cash equivalents by that amount.</w:t>
      </w:r>
    </w:p>
    <w:p>
      <w:pPr>
        <w:spacing w:after="0" w:line="207"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On February 1, 2013, the Company’s Board of Directors approved a stock repurchase program authorizing the Company to repurchase, from time to time, up to an aggregate of $40.0 million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February 12, 2014,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212"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The Company has no other material commitments for capital expenditures as of December 31, 2012,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38"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Cash and cash equivalents decreased by $9.0 million during the year ended December 31, 2012, and increased by $38.8 million during the year ended December 31, 2011. The major components of these changes are discussed below. Cash flows from discontinued operations are included in the components of the statement of cash flows as described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 from Operating Activities</w:t>
      </w:r>
    </w:p>
    <w:p>
      <w:pPr>
        <w:spacing w:after="0" w:line="238"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Cash flows from operating activities include net income adjusted for non-cash items and the effects of changes in working capital. During 2012, operating activities resulted in net cash provided by operations of $219.3 million. Cash provided by operating activities was primarily a result of the decreased levels of inventory, net of acquisitions, the decrease in accounts receivable, the increase in the provision for deferred taxes and the increase in floor plan notes payable, trade, offset by the decrease in accrued expenses. The majority of commercial vehicle inventory is financed through the Company’s floor plan credit agreements.</w:t>
      </w:r>
    </w:p>
    <w:p>
      <w:pPr>
        <w:spacing w:after="0" w:line="210" w:lineRule="exact"/>
        <w:rPr>
          <w:sz w:val="20"/>
          <w:szCs w:val="20"/>
          <w:color w:val="auto"/>
        </w:rPr>
      </w:pPr>
    </w:p>
    <w:p>
      <w:pPr>
        <w:jc w:val="both"/>
        <w:ind w:right="20" w:firstLine="560"/>
        <w:spacing w:after="0" w:line="298" w:lineRule="auto"/>
        <w:rPr>
          <w:sz w:val="20"/>
          <w:szCs w:val="20"/>
          <w:color w:val="auto"/>
        </w:rPr>
      </w:pPr>
      <w:r>
        <w:rPr>
          <w:rFonts w:ascii="Times New Roman" w:cs="Times New Roman" w:eastAsia="Times New Roman" w:hAnsi="Times New Roman"/>
          <w:sz w:val="14"/>
          <w:szCs w:val="14"/>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December 31, 2012, the interest rate on the wholesale financing agreement was 5.25% before considering the applicable incentives. As of December 31, 2012, the Company had an outstanding balance of $34.5 million under the Ford Motor Credit Company wholesale financing agreement.</w:t>
      </w:r>
    </w:p>
    <w:p>
      <w:pPr>
        <w:spacing w:after="0" w:line="180"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During 2011, operating activities resulted in net cash used in operations of $81.4 million. Cash used in operating activities was primarily impacted by the increased levels of inventory and the increase in accounts receivable, offset by increases in accounts payable and accrued expenses.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i w:val="1"/>
          <w:iCs w:val="1"/>
          <w:color w:val="auto"/>
        </w:rPr>
        <w:t>Cash Flows from Investing Activities</w:t>
      </w:r>
    </w:p>
    <w:p>
      <w:pPr>
        <w:spacing w:after="0" w:line="238" w:lineRule="exact"/>
        <w:rPr>
          <w:sz w:val="20"/>
          <w:szCs w:val="20"/>
          <w:color w:val="auto"/>
        </w:rPr>
      </w:pPr>
    </w:p>
    <w:p>
      <w:pPr>
        <w:jc w:val="both"/>
        <w:ind w:firstLine="560"/>
        <w:spacing w:after="0" w:line="247" w:lineRule="auto"/>
        <w:rPr>
          <w:sz w:val="20"/>
          <w:szCs w:val="20"/>
          <w:color w:val="auto"/>
        </w:rPr>
      </w:pPr>
      <w:r>
        <w:rPr>
          <w:rFonts w:ascii="Times New Roman" w:cs="Times New Roman" w:eastAsia="Times New Roman" w:hAnsi="Times New Roman"/>
          <w:sz w:val="16"/>
          <w:szCs w:val="16"/>
          <w:color w:val="auto"/>
        </w:rPr>
        <w:t>During 2012, cash used in investing activities was $274.3 million. Cash flows used in investing activities consist primarily of cash used for capital expenditures and a business acquisition. Capital expenditures of $171.0 million consisted of purchases of property and equipment and improvements to our existing dealership facilities. Property and equipment purchases during 2012 consisted of $128.1 million for additional units for the rental and leasing operations, which was directly offset by borrowings of long-term debt. The Company expects to purchase or lease trucks worth approximately $125.0 million for its leasing operations in 2013, depending on customer demand, all of which will be financed. Cash used in the business acquisition was $104.6 million during the year ended December 31, 2012. See Note 15 of the Notes to Consolidated Financial Statements for a detailed discussion of the business acquisition. During 2013, the Company expects to make capital expenditures for recurring items such as computers, shop equipment and vehicles of $15.0 million to $18.0 million.</w:t>
      </w:r>
    </w:p>
    <w:p>
      <w:pPr>
        <w:spacing w:after="0" w:line="214"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During 2011, cash used in investing activities was $231.8 million. Capital expenditures of $148.5 million consisted of purchases of property and equipment and improvements to our existing dealership facilities. Property and equipment purchases during 2011 consisted of $97.3 million for additional units for the rental and leasing operations, which was directly offset by borrowings of long-term debt. Cash used in business acquisitions was $94.7 million during the year ended December 31, 2011. See Note 15 of the Notes to Consolidated Financial Statements for a detailed discussion of these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 from Financing Activities</w:t>
      </w:r>
    </w:p>
    <w:p>
      <w:pPr>
        <w:spacing w:after="0" w:line="238" w:lineRule="exact"/>
        <w:rPr>
          <w:sz w:val="20"/>
          <w:szCs w:val="20"/>
          <w:color w:val="auto"/>
        </w:rPr>
      </w:pPr>
    </w:p>
    <w:p>
      <w:pPr>
        <w:jc w:val="both"/>
        <w:ind w:right="20" w:firstLine="560"/>
        <w:spacing w:after="0" w:line="251" w:lineRule="auto"/>
        <w:rPr>
          <w:sz w:val="20"/>
          <w:szCs w:val="20"/>
          <w:color w:val="auto"/>
        </w:rPr>
      </w:pPr>
      <w:r>
        <w:rPr>
          <w:rFonts w:ascii="Times New Roman" w:cs="Times New Roman" w:eastAsia="Times New Roman" w:hAnsi="Times New Roman"/>
          <w:sz w:val="16"/>
          <w:szCs w:val="16"/>
          <w:color w:val="auto"/>
        </w:rPr>
        <w:t>Cash flows used in financing activities include borrowings and repayments of long-term debt and net payments of floor plan notes payable. Cash provided by financing activities was $46.0 million during 2012. The Company had borrowings of long-term debt of $144.6 million and repayments of long-term debt and capital lease obligations of $84.7 million during 2012. The Company had net payments of floor plan notes payable, non-trade of $20.7 million during 2012. The borrowings of long-term debt were primarily related to units for the rental and leasing operations.</w:t>
      </w:r>
    </w:p>
    <w:p>
      <w:pPr>
        <w:spacing w:after="0" w:line="210"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Cash provided by financing activities was $352.0 million during 2011. The Company had borrowings of long-term debt of $144.5 million and repayments of long-term debt and capital lease obligations of $82.3 million during 2011. The Company had net borrowings of floor plan notes payable of $282.9 million during 2011. The borrowings of long-term debt were primarily related to units for the rental and leasing operations and purchase and refinancing of real estate.</w:t>
      </w:r>
    </w:p>
    <w:p>
      <w:pPr>
        <w:spacing w:after="0" w:line="207" w:lineRule="exact"/>
        <w:rPr>
          <w:sz w:val="20"/>
          <w:szCs w:val="20"/>
          <w:color w:val="auto"/>
        </w:rPr>
      </w:pPr>
    </w:p>
    <w:p>
      <w:pPr>
        <w:jc w:val="both"/>
        <w:ind w:firstLine="560"/>
        <w:spacing w:after="0" w:line="288" w:lineRule="auto"/>
        <w:rPr>
          <w:sz w:val="20"/>
          <w:szCs w:val="20"/>
          <w:color w:val="auto"/>
        </w:rPr>
      </w:pPr>
      <w:r>
        <w:rPr>
          <w:rFonts w:ascii="Times New Roman" w:cs="Times New Roman" w:eastAsia="Times New Roman" w:hAnsi="Times New Roman"/>
          <w:sz w:val="14"/>
          <w:szCs w:val="14"/>
          <w:color w:val="auto"/>
        </w:rPr>
        <w:t>Substantially all of the Company’s commercial vehicle purchases are made on terms requiring payment to the manufacturer within 15 days or less from the date the commercial vehicles are invoiced from the factory. 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 The Company makes monthly interest payments to GE Capital on the amount financed, but is not required to commence loan principal repayments on any vehicle until such vehicle had been financed for 12 months or was sold, whichever occurs first. On December 31, 2012, the Company had approximately $500.0 million outstanding under its credit agreement with GE Capital.</w:t>
      </w:r>
    </w:p>
    <w:p>
      <w:pPr>
        <w:spacing w:after="0" w:line="187" w:lineRule="exact"/>
        <w:rPr>
          <w:sz w:val="20"/>
          <w:szCs w:val="20"/>
          <w:color w:val="auto"/>
        </w:rPr>
      </w:pPr>
    </w:p>
    <w:p>
      <w:pPr>
        <w:jc w:val="both"/>
        <w:ind w:firstLine="560"/>
        <w:spacing w:after="0" w:line="267" w:lineRule="auto"/>
        <w:rPr>
          <w:sz w:val="20"/>
          <w:szCs w:val="20"/>
          <w:color w:val="auto"/>
        </w:rPr>
      </w:pPr>
      <w:r>
        <w:rPr>
          <w:rFonts w:ascii="Times New Roman" w:cs="Times New Roman" w:eastAsia="Times New Roman" w:hAnsi="Times New Roman"/>
          <w:sz w:val="16"/>
          <w:szCs w:val="16"/>
          <w:color w:val="auto"/>
        </w:rPr>
        <w:t>Navistar Financial Corporation and Peterbilt offer trade terms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39" w:name="page40"/>
    <w:bookmarkEnd w:id="39"/>
    <w:p>
      <w:pPr>
        <w:ind w:left="7"/>
        <w:spacing w:after="0"/>
        <w:rPr>
          <w:sz w:val="20"/>
          <w:szCs w:val="20"/>
          <w:color w:val="auto"/>
        </w:rPr>
      </w:pPr>
      <w:r>
        <w:rPr>
          <w:rFonts w:ascii="Times New Roman" w:cs="Times New Roman" w:eastAsia="Times New Roman" w:hAnsi="Times New Roman"/>
          <w:sz w:val="16"/>
          <w:szCs w:val="16"/>
          <w:b w:val="1"/>
          <w:bCs w:val="1"/>
          <w:color w:val="auto"/>
        </w:rPr>
        <w:t>Cyclicality</w:t>
      </w:r>
    </w:p>
    <w:p>
      <w:pPr>
        <w:spacing w:after="0" w:line="238" w:lineRule="exact"/>
        <w:rPr>
          <w:sz w:val="20"/>
          <w:szCs w:val="20"/>
          <w:color w:val="auto"/>
        </w:rPr>
      </w:pPr>
    </w:p>
    <w:p>
      <w:pPr>
        <w:jc w:val="both"/>
        <w:ind w:left="7" w:firstLine="560"/>
        <w:spacing w:after="0" w:line="248" w:lineRule="auto"/>
        <w:rPr>
          <w:sz w:val="20"/>
          <w:szCs w:val="20"/>
          <w:color w:val="auto"/>
        </w:rPr>
      </w:pPr>
      <w:r>
        <w:rPr>
          <w:rFonts w:ascii="Times New Roman" w:cs="Times New Roman" w:eastAsia="Times New Roman" w:hAnsi="Times New Roman"/>
          <w:sz w:val="16"/>
          <w:szCs w:val="16"/>
          <w:color w:val="auto"/>
        </w:rPr>
        <w:t>The Company’s business is dependent on a number of factors relating to general economic conditions, including fuel prices, interest rate fluctuations, credit availability, economic recessions and customer business cycles. Unit sales of new commercial vehicles have historically been subject to substantial cyclical variation based on these general economic conditions and environmental and other government regulations. For example,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continues to try to reduce the negative impact that adverse general economic conditions or cyclical trends affecting the commercial vehicle industry could have.</w:t>
      </w:r>
    </w:p>
    <w:p>
      <w:pPr>
        <w:spacing w:after="0" w:line="21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38" w:lineRule="exact"/>
        <w:rPr>
          <w:sz w:val="20"/>
          <w:szCs w:val="20"/>
          <w:color w:val="auto"/>
        </w:rPr>
      </w:pPr>
    </w:p>
    <w:p>
      <w:pPr>
        <w:jc w:val="both"/>
        <w:ind w:left="7" w:firstLine="560"/>
        <w:spacing w:after="0" w:line="251" w:lineRule="auto"/>
        <w:rPr>
          <w:sz w:val="20"/>
          <w:szCs w:val="20"/>
          <w:color w:val="auto"/>
        </w:rPr>
      </w:pPr>
      <w:r>
        <w:rPr>
          <w:rFonts w:ascii="Times New Roman" w:cs="Times New Roman" w:eastAsia="Times New Roman" w:hAnsi="Times New Roman"/>
          <w:sz w:val="16"/>
          <w:szCs w:val="16"/>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238"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4"/>
          <w:szCs w:val="14"/>
          <w:color w:val="auto"/>
        </w:rPr>
        <w:t>The Company has certain contractual obligations that will impact its short and long-term liquidity. At December 31, 2012, such obligations were as follows (in thousands):</w:t>
      </w:r>
    </w:p>
    <w:p>
      <w:pPr>
        <w:spacing w:after="0" w:line="257" w:lineRule="exact"/>
        <w:rPr>
          <w:sz w:val="20"/>
          <w:szCs w:val="20"/>
          <w:color w:val="auto"/>
        </w:rPr>
      </w:pPr>
    </w:p>
    <w:tbl>
      <w:tblPr>
        <w:tblLayout w:type="fixed"/>
        <w:tblInd w:w="427"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jc w:val="center"/>
              <w:ind w:left="682"/>
              <w:spacing w:after="0"/>
              <w:rPr>
                <w:sz w:val="20"/>
                <w:szCs w:val="20"/>
                <w:color w:val="auto"/>
              </w:rPr>
            </w:pPr>
            <w:r>
              <w:rPr>
                <w:rFonts w:ascii="Times New Roman" w:cs="Times New Roman" w:eastAsia="Times New Roman" w:hAnsi="Times New Roman"/>
                <w:sz w:val="16"/>
                <w:szCs w:val="16"/>
                <w:b w:val="1"/>
                <w:bCs w:val="1"/>
                <w:color w:val="auto"/>
                <w:w w:val="97"/>
              </w:rPr>
              <w:t>Payments Due by Period</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8"/>
              </w:rPr>
              <w:t>Less than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
              <w:spacing w:after="0" w:line="168" w:lineRule="exact"/>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82"/>
              <w:spacing w:after="0" w:line="168" w:lineRule="exact"/>
              <w:rPr>
                <w:sz w:val="20"/>
                <w:szCs w:val="20"/>
                <w:color w:val="auto"/>
              </w:rPr>
            </w:pPr>
            <w:r>
              <w:rPr>
                <w:rFonts w:ascii="Times New Roman" w:cs="Times New Roman" w:eastAsia="Times New Roman" w:hAnsi="Times New Roman"/>
                <w:sz w:val="16"/>
                <w:szCs w:val="16"/>
                <w:b w:val="1"/>
                <w:bCs w:val="1"/>
                <w:color w:val="auto"/>
              </w:rPr>
              <w:t>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42"/>
              <w:spacing w:after="0" w:line="168"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00" w:type="dxa"/>
            <w:vAlign w:val="bottom"/>
          </w:tcPr>
          <w:p>
            <w:pPr>
              <w:spacing w:after="0"/>
              <w:rPr>
                <w:sz w:val="14"/>
                <w:szCs w:val="14"/>
                <w:color w:val="auto"/>
              </w:rPr>
            </w:pPr>
          </w:p>
        </w:tc>
      </w:tr>
      <w:tr>
        <w:trPr>
          <w:trHeight w:val="208"/>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2"/>
              </w:rPr>
              <w:t>year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3"/>
              </w:rPr>
              <w:t>years</w:t>
            </w: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187"/>
        </w:trPr>
        <w:tc>
          <w:tcPr>
            <w:tcW w:w="3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7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Long-term debt obligations (1)</w:t>
            </w:r>
          </w:p>
        </w:tc>
        <w:tc>
          <w:tcPr>
            <w:tcW w:w="240" w:type="dxa"/>
            <w:vAlign w:val="bottom"/>
            <w:shd w:val="clear" w:color="auto" w:fill="C0FF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399,664</w:t>
            </w:r>
          </w:p>
        </w:tc>
        <w:tc>
          <w:tcPr>
            <w:tcW w:w="24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80,029</w:t>
            </w:r>
          </w:p>
        </w:tc>
        <w:tc>
          <w:tcPr>
            <w:tcW w:w="2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155,588</w:t>
            </w:r>
          </w:p>
        </w:tc>
        <w:tc>
          <w:tcPr>
            <w:tcW w:w="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133,584</w:t>
            </w: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30,463</w:t>
            </w:r>
          </w:p>
        </w:tc>
      </w:tr>
      <w:tr>
        <w:trPr>
          <w:trHeight w:val="187"/>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lease obligations(2)</w:t>
            </w: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20,826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12,234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9,372</w:t>
            </w:r>
          </w:p>
        </w:tc>
      </w:tr>
      <w:tr>
        <w:trPr>
          <w:trHeight w:val="187"/>
        </w:trPr>
        <w:tc>
          <w:tcPr>
            <w:tcW w:w="37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Operating lease obligations(3)</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32,438</w:t>
            </w:r>
          </w:p>
        </w:tc>
        <w:tc>
          <w:tcPr>
            <w:tcW w:w="10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8,888</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10,636</w:t>
            </w:r>
          </w:p>
        </w:tc>
        <w:tc>
          <w:tcPr>
            <w:tcW w:w="1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5,865</w:t>
            </w:r>
          </w:p>
        </w:tc>
        <w:tc>
          <w:tcPr>
            <w:tcW w:w="140" w:type="dxa"/>
            <w:vAlign w:val="bottom"/>
            <w:shd w:val="clear" w:color="auto" w:fill="C0FFFF"/>
          </w:tcPr>
          <w:p>
            <w:pPr>
              <w:spacing w:after="0"/>
              <w:rPr>
                <w:sz w:val="16"/>
                <w:szCs w:val="16"/>
                <w:color w:val="auto"/>
              </w:rPr>
            </w:pPr>
          </w:p>
        </w:tc>
        <w:tc>
          <w:tcPr>
            <w:tcW w:w="11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7,049</w:t>
            </w:r>
          </w:p>
        </w:tc>
      </w:tr>
      <w:tr>
        <w:trPr>
          <w:trHeight w:val="187"/>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Floor plan debt obligation</w:t>
            </w: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534,520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534,520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37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obligations (4)</w:t>
            </w:r>
          </w:p>
        </w:tc>
        <w:tc>
          <w:tcPr>
            <w:tcW w:w="2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53,719</w:t>
            </w:r>
          </w:p>
        </w:tc>
        <w:tc>
          <w:tcPr>
            <w:tcW w:w="10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27,084</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19,027</w:t>
            </w:r>
          </w:p>
        </w:tc>
        <w:tc>
          <w:tcPr>
            <w:tcW w:w="1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6,977</w:t>
            </w:r>
          </w:p>
        </w:tc>
        <w:tc>
          <w:tcPr>
            <w:tcW w:w="140" w:type="dxa"/>
            <w:vAlign w:val="bottom"/>
            <w:shd w:val="clear" w:color="auto" w:fill="C0FFFF"/>
          </w:tcPr>
          <w:p>
            <w:pPr>
              <w:spacing w:after="0"/>
              <w:rPr>
                <w:sz w:val="16"/>
                <w:szCs w:val="16"/>
                <w:color w:val="auto"/>
              </w:rPr>
            </w:pPr>
          </w:p>
        </w:tc>
        <w:tc>
          <w:tcPr>
            <w:tcW w:w="11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631</w:t>
            </w:r>
          </w:p>
        </w:tc>
      </w:tr>
      <w:tr>
        <w:trPr>
          <w:trHeight w:val="187"/>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obligations(5)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r>
      <w:tr>
        <w:trPr>
          <w:trHeight w:val="2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37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0FF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1,091,828</w:t>
            </w: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673,476</w:t>
            </w: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208,597</w:t>
            </w:r>
          </w:p>
        </w:tc>
        <w:tc>
          <w:tcPr>
            <w:tcW w:w="36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159,740</w:t>
            </w:r>
          </w:p>
        </w:tc>
        <w:tc>
          <w:tcPr>
            <w:tcW w:w="1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50,015</w:t>
            </w:r>
          </w:p>
        </w:tc>
      </w:tr>
      <w:tr>
        <w:trPr>
          <w:trHeight w:val="20"/>
        </w:trPr>
        <w:tc>
          <w:tcPr>
            <w:tcW w:w="36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11036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spacing w:after="0" w:line="348" w:lineRule="exact"/>
        <w:rPr>
          <w:sz w:val="20"/>
          <w:szCs w:val="20"/>
          <w:color w:val="auto"/>
        </w:rPr>
      </w:pPr>
    </w:p>
    <w:p>
      <w:pPr>
        <w:ind w:left="607" w:hanging="607"/>
        <w:spacing w:after="0"/>
        <w:tabs>
          <w:tab w:leader="none" w:pos="60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8 of Notes to Consolidated Financial Statements.</w:t>
      </w:r>
    </w:p>
    <w:p>
      <w:pPr>
        <w:spacing w:after="0" w:line="18" w:lineRule="exact"/>
        <w:rPr>
          <w:rFonts w:ascii="Times New Roman" w:cs="Times New Roman" w:eastAsia="Times New Roman" w:hAnsi="Times New Roman"/>
          <w:sz w:val="16"/>
          <w:szCs w:val="16"/>
          <w:color w:val="auto"/>
        </w:rPr>
      </w:pPr>
    </w:p>
    <w:p>
      <w:pPr>
        <w:ind w:left="607" w:hanging="607"/>
        <w:spacing w:after="0"/>
        <w:tabs>
          <w:tab w:leader="none" w:pos="60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10 of Notes to Consolidated Financial Statements. Amounts include interest.</w:t>
      </w:r>
    </w:p>
    <w:p>
      <w:pPr>
        <w:spacing w:after="0" w:line="2" w:lineRule="exact"/>
        <w:rPr>
          <w:rFonts w:ascii="Times New Roman" w:cs="Times New Roman" w:eastAsia="Times New Roman" w:hAnsi="Times New Roman"/>
          <w:sz w:val="16"/>
          <w:szCs w:val="16"/>
          <w:color w:val="auto"/>
        </w:rPr>
      </w:pPr>
    </w:p>
    <w:p>
      <w:pPr>
        <w:ind w:left="607" w:hanging="607"/>
        <w:spacing w:after="0"/>
        <w:tabs>
          <w:tab w:leader="none" w:pos="60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10 of Notes to Consolidated Financial Statements.</w:t>
      </w:r>
    </w:p>
    <w:p>
      <w:pPr>
        <w:spacing w:after="0" w:line="2" w:lineRule="exact"/>
        <w:rPr>
          <w:rFonts w:ascii="Times New Roman" w:cs="Times New Roman" w:eastAsia="Times New Roman" w:hAnsi="Times New Roman"/>
          <w:sz w:val="16"/>
          <w:szCs w:val="16"/>
          <w:color w:val="auto"/>
        </w:rPr>
      </w:pPr>
    </w:p>
    <w:p>
      <w:pPr>
        <w:jc w:val="both"/>
        <w:ind w:left="7" w:right="20" w:hanging="7"/>
        <w:spacing w:after="0" w:line="243" w:lineRule="auto"/>
        <w:tabs>
          <w:tab w:leader="none" w:pos="70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computing interest expense, the Company used its weighted average interest rate outstanding on fixed rate debt to estimate its interest expense on fixed rate debt. The Company used its weighted average variable interest rate on outstanding variable rate debt at December 31, 2012, and added 0.25 percent per year to estimate its interest expense on variable rate debt.</w:t>
      </w:r>
    </w:p>
    <w:p>
      <w:pPr>
        <w:jc w:val="both"/>
        <w:ind w:left="7" w:hanging="7"/>
        <w:spacing w:after="0" w:line="244" w:lineRule="auto"/>
        <w:tabs>
          <w:tab w:leader="none" w:pos="79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represent non-cancelable contractual obligations at December 31, 2012 related to the Company’s construction contracts for facilities in Ardmore, Oklahoma and Corpus Christi, Texas, the Company’s contract with Titan Technology Partners for integration and management services related to the SAP enterprise software and dealership management system implementation and SAP America, Inc. with respect to the Software License Agreement for the SAP enterprise software and dealership management system.</w:t>
      </w:r>
    </w:p>
    <w:p>
      <w:pPr>
        <w:spacing w:after="0" w:line="2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238" w:lineRule="exact"/>
        <w:rPr>
          <w:sz w:val="20"/>
          <w:szCs w:val="20"/>
          <w:color w:val="auto"/>
        </w:rPr>
      </w:pPr>
    </w:p>
    <w:p>
      <w:pPr>
        <w:jc w:val="both"/>
        <w:ind w:left="7" w:firstLine="560"/>
        <w:spacing w:after="0" w:line="267" w:lineRule="auto"/>
        <w:rPr>
          <w:sz w:val="20"/>
          <w:szCs w:val="20"/>
          <w:color w:val="auto"/>
        </w:rPr>
      </w:pPr>
      <w:r>
        <w:rPr>
          <w:rFonts w:ascii="Times New Roman" w:cs="Times New Roman" w:eastAsia="Times New Roman" w:hAnsi="Times New Roman"/>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97" w:lineRule="exact"/>
        <w:rPr>
          <w:sz w:val="20"/>
          <w:szCs w:val="20"/>
          <w:color w:val="auto"/>
        </w:rPr>
      </w:pPr>
    </w:p>
    <w:p>
      <w:pPr>
        <w:jc w:val="both"/>
        <w:ind w:left="7" w:firstLine="560"/>
        <w:spacing w:after="0" w:line="251" w:lineRule="auto"/>
        <w:rPr>
          <w:sz w:val="20"/>
          <w:szCs w:val="20"/>
          <w:color w:val="auto"/>
        </w:rPr>
      </w:pPr>
      <w:r>
        <w:rPr>
          <w:rFonts w:ascii="Times New Roman" w:cs="Times New Roman" w:eastAsia="Times New Roman" w:hAnsi="Times New Roman"/>
          <w:sz w:val="16"/>
          <w:szCs w:val="16"/>
          <w:color w:val="auto"/>
        </w:rPr>
        <w:t>The Company is exposed to some market risk through interest rates related to our floor plan financing agreements, variable rate real estate debt and discount rates related to finance sales. The majority of the Company’s floor plan debt and variable rate real estate debt is based on LIBOR. As of December 31, 2012, the Company had floor plan borrowings and variable interest rate real estate debt of approximately $615.0 million. Assuming an increase or decrease in LIBOR of 100 basis points, annual interest expense could correspondingly increase or decrease by approximately $6.2 million.</w:t>
      </w:r>
    </w:p>
    <w:p>
      <w:pPr>
        <w:spacing w:after="0" w:line="3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7075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482" w:right="219" w:bottom="1440" w:gutter="0" w:footer="0" w:header="0"/>
        </w:sectPr>
      </w:pPr>
    </w:p>
    <w:bookmarkStart w:id="40" w:name="page41"/>
    <w:bookmarkEnd w:id="40"/>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The Company submits all customer financing opportunities to various finance providers that offer financing to the Company’s customers.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207"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Company is exposed to some market risk through interest rate swaps on some of the Company’s variable interest rate real estate debt. As of December 31, 2012, the Company had interest rate swaps with a total notional amount of $41.7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9 – Financial Instruments and Fair Value of the Notes to Consolidated Financial Statements.</w:t>
      </w:r>
    </w:p>
    <w:p>
      <w:pPr>
        <w:spacing w:after="0" w:line="212"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The Company is also exposed to some market risk through interest rates related to the investment of our current cash and cash equivalents which totaled $198.8 million on December 31, 2012.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$2.0 million.</w:t>
      </w:r>
    </w:p>
    <w:p>
      <w:pPr>
        <w:spacing w:after="0" w:line="212"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207" w:lineRule="exact"/>
        <w:rPr>
          <w:sz w:val="20"/>
          <w:szCs w:val="20"/>
          <w:color w:val="auto"/>
        </w:rPr>
      </w:pPr>
    </w:p>
    <w:p>
      <w:pPr>
        <w:jc w:val="both"/>
        <w:ind w:firstLine="560"/>
        <w:spacing w:after="0" w:line="249" w:lineRule="auto"/>
        <w:rPr>
          <w:sz w:val="20"/>
          <w:szCs w:val="20"/>
          <w:color w:val="auto"/>
        </w:rPr>
      </w:pPr>
      <w:r>
        <w:rPr>
          <w:rFonts w:ascii="Times New Roman" w:cs="Times New Roman" w:eastAsia="Times New Roman" w:hAnsi="Times New Roman"/>
          <w:sz w:val="16"/>
          <w:szCs w:val="16"/>
          <w:color w:val="auto"/>
        </w:rPr>
        <w:t>As of December 31, 2012,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9 – Financial Instruments and Fair Value of the Notes to Consolidated Financial Statements.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2580" w:type="dxa"/>
            <w:vAlign w:val="bottom"/>
          </w:tcPr>
          <w:p>
            <w:pPr>
              <w:spacing w:after="0"/>
              <w:rPr>
                <w:sz w:val="17"/>
                <w:szCs w:val="17"/>
                <w:color w:val="auto"/>
              </w:rPr>
            </w:pPr>
          </w:p>
        </w:tc>
      </w:tr>
      <w:tr>
        <w:trPr>
          <w:trHeight w:val="374"/>
        </w:trPr>
        <w:tc>
          <w:tcPr>
            <w:tcW w:w="88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40</w:t>
            </w:r>
          </w:p>
        </w:tc>
      </w:tr>
      <w:tr>
        <w:trPr>
          <w:trHeight w:val="187"/>
        </w:trPr>
        <w:tc>
          <w:tcPr>
            <w:tcW w:w="88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on Internal Control over Financial Reporting</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74</w:t>
            </w:r>
          </w:p>
        </w:tc>
      </w:tr>
      <w:tr>
        <w:trPr>
          <w:trHeight w:val="187"/>
        </w:trPr>
        <w:tc>
          <w:tcPr>
            <w:tcW w:w="88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Consolidated Balance Sheets as of December 31, 2012 and 2011</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41</w:t>
            </w:r>
          </w:p>
        </w:tc>
      </w:tr>
      <w:tr>
        <w:trPr>
          <w:trHeight w:val="187"/>
        </w:trPr>
        <w:tc>
          <w:tcPr>
            <w:tcW w:w="88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Consolidated Statements of Income for the Years Ended December 31, 2012, 2011 and 2010</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42</w:t>
            </w:r>
          </w:p>
        </w:tc>
      </w:tr>
      <w:tr>
        <w:trPr>
          <w:trHeight w:val="187"/>
        </w:trPr>
        <w:tc>
          <w:tcPr>
            <w:tcW w:w="88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Consolidated Statements of Comprehensive Income for the Years Ended December 31, 2012, 2011 and 2010</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43</w:t>
            </w:r>
          </w:p>
        </w:tc>
      </w:tr>
      <w:tr>
        <w:trPr>
          <w:trHeight w:val="187"/>
        </w:trPr>
        <w:tc>
          <w:tcPr>
            <w:tcW w:w="88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Consolidated Statements of Shareholders’ Equity for the Years Ended December 31, 2012, 2011 and 2010</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44</w:t>
            </w:r>
          </w:p>
        </w:tc>
      </w:tr>
      <w:tr>
        <w:trPr>
          <w:trHeight w:val="187"/>
        </w:trPr>
        <w:tc>
          <w:tcPr>
            <w:tcW w:w="88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2012, 2011 and 2010</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45</w:t>
            </w:r>
          </w:p>
        </w:tc>
      </w:tr>
      <w:tr>
        <w:trPr>
          <w:trHeight w:val="187"/>
        </w:trPr>
        <w:tc>
          <w:tcPr>
            <w:tcW w:w="88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7"/>
        </w:trPr>
        <w:tc>
          <w:tcPr>
            <w:tcW w:w="88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25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rPr>
              <w:t>46</w:t>
            </w:r>
          </w:p>
        </w:tc>
      </w:tr>
      <w:tr>
        <w:trPr>
          <w:trHeight w:val="921"/>
        </w:trPr>
        <w:tc>
          <w:tcPr>
            <w:tcW w:w="886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39</w:t>
            </w:r>
          </w:p>
        </w:tc>
        <w:tc>
          <w:tcPr>
            <w:tcW w:w="2580" w:type="dxa"/>
            <w:vAlign w:val="bottom"/>
          </w:tcPr>
          <w:p>
            <w:pPr>
              <w:spacing w:after="0"/>
              <w:rPr>
                <w:sz w:val="24"/>
                <w:szCs w:val="24"/>
                <w:color w:val="auto"/>
              </w:rPr>
            </w:pPr>
          </w:p>
        </w:tc>
      </w:tr>
      <w:tr>
        <w:trPr>
          <w:trHeight w:val="101"/>
        </w:trPr>
        <w:tc>
          <w:tcPr>
            <w:tcW w:w="886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2" w:name="page43"/>
    <w:bookmarkEnd w:id="42"/>
    <w:p>
      <w:pPr>
        <w:jc w:val="center"/>
        <w:ind w:right="32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 and Shareholders of</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Rush Enterprises, Inc.</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Rush Enterprises, Inc. and subsidiaries (“the Company”) as of December 31, 2012 and 2011, and the related consolidated statements of income, comprehensive income, shareholders'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our opinion, the financial statements referred to above present fairly, in all material respects, the consolidated financial position of Rush Enterprises, Inc. and subsidiaries at December 31, 2012 and 2011, and the consolidated results of their operations and their cash flows for each of the three years in the period ended December 31, 2012, in conformity with U.S. generally accepted accounting principles.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Rush Enterprises, Inc.’s internal control over financial reporting as of December 31, 2012, based on criteria established in Internal Control-Integrated Framework issued by the Committee of Sponsoring Organizations of the Treadway Commission and our report dated March 15, 2013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Antonio, Texas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15, 2013</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694" w:right="21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RUSH ENTERPRISES, INC.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Shares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2012</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18"/>
                <w:szCs w:val="18"/>
                <w:color w:val="auto"/>
              </w:rPr>
            </w:pPr>
          </w:p>
        </w:tc>
      </w:tr>
      <w:tr>
        <w:trPr>
          <w:trHeight w:val="338"/>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40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77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198,773</w:t>
            </w:r>
          </w:p>
        </w:tc>
        <w:tc>
          <w:tcPr>
            <w:tcW w:w="4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207,775</w:t>
            </w:r>
          </w:p>
        </w:tc>
      </w:tr>
      <w:tr>
        <w:trPr>
          <w:trHeight w:val="187"/>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89,615</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98,160</w:t>
            </w: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690,953</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649,626</w:t>
            </w:r>
          </w:p>
        </w:tc>
      </w:tr>
      <w:tr>
        <w:trPr>
          <w:trHeight w:val="187"/>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12,088</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12,158</w:t>
            </w:r>
          </w:p>
        </w:tc>
      </w:tr>
      <w:tr>
        <w:trPr>
          <w:trHeight w:val="190"/>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14,630</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12,286</w:t>
            </w:r>
          </w:p>
        </w:tc>
      </w:tr>
      <w:tr>
        <w:trPr>
          <w:trHeight w:val="187"/>
        </w:trPr>
        <w:tc>
          <w:tcPr>
            <w:tcW w:w="40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54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340" w:type="dxa"/>
            <w:vAlign w:val="bottom"/>
            <w:tcBorders>
              <w:top w:val="single" w:sz="8" w:color="auto"/>
            </w:tcBorders>
            <w:shd w:val="clear" w:color="auto" w:fill="C0FFFF"/>
          </w:tcPr>
          <w:p>
            <w:pPr>
              <w:spacing w:after="0"/>
              <w:rPr>
                <w:sz w:val="16"/>
                <w:szCs w:val="16"/>
                <w:color w:val="auto"/>
              </w:rPr>
            </w:pPr>
          </w:p>
        </w:tc>
        <w:tc>
          <w:tcPr>
            <w:tcW w:w="116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tcBorders>
              <w:top w:val="single" w:sz="8" w:color="auto"/>
            </w:tcBorders>
            <w:shd w:val="clear" w:color="auto" w:fill="C0FFFF"/>
          </w:tcPr>
          <w:p>
            <w:pPr>
              <w:spacing w:after="0"/>
              <w:rPr>
                <w:sz w:val="16"/>
                <w:szCs w:val="16"/>
                <w:color w:val="auto"/>
              </w:rPr>
            </w:pPr>
          </w:p>
        </w:tc>
        <w:tc>
          <w:tcPr>
            <w:tcW w:w="1020" w:type="dxa"/>
            <w:vAlign w:val="bottom"/>
            <w:tcBorders>
              <w:top w:val="single" w:sz="8" w:color="auto"/>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1,006,059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980,005</w:t>
            </w:r>
          </w:p>
        </w:tc>
      </w:tr>
      <w:tr>
        <w:trPr>
          <w:trHeight w:val="187"/>
        </w:trPr>
        <w:tc>
          <w:tcPr>
            <w:tcW w:w="40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54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6,628</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6,628</w:t>
            </w:r>
          </w:p>
        </w:tc>
      </w:tr>
      <w:tr>
        <w:trPr>
          <w:trHeight w:val="187"/>
        </w:trPr>
        <w:tc>
          <w:tcPr>
            <w:tcW w:w="40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54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622,112</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499,667</w:t>
            </w:r>
          </w:p>
        </w:tc>
      </w:tr>
      <w:tr>
        <w:trPr>
          <w:trHeight w:val="187"/>
        </w:trPr>
        <w:tc>
          <w:tcPr>
            <w:tcW w:w="40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54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Goodwill, net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198,257</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182,612</w:t>
            </w:r>
          </w:p>
        </w:tc>
      </w:tr>
      <w:tr>
        <w:trPr>
          <w:trHeight w:val="187"/>
        </w:trPr>
        <w:tc>
          <w:tcPr>
            <w:tcW w:w="40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54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90"/>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assets, net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48,510</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48,789</w:t>
            </w:r>
          </w:p>
        </w:tc>
      </w:tr>
      <w:tr>
        <w:trPr>
          <w:trHeight w:val="187"/>
        </w:trPr>
        <w:tc>
          <w:tcPr>
            <w:tcW w:w="40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54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340" w:type="dxa"/>
            <w:vAlign w:val="bottom"/>
            <w:tcBorders>
              <w:top w:val="single" w:sz="8" w:color="auto"/>
            </w:tcBorders>
            <w:shd w:val="clear" w:color="auto" w:fill="C0FFFF"/>
          </w:tcPr>
          <w:p>
            <w:pPr>
              <w:spacing w:after="0"/>
              <w:rPr>
                <w:sz w:val="16"/>
                <w:szCs w:val="16"/>
                <w:color w:val="auto"/>
              </w:rPr>
            </w:pPr>
          </w:p>
        </w:tc>
        <w:tc>
          <w:tcPr>
            <w:tcW w:w="116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tcBorders>
              <w:top w:val="single" w:sz="8" w:color="auto"/>
            </w:tcBorders>
            <w:shd w:val="clear" w:color="auto" w:fill="C0FFFF"/>
          </w:tcPr>
          <w:p>
            <w:pPr>
              <w:spacing w:after="0"/>
              <w:rPr>
                <w:sz w:val="16"/>
                <w:szCs w:val="16"/>
                <w:color w:val="auto"/>
              </w:rPr>
            </w:pPr>
          </w:p>
        </w:tc>
        <w:tc>
          <w:tcPr>
            <w:tcW w:w="1020" w:type="dxa"/>
            <w:vAlign w:val="bottom"/>
            <w:tcBorders>
              <w:top w:val="single" w:sz="8" w:color="auto"/>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1,881,566</w:t>
            </w:r>
          </w:p>
        </w:tc>
        <w:tc>
          <w:tcPr>
            <w:tcW w:w="220" w:type="dxa"/>
            <w:vAlign w:val="bottom"/>
          </w:tcPr>
          <w:p>
            <w:pPr>
              <w:spacing w:after="0"/>
              <w:rPr>
                <w:sz w:val="16"/>
                <w:szCs w:val="16"/>
                <w:color w:val="auto"/>
              </w:rPr>
            </w:pPr>
          </w:p>
        </w:tc>
        <w:tc>
          <w:tcPr>
            <w:tcW w:w="4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1,717,701</w:t>
            </w:r>
          </w:p>
        </w:tc>
      </w:tr>
      <w:tr>
        <w:trPr>
          <w:trHeight w:val="20"/>
        </w:trPr>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400" w:type="dxa"/>
            <w:vAlign w:val="bottom"/>
            <w:shd w:val="clear" w:color="auto" w:fill="C0FFFF"/>
          </w:tcPr>
          <w:p>
            <w:pPr>
              <w:spacing w:after="0"/>
              <w:rPr>
                <w:sz w:val="15"/>
                <w:szCs w:val="15"/>
                <w:color w:val="auto"/>
              </w:rPr>
            </w:pPr>
          </w:p>
        </w:tc>
        <w:tc>
          <w:tcPr>
            <w:tcW w:w="1940" w:type="dxa"/>
            <w:vAlign w:val="bottom"/>
            <w:shd w:val="clear" w:color="auto" w:fill="C0FFFF"/>
          </w:tcPr>
          <w:p>
            <w:pPr>
              <w:spacing w:after="0"/>
              <w:rPr>
                <w:sz w:val="15"/>
                <w:szCs w:val="15"/>
                <w:color w:val="auto"/>
              </w:rPr>
            </w:pPr>
          </w:p>
        </w:tc>
        <w:tc>
          <w:tcPr>
            <w:tcW w:w="544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11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46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r>
      <w:tr>
        <w:trPr>
          <w:trHeight w:val="187"/>
        </w:trPr>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7"/>
        </w:trPr>
        <w:tc>
          <w:tcPr>
            <w:tcW w:w="7780" w:type="dxa"/>
            <w:vAlign w:val="bottom"/>
            <w:gridSpan w:val="3"/>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40" w:type="dxa"/>
            <w:vAlign w:val="bottom"/>
            <w:shd w:val="clear" w:color="auto" w:fill="C0FFFF"/>
          </w:tcPr>
          <w:p>
            <w:pPr>
              <w:spacing w:after="0"/>
              <w:rPr>
                <w:sz w:val="14"/>
                <w:szCs w:val="14"/>
                <w:color w:val="auto"/>
              </w:rPr>
            </w:pPr>
          </w:p>
        </w:tc>
        <w:tc>
          <w:tcPr>
            <w:tcW w:w="340" w:type="dxa"/>
            <w:vAlign w:val="bottom"/>
            <w:shd w:val="clear" w:color="auto" w:fill="C0FFFF"/>
          </w:tcPr>
          <w:p>
            <w:pPr>
              <w:spacing w:after="0"/>
              <w:rPr>
                <w:sz w:val="14"/>
                <w:szCs w:val="14"/>
                <w:color w:val="auto"/>
              </w:rPr>
            </w:pPr>
          </w:p>
        </w:tc>
        <w:tc>
          <w:tcPr>
            <w:tcW w:w="116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46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r>
      <w:tr>
        <w:trPr>
          <w:trHeight w:val="187"/>
        </w:trPr>
        <w:tc>
          <w:tcPr>
            <w:tcW w:w="2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440" w:type="dxa"/>
            <w:vAlign w:val="bottom"/>
            <w:tcBorders>
              <w:top w:val="single" w:sz="8" w:color="C0FFFF"/>
            </w:tcBorders>
          </w:tcPr>
          <w:p>
            <w:pPr>
              <w:spacing w:after="0"/>
              <w:rPr>
                <w:sz w:val="16"/>
                <w:szCs w:val="16"/>
                <w:color w:val="auto"/>
              </w:rPr>
            </w:pPr>
          </w:p>
        </w:tc>
        <w:tc>
          <w:tcPr>
            <w:tcW w:w="340" w:type="dxa"/>
            <w:vAlign w:val="bottom"/>
            <w:tcBorders>
              <w:top w:val="single" w:sz="8" w:color="C0FFFF"/>
            </w:tcBorders>
          </w:tcPr>
          <w:p>
            <w:pPr>
              <w:spacing w:after="0"/>
              <w:rPr>
                <w:sz w:val="16"/>
                <w:szCs w:val="16"/>
                <w:color w:val="auto"/>
              </w:rPr>
            </w:pPr>
          </w:p>
        </w:tc>
        <w:tc>
          <w:tcPr>
            <w:tcW w:w="340" w:type="dxa"/>
            <w:vAlign w:val="bottom"/>
            <w:tcBorders>
              <w:top w:val="single" w:sz="8" w:color="C0FFFF"/>
            </w:tcBorders>
          </w:tcPr>
          <w:p>
            <w:pPr>
              <w:spacing w:after="0"/>
              <w:rPr>
                <w:sz w:val="16"/>
                <w:szCs w:val="16"/>
                <w:color w:val="auto"/>
              </w:rPr>
            </w:pPr>
          </w:p>
        </w:tc>
        <w:tc>
          <w:tcPr>
            <w:tcW w:w="1160" w:type="dxa"/>
            <w:vAlign w:val="bottom"/>
            <w:tcBorders>
              <w:top w:val="single" w:sz="8" w:color="C0FFFF"/>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460" w:type="dxa"/>
            <w:vAlign w:val="bottom"/>
            <w:tcBorders>
              <w:top w:val="single" w:sz="8" w:color="C0FFFF"/>
            </w:tcBorders>
          </w:tcPr>
          <w:p>
            <w:pPr>
              <w:spacing w:after="0"/>
              <w:rPr>
                <w:sz w:val="16"/>
                <w:szCs w:val="16"/>
                <w:color w:val="auto"/>
              </w:rPr>
            </w:pPr>
          </w:p>
        </w:tc>
        <w:tc>
          <w:tcPr>
            <w:tcW w:w="1020" w:type="dxa"/>
            <w:vAlign w:val="bottom"/>
            <w:tcBorders>
              <w:top w:val="single" w:sz="8" w:color="C0FFFF"/>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187"/>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Floor plan notes payable</w:t>
            </w:r>
          </w:p>
        </w:tc>
        <w:tc>
          <w:tcPr>
            <w:tcW w:w="680" w:type="dxa"/>
            <w:vAlign w:val="bottom"/>
            <w:gridSpan w:val="2"/>
            <w:shd w:val="clear" w:color="auto" w:fill="C0FF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534,520</w:t>
            </w:r>
          </w:p>
        </w:tc>
        <w:tc>
          <w:tcPr>
            <w:tcW w:w="460" w:type="dxa"/>
            <w:vAlign w:val="bottom"/>
            <w:shd w:val="clear" w:color="auto" w:fill="C0FF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520,693</w:t>
            </w: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80,030</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63,465</w:t>
            </w:r>
          </w:p>
        </w:tc>
      </w:tr>
      <w:tr>
        <w:trPr>
          <w:trHeight w:val="187"/>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Current maturities of capital lease obligations</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10,673</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10,056</w:t>
            </w: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Trade accounts payable</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62,270</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62,299</w:t>
            </w:r>
          </w:p>
        </w:tc>
      </w:tr>
      <w:tr>
        <w:trPr>
          <w:trHeight w:val="187"/>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100,953</w:t>
            </w: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134,278</w:t>
            </w:r>
          </w:p>
        </w:tc>
      </w:tr>
      <w:tr>
        <w:trPr>
          <w:trHeight w:val="23"/>
        </w:trPr>
        <w:tc>
          <w:tcPr>
            <w:tcW w:w="400" w:type="dxa"/>
            <w:vAlign w:val="bottom"/>
            <w:shd w:val="clear" w:color="auto" w:fill="C0FFFF"/>
          </w:tcPr>
          <w:p>
            <w:pPr>
              <w:spacing w:after="0"/>
              <w:rPr>
                <w:sz w:val="2"/>
                <w:szCs w:val="2"/>
                <w:color w:val="auto"/>
              </w:rPr>
            </w:pPr>
          </w:p>
        </w:tc>
        <w:tc>
          <w:tcPr>
            <w:tcW w:w="1940" w:type="dxa"/>
            <w:vAlign w:val="bottom"/>
            <w:shd w:val="clear" w:color="auto" w:fill="C0FFFF"/>
          </w:tcPr>
          <w:p>
            <w:pPr>
              <w:spacing w:after="0"/>
              <w:rPr>
                <w:sz w:val="2"/>
                <w:szCs w:val="2"/>
                <w:color w:val="auto"/>
              </w:rPr>
            </w:pPr>
          </w:p>
        </w:tc>
        <w:tc>
          <w:tcPr>
            <w:tcW w:w="5440" w:type="dxa"/>
            <w:vAlign w:val="bottom"/>
            <w:shd w:val="clear" w:color="auto" w:fill="C0FFFF"/>
          </w:tcPr>
          <w:p>
            <w:pPr>
              <w:spacing w:after="0"/>
              <w:rPr>
                <w:sz w:val="2"/>
                <w:szCs w:val="2"/>
                <w:color w:val="auto"/>
              </w:rPr>
            </w:pPr>
          </w:p>
        </w:tc>
        <w:tc>
          <w:tcPr>
            <w:tcW w:w="34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788,446</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790,791</w:t>
            </w:r>
          </w:p>
        </w:tc>
      </w:tr>
      <w:tr>
        <w:trPr>
          <w:trHeight w:val="187"/>
        </w:trPr>
        <w:tc>
          <w:tcPr>
            <w:tcW w:w="400" w:type="dxa"/>
            <w:vAlign w:val="bottom"/>
            <w:shd w:val="clear" w:color="auto" w:fill="C0FFFF"/>
          </w:tcPr>
          <w:p>
            <w:pPr>
              <w:spacing w:after="0"/>
              <w:rPr>
                <w:sz w:val="16"/>
                <w:szCs w:val="16"/>
                <w:color w:val="auto"/>
              </w:rPr>
            </w:pPr>
          </w:p>
        </w:tc>
        <w:tc>
          <w:tcPr>
            <w:tcW w:w="1940" w:type="dxa"/>
            <w:vAlign w:val="bottom"/>
            <w:shd w:val="clear" w:color="auto" w:fill="C0FFFF"/>
          </w:tcPr>
          <w:p>
            <w:pPr>
              <w:spacing w:after="0"/>
              <w:rPr>
                <w:sz w:val="16"/>
                <w:szCs w:val="16"/>
                <w:color w:val="auto"/>
              </w:rPr>
            </w:pPr>
          </w:p>
        </w:tc>
        <w:tc>
          <w:tcPr>
            <w:tcW w:w="54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319,634</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264,822</w:t>
            </w:r>
          </w:p>
        </w:tc>
      </w:tr>
      <w:tr>
        <w:trPr>
          <w:trHeight w:val="187"/>
        </w:trPr>
        <w:tc>
          <w:tcPr>
            <w:tcW w:w="77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Capital lease obligations, net of current maturities</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39,300</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35,498</w:t>
            </w:r>
          </w:p>
        </w:tc>
      </w:tr>
      <w:tr>
        <w:trPr>
          <w:trHeight w:val="187"/>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2,484</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2,233</w:t>
            </w:r>
          </w:p>
        </w:tc>
      </w:tr>
      <w:tr>
        <w:trPr>
          <w:trHeight w:val="187"/>
        </w:trPr>
        <w:tc>
          <w:tcPr>
            <w:tcW w:w="77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123,756</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93,123</w:t>
            </w:r>
          </w:p>
        </w:tc>
      </w:tr>
      <w:tr>
        <w:trPr>
          <w:trHeight w:val="187"/>
        </w:trPr>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77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Preferred stock, par value $.01 per share; 1,000,000 shares authorized; 0 shares outstanding in 2012 and 2011</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0"/>
        </w:trPr>
        <w:tc>
          <w:tcPr>
            <w:tcW w:w="7780" w:type="dxa"/>
            <w:vAlign w:val="bottom"/>
            <w:gridSpan w:val="3"/>
            <w:shd w:val="clear" w:color="auto" w:fill="C0FFFF"/>
          </w:tcPr>
          <w:p>
            <w:pPr>
              <w:ind w:left="140"/>
              <w:spacing w:after="0" w:line="170" w:lineRule="exact"/>
              <w:rPr>
                <w:sz w:val="20"/>
                <w:szCs w:val="20"/>
                <w:color w:val="auto"/>
              </w:rPr>
            </w:pPr>
            <w:r>
              <w:rPr>
                <w:rFonts w:ascii="Times New Roman" w:cs="Times New Roman" w:eastAsia="Times New Roman" w:hAnsi="Times New Roman"/>
                <w:sz w:val="16"/>
                <w:szCs w:val="16"/>
                <w:color w:val="auto"/>
              </w:rPr>
              <w:t>Common stock, par value $.01 per share; 60,000,000 class A shares and 20,000,000 class B shares authorized;</w:t>
            </w:r>
          </w:p>
        </w:tc>
        <w:tc>
          <w:tcPr>
            <w:tcW w:w="340" w:type="dxa"/>
            <w:vAlign w:val="bottom"/>
            <w:shd w:val="clear" w:color="auto" w:fill="C0FFFF"/>
          </w:tcPr>
          <w:p>
            <w:pPr>
              <w:spacing w:after="0"/>
              <w:rPr>
                <w:sz w:val="14"/>
                <w:szCs w:val="14"/>
                <w:color w:val="auto"/>
              </w:rPr>
            </w:pPr>
          </w:p>
        </w:tc>
        <w:tc>
          <w:tcPr>
            <w:tcW w:w="340" w:type="dxa"/>
            <w:vAlign w:val="bottom"/>
            <w:shd w:val="clear" w:color="auto" w:fill="C0FFFF"/>
          </w:tcPr>
          <w:p>
            <w:pPr>
              <w:spacing w:after="0"/>
              <w:rPr>
                <w:sz w:val="14"/>
                <w:szCs w:val="14"/>
                <w:color w:val="auto"/>
              </w:rPr>
            </w:pPr>
          </w:p>
        </w:tc>
        <w:tc>
          <w:tcPr>
            <w:tcW w:w="116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46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r>
      <w:tr>
        <w:trPr>
          <w:trHeight w:val="187"/>
        </w:trPr>
        <w:tc>
          <w:tcPr>
            <w:tcW w:w="400" w:type="dxa"/>
            <w:vAlign w:val="bottom"/>
            <w:shd w:val="clear" w:color="auto" w:fill="C0FFFF"/>
          </w:tcPr>
          <w:p>
            <w:pPr>
              <w:spacing w:after="0"/>
              <w:rPr>
                <w:sz w:val="16"/>
                <w:szCs w:val="16"/>
                <w:color w:val="auto"/>
              </w:rPr>
            </w:pPr>
          </w:p>
        </w:tc>
        <w:tc>
          <w:tcPr>
            <w:tcW w:w="7380" w:type="dxa"/>
            <w:vAlign w:val="bottom"/>
            <w:gridSpan w:val="2"/>
            <w:shd w:val="clear" w:color="auto" w:fill="C0FFFF"/>
          </w:tcPr>
          <w:p>
            <w:pPr>
              <w:ind w:left="20"/>
              <w:spacing w:after="0"/>
              <w:rPr>
                <w:sz w:val="20"/>
                <w:szCs w:val="20"/>
                <w:color w:val="auto"/>
              </w:rPr>
            </w:pPr>
            <w:r>
              <w:rPr>
                <w:rFonts w:ascii="Times New Roman" w:cs="Times New Roman" w:eastAsia="Times New Roman" w:hAnsi="Times New Roman"/>
                <w:sz w:val="16"/>
                <w:szCs w:val="16"/>
                <w:color w:val="auto"/>
              </w:rPr>
              <w:t>27,999,068 class A shares and 10,792,223 class B shares outstanding in 2012; and 27,406,424 class A shares and</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203"/>
        </w:trPr>
        <w:tc>
          <w:tcPr>
            <w:tcW w:w="400" w:type="dxa"/>
            <w:vAlign w:val="bottom"/>
            <w:shd w:val="clear" w:color="auto" w:fill="C0FFFF"/>
          </w:tcPr>
          <w:p>
            <w:pPr>
              <w:spacing w:after="0"/>
              <w:rPr>
                <w:sz w:val="17"/>
                <w:szCs w:val="17"/>
                <w:color w:val="auto"/>
              </w:rPr>
            </w:pPr>
          </w:p>
        </w:tc>
        <w:tc>
          <w:tcPr>
            <w:tcW w:w="7380" w:type="dxa"/>
            <w:vAlign w:val="bottom"/>
            <w:gridSpan w:val="2"/>
            <w:shd w:val="clear" w:color="auto" w:fill="C0FFFF"/>
          </w:tcPr>
          <w:p>
            <w:pPr>
              <w:ind w:left="20"/>
              <w:spacing w:after="0"/>
              <w:rPr>
                <w:sz w:val="20"/>
                <w:szCs w:val="20"/>
                <w:color w:val="auto"/>
              </w:rPr>
            </w:pPr>
            <w:r>
              <w:rPr>
                <w:rFonts w:ascii="Times New Roman" w:cs="Times New Roman" w:eastAsia="Times New Roman" w:hAnsi="Times New Roman"/>
                <w:sz w:val="16"/>
                <w:szCs w:val="16"/>
                <w:color w:val="auto"/>
              </w:rPr>
              <w:t>10,776,697 class B shares outstanding in 2011</w:t>
            </w:r>
          </w:p>
        </w:tc>
        <w:tc>
          <w:tcPr>
            <w:tcW w:w="34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404</w:t>
            </w:r>
          </w:p>
        </w:tc>
        <w:tc>
          <w:tcPr>
            <w:tcW w:w="460" w:type="dxa"/>
            <w:vAlign w:val="bottom"/>
            <w:shd w:val="clear" w:color="auto" w:fill="C0FFFF"/>
          </w:tcPr>
          <w:p>
            <w:pPr>
              <w:spacing w:after="0"/>
              <w:rPr>
                <w:sz w:val="17"/>
                <w:szCs w:val="17"/>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398</w:t>
            </w: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222,627</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208,569</w:t>
            </w:r>
          </w:p>
        </w:tc>
      </w:tr>
      <w:tr>
        <w:trPr>
          <w:trHeight w:val="187"/>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Treasury stock, at cost: 1,639,843 class B shares</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(17,948)</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(17,948)</w:t>
            </w:r>
          </w:p>
        </w:tc>
      </w:tr>
      <w:tr>
        <w:trPr>
          <w:trHeight w:val="187"/>
        </w:trPr>
        <w:tc>
          <w:tcPr>
            <w:tcW w:w="77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404,619</w:t>
            </w: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342,164</w:t>
            </w:r>
          </w:p>
        </w:tc>
      </w:tr>
      <w:tr>
        <w:trPr>
          <w:trHeight w:val="190"/>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(1,756)</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(1,949)</w:t>
            </w:r>
          </w:p>
        </w:tc>
      </w:tr>
      <w:tr>
        <w:trPr>
          <w:trHeight w:val="187"/>
        </w:trPr>
        <w:tc>
          <w:tcPr>
            <w:tcW w:w="400" w:type="dxa"/>
            <w:vAlign w:val="bottom"/>
            <w:tcBorders>
              <w:top w:val="single" w:sz="8" w:color="C0FFFF"/>
            </w:tcBorders>
          </w:tcPr>
          <w:p>
            <w:pPr>
              <w:spacing w:after="0"/>
              <w:rPr>
                <w:sz w:val="16"/>
                <w:szCs w:val="16"/>
                <w:color w:val="auto"/>
              </w:rPr>
            </w:pPr>
          </w:p>
        </w:tc>
        <w:tc>
          <w:tcPr>
            <w:tcW w:w="1940" w:type="dxa"/>
            <w:vAlign w:val="bottom"/>
            <w:tcBorders>
              <w:top w:val="single" w:sz="8" w:color="C0FFFF"/>
            </w:tcBorders>
          </w:tcPr>
          <w:p>
            <w:pPr>
              <w:spacing w:after="0"/>
              <w:rPr>
                <w:sz w:val="16"/>
                <w:szCs w:val="16"/>
                <w:color w:val="auto"/>
              </w:rPr>
            </w:pPr>
          </w:p>
        </w:tc>
        <w:tc>
          <w:tcPr>
            <w:tcW w:w="5440" w:type="dxa"/>
            <w:vAlign w:val="bottom"/>
            <w:tcBorders>
              <w:top w:val="single" w:sz="8" w:color="C0FFFF"/>
            </w:tcBorders>
          </w:tcPr>
          <w:p>
            <w:pPr>
              <w:spacing w:after="0"/>
              <w:rPr>
                <w:sz w:val="16"/>
                <w:szCs w:val="16"/>
                <w:color w:val="auto"/>
              </w:rPr>
            </w:pPr>
          </w:p>
        </w:tc>
        <w:tc>
          <w:tcPr>
            <w:tcW w:w="340" w:type="dxa"/>
            <w:vAlign w:val="bottom"/>
            <w:tcBorders>
              <w:top w:val="single" w:sz="8" w:color="C0FF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190"/>
        </w:trPr>
        <w:tc>
          <w:tcPr>
            <w:tcW w:w="7780" w:type="dxa"/>
            <w:vAlign w:val="bottom"/>
            <w:gridSpan w:val="3"/>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607,946</w:t>
            </w:r>
          </w:p>
        </w:tc>
        <w:tc>
          <w:tcPr>
            <w:tcW w:w="4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531,234</w:t>
            </w:r>
          </w:p>
        </w:tc>
      </w:tr>
      <w:tr>
        <w:trPr>
          <w:trHeight w:val="187"/>
        </w:trPr>
        <w:tc>
          <w:tcPr>
            <w:tcW w:w="400" w:type="dxa"/>
            <w:vAlign w:val="bottom"/>
            <w:tcBorders>
              <w:top w:val="single" w:sz="8" w:color="C0FFFF"/>
            </w:tcBorders>
          </w:tcPr>
          <w:p>
            <w:pPr>
              <w:spacing w:after="0"/>
              <w:rPr>
                <w:sz w:val="16"/>
                <w:szCs w:val="16"/>
                <w:color w:val="auto"/>
              </w:rPr>
            </w:pPr>
          </w:p>
        </w:tc>
        <w:tc>
          <w:tcPr>
            <w:tcW w:w="1940" w:type="dxa"/>
            <w:vAlign w:val="bottom"/>
            <w:tcBorders>
              <w:top w:val="single" w:sz="8" w:color="C0FFFF"/>
            </w:tcBorders>
          </w:tcPr>
          <w:p>
            <w:pPr>
              <w:spacing w:after="0"/>
              <w:rPr>
                <w:sz w:val="16"/>
                <w:szCs w:val="16"/>
                <w:color w:val="auto"/>
              </w:rPr>
            </w:pPr>
          </w:p>
        </w:tc>
        <w:tc>
          <w:tcPr>
            <w:tcW w:w="5440" w:type="dxa"/>
            <w:vAlign w:val="bottom"/>
            <w:tcBorders>
              <w:top w:val="single" w:sz="8" w:color="C0FFFF"/>
            </w:tcBorders>
          </w:tcPr>
          <w:p>
            <w:pPr>
              <w:spacing w:after="0"/>
              <w:rPr>
                <w:sz w:val="16"/>
                <w:szCs w:val="16"/>
                <w:color w:val="auto"/>
              </w:rPr>
            </w:pPr>
          </w:p>
        </w:tc>
        <w:tc>
          <w:tcPr>
            <w:tcW w:w="340" w:type="dxa"/>
            <w:vAlign w:val="bottom"/>
            <w:tcBorders>
              <w:top w:val="single" w:sz="8" w:color="C0FF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207"/>
        </w:trPr>
        <w:tc>
          <w:tcPr>
            <w:tcW w:w="7780" w:type="dxa"/>
            <w:vAlign w:val="bottom"/>
            <w:gridSpan w:val="3"/>
            <w:shd w:val="clear" w:color="auto" w:fill="C0FF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40" w:type="dxa"/>
            <w:vAlign w:val="bottom"/>
            <w:shd w:val="clear" w:color="auto" w:fill="C0FFFF"/>
          </w:tcPr>
          <w:p>
            <w:pPr>
              <w:spacing w:after="0"/>
              <w:rPr>
                <w:sz w:val="17"/>
                <w:szCs w:val="17"/>
                <w:color w:val="auto"/>
              </w:rPr>
            </w:pPr>
          </w:p>
        </w:tc>
        <w:tc>
          <w:tcPr>
            <w:tcW w:w="340" w:type="dxa"/>
            <w:vAlign w:val="bottom"/>
            <w:shd w:val="clear" w:color="auto" w:fill="C0FF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1,881,566</w:t>
            </w:r>
          </w:p>
        </w:tc>
        <w:tc>
          <w:tcPr>
            <w:tcW w:w="220" w:type="dxa"/>
            <w:vAlign w:val="bottom"/>
            <w:shd w:val="clear" w:color="auto" w:fill="C0FFFF"/>
          </w:tcPr>
          <w:p>
            <w:pPr>
              <w:spacing w:after="0"/>
              <w:rPr>
                <w:sz w:val="17"/>
                <w:szCs w:val="17"/>
                <w:color w:val="auto"/>
              </w:rPr>
            </w:pPr>
          </w:p>
        </w:tc>
        <w:tc>
          <w:tcPr>
            <w:tcW w:w="460" w:type="dxa"/>
            <w:vAlign w:val="bottom"/>
            <w:shd w:val="clear" w:color="auto" w:fill="C0FF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1,717,701</w:t>
            </w:r>
          </w:p>
        </w:tc>
      </w:tr>
      <w:tr>
        <w:trPr>
          <w:trHeight w:val="20"/>
        </w:trPr>
        <w:tc>
          <w:tcPr>
            <w:tcW w:w="400" w:type="dxa"/>
            <w:vAlign w:val="bottom"/>
            <w:tcBorders>
              <w:top w:val="single" w:sz="8" w:color="C0FFFF"/>
            </w:tcBorders>
            <w:shd w:val="clear" w:color="auto" w:fill="C0FFFF"/>
          </w:tcPr>
          <w:p>
            <w:pPr>
              <w:spacing w:after="0" w:line="20" w:lineRule="exact"/>
              <w:rPr>
                <w:sz w:val="1"/>
                <w:szCs w:val="1"/>
                <w:color w:val="auto"/>
              </w:rPr>
            </w:pPr>
          </w:p>
        </w:tc>
        <w:tc>
          <w:tcPr>
            <w:tcW w:w="1940" w:type="dxa"/>
            <w:vAlign w:val="bottom"/>
            <w:tcBorders>
              <w:top w:val="single" w:sz="8" w:color="C0FFFF"/>
            </w:tcBorders>
            <w:shd w:val="clear" w:color="auto" w:fill="C0FFFF"/>
          </w:tcPr>
          <w:p>
            <w:pPr>
              <w:spacing w:after="0" w:line="20" w:lineRule="exact"/>
              <w:rPr>
                <w:sz w:val="1"/>
                <w:szCs w:val="1"/>
                <w:color w:val="auto"/>
              </w:rPr>
            </w:pPr>
          </w:p>
        </w:tc>
        <w:tc>
          <w:tcPr>
            <w:tcW w:w="544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RUSH ENTERPRISES, INC.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CONSOLIDATED STATEMENTS OF INCOME</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 w:type="dxa"/>
            <w:vAlign w:val="bottom"/>
          </w:tcPr>
          <w:p>
            <w:pPr>
              <w:spacing w:after="0"/>
              <w:rPr>
                <w:sz w:val="16"/>
                <w:szCs w:val="16"/>
                <w:color w:val="auto"/>
              </w:rPr>
            </w:pPr>
          </w:p>
        </w:tc>
      </w:tr>
      <w:tr>
        <w:trPr>
          <w:trHeight w:val="187"/>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and used commercial vehicle sales</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2,149,335</w:t>
            </w:r>
          </w:p>
        </w:tc>
        <w:tc>
          <w:tcPr>
            <w:tcW w:w="8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1,801,964</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926,584</w:t>
            </w: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Parts and service sales</w:t>
            </w: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817,280</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675,277</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489,259</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and rental</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83,426</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67,423</w:t>
            </w: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Finance and insurance</w:t>
            </w:r>
          </w:p>
        </w:tc>
        <w:tc>
          <w:tcPr>
            <w:tcW w:w="3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13,638</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10,867</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7,922</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10,067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9,077</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6,739</w:t>
            </w:r>
          </w:p>
        </w:tc>
      </w:tr>
      <w:tr>
        <w:trPr>
          <w:trHeight w:val="23"/>
        </w:trPr>
        <w:tc>
          <w:tcPr>
            <w:tcW w:w="6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3,090,567</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2,580,611</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1,497,927</w:t>
            </w: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products sold</w:t>
            </w: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New and used commercial vehicle sales</w:t>
            </w: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2,005,776</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1,679,170</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854,879</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Parts and service sales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408,544</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300,783</w:t>
            </w: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Lease and rental</w:t>
            </w:r>
          </w:p>
        </w:tc>
        <w:tc>
          <w:tcPr>
            <w:tcW w:w="3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84,174</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69,620</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57,375</w:t>
            </w:r>
          </w:p>
        </w:tc>
      </w:tr>
      <w:tr>
        <w:trPr>
          <w:trHeight w:val="23"/>
        </w:trPr>
        <w:tc>
          <w:tcPr>
            <w:tcW w:w="640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 of products sold</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2,589,800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2,157,334</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1,213,037</w:t>
            </w:r>
          </w:p>
        </w:tc>
      </w:tr>
      <w:tr>
        <w:trPr>
          <w:trHeight w:val="23"/>
        </w:trPr>
        <w:tc>
          <w:tcPr>
            <w:tcW w:w="6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500,767</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423,277</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284,890</w:t>
            </w: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306,273</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227,467</w:t>
            </w: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25,016</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20,084</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15,720</w:t>
            </w: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sale of assets</w:t>
            </w:r>
          </w:p>
        </w:tc>
        <w:tc>
          <w:tcPr>
            <w:tcW w:w="34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418</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r>
      <w:tr>
        <w:trPr>
          <w:trHeight w:val="23"/>
        </w:trPr>
        <w:tc>
          <w:tcPr>
            <w:tcW w:w="6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114,200</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97,338</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41,667</w:t>
            </w: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(expense):</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0FFFF"/>
          </w:tcPr>
          <w:p>
            <w:pPr>
              <w:spacing w:after="0"/>
              <w:rPr>
                <w:sz w:val="16"/>
                <w:szCs w:val="16"/>
                <w:color w:val="auto"/>
              </w:rPr>
            </w:pPr>
          </w:p>
        </w:tc>
        <w:tc>
          <w:tcPr>
            <w:tcW w:w="11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(13,038)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(7,181)</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(5,490)</w:t>
            </w:r>
          </w:p>
        </w:tc>
      </w:tr>
      <w:tr>
        <w:trPr>
          <w:trHeight w:val="23"/>
        </w:trPr>
        <w:tc>
          <w:tcPr>
            <w:tcW w:w="6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640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Total interest expense, net</w:t>
            </w:r>
          </w:p>
        </w:tc>
        <w:tc>
          <w:tcPr>
            <w:tcW w:w="3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13,017</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7,161</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5,363</w:t>
            </w:r>
          </w:p>
        </w:tc>
      </w:tr>
      <w:tr>
        <w:trPr>
          <w:trHeight w:val="23"/>
        </w:trPr>
        <w:tc>
          <w:tcPr>
            <w:tcW w:w="640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90,177</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36,304</w:t>
            </w: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38,728</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34,964</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11,737</w:t>
            </w:r>
          </w:p>
        </w:tc>
      </w:tr>
      <w:tr>
        <w:trPr>
          <w:trHeight w:val="23"/>
        </w:trPr>
        <w:tc>
          <w:tcPr>
            <w:tcW w:w="640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34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62,455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55,213</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24,567</w:t>
            </w: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4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6,715</w:t>
            </w:r>
          </w:p>
        </w:tc>
      </w:tr>
      <w:tr>
        <w:trPr>
          <w:trHeight w:val="23"/>
        </w:trPr>
        <w:tc>
          <w:tcPr>
            <w:tcW w:w="640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62,455</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55,213</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31,282</w:t>
            </w:r>
          </w:p>
        </w:tc>
      </w:tr>
      <w:tr>
        <w:trPr>
          <w:trHeight w:val="20"/>
        </w:trPr>
        <w:tc>
          <w:tcPr>
            <w:tcW w:w="6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6400" w:type="dxa"/>
            <w:vAlign w:val="bottom"/>
            <w:shd w:val="clear" w:color="auto" w:fill="C0FF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Earnings per common share - Basic:</w:t>
            </w:r>
          </w:p>
        </w:tc>
        <w:tc>
          <w:tcPr>
            <w:tcW w:w="340" w:type="dxa"/>
            <w:vAlign w:val="bottom"/>
            <w:shd w:val="clear" w:color="auto" w:fill="C0FFFF"/>
          </w:tcPr>
          <w:p>
            <w:pPr>
              <w:spacing w:after="0"/>
              <w:rPr>
                <w:sz w:val="15"/>
                <w:szCs w:val="15"/>
                <w:color w:val="auto"/>
              </w:rPr>
            </w:pPr>
          </w:p>
        </w:tc>
        <w:tc>
          <w:tcPr>
            <w:tcW w:w="116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114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114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1.46</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0FF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5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1.46</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0.84</w:t>
            </w: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 - Diluted: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40" w:type="dxa"/>
            <w:vAlign w:val="bottom"/>
            <w:shd w:val="clear" w:color="auto" w:fill="C0FF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c>
          <w:tcPr>
            <w:tcW w:w="5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1.42</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0.64</w:t>
            </w: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1.42</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0.82</w:t>
            </w:r>
          </w:p>
        </w:tc>
      </w:tr>
    </w:tbl>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RUSH ENTERPRISES, INC.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CONSOLIDATED STATEMENTS OF COMPREHENSIVE INCOME</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6400" w:type="dxa"/>
            <w:vAlign w:val="bottom"/>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2012</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 w:type="dxa"/>
            <w:vAlign w:val="bottom"/>
          </w:tcPr>
          <w:p>
            <w:pPr>
              <w:spacing w:after="0"/>
              <w:rPr>
                <w:sz w:val="16"/>
                <w:szCs w:val="16"/>
                <w:color w:val="auto"/>
              </w:rPr>
            </w:pPr>
          </w:p>
        </w:tc>
      </w:tr>
      <w:tr>
        <w:trPr>
          <w:trHeight w:val="187"/>
        </w:trPr>
        <w:tc>
          <w:tcPr>
            <w:tcW w:w="6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shd w:val="clear" w:color="auto" w:fill="C0FFFF"/>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62,455</w:t>
            </w:r>
          </w:p>
        </w:tc>
        <w:tc>
          <w:tcPr>
            <w:tcW w:w="58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55,213</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31,282</w:t>
            </w: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tax and net of reclassification adjustments:</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1000" w:type="dxa"/>
            <w:vAlign w:val="bottom"/>
            <w:shd w:val="clear" w:color="auto" w:fill="C0FFFF"/>
          </w:tcPr>
          <w:p>
            <w:pPr>
              <w:spacing w:after="0"/>
              <w:rPr>
                <w:sz w:val="16"/>
                <w:szCs w:val="16"/>
                <w:color w:val="auto"/>
              </w:rPr>
            </w:pP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(1,868)</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(364)</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(947)</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000" w:type="dxa"/>
            <w:vAlign w:val="bottom"/>
            <w:shd w:val="clear" w:color="auto" w:fill="C0FFFF"/>
          </w:tcPr>
          <w:p>
            <w:pPr>
              <w:spacing w:after="0"/>
              <w:rPr>
                <w:sz w:val="16"/>
                <w:szCs w:val="16"/>
                <w:color w:val="auto"/>
              </w:rPr>
            </w:pP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(2,815)</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(364)</w:t>
            </w: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 related to components of other comprehensive income</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(1,088)</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w:t>
            </w:r>
          </w:p>
        </w:tc>
      </w:tr>
      <w:tr>
        <w:trPr>
          <w:trHeight w:val="23"/>
        </w:trPr>
        <w:tc>
          <w:tcPr>
            <w:tcW w:w="6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0" w:type="dxa"/>
            <w:vAlign w:val="bottom"/>
            <w:shd w:val="clear" w:color="auto" w:fill="C0FFFF"/>
          </w:tcPr>
          <w:p>
            <w:pPr>
              <w:spacing w:after="0"/>
              <w:rPr>
                <w:sz w:val="16"/>
                <w:szCs w:val="16"/>
                <w:color w:val="auto"/>
              </w:rPr>
            </w:pPr>
          </w:p>
        </w:tc>
        <w:tc>
          <w:tcPr>
            <w:tcW w:w="5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4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(1,727)</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r>
      <w:tr>
        <w:trPr>
          <w:trHeight w:val="23"/>
        </w:trPr>
        <w:tc>
          <w:tcPr>
            <w:tcW w:w="6400" w:type="dxa"/>
            <w:vAlign w:val="bottom"/>
            <w:shd w:val="clear" w:color="auto" w:fill="C0FF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53,486</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31,060</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RUSH ENTERPRISES, INC.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CONSOLIDATED STATEMENTS OF SHAREHOLDERS’ EQUITY</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17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7"/>
              </w:rPr>
              <w:t>Common Stock</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6"/>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40" w:type="dxa"/>
            <w:vAlign w:val="bottom"/>
          </w:tcPr>
          <w:p>
            <w:pPr>
              <w:spacing w:after="0"/>
              <w:rPr>
                <w:sz w:val="16"/>
                <w:szCs w:val="16"/>
                <w:color w:val="auto"/>
              </w:rPr>
            </w:pPr>
          </w:p>
        </w:tc>
        <w:tc>
          <w:tcPr>
            <w:tcW w:w="17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8"/>
              </w:rPr>
              <w:t>Shares</w:t>
            </w:r>
          </w:p>
        </w:tc>
        <w:tc>
          <w:tcPr>
            <w:tcW w:w="120" w:type="dxa"/>
            <w:vAlign w:val="bottom"/>
          </w:tcPr>
          <w:p>
            <w:pPr>
              <w:spacing w:after="0"/>
              <w:rPr>
                <w:sz w:val="16"/>
                <w:szCs w:val="16"/>
                <w:color w:val="auto"/>
              </w:rPr>
            </w:pPr>
          </w:p>
        </w:tc>
        <w:tc>
          <w:tcPr>
            <w:tcW w:w="56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9"/>
              </w:rPr>
              <w:t>$0.01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Other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4140" w:type="dxa"/>
            <w:vAlign w:val="bottom"/>
          </w:tcPr>
          <w:p>
            <w:pPr>
              <w:spacing w:after="0"/>
              <w:rPr>
                <w:sz w:val="17"/>
                <w:szCs w:val="17"/>
                <w:color w:val="auto"/>
              </w:rPr>
            </w:pPr>
          </w:p>
        </w:tc>
        <w:tc>
          <w:tcPr>
            <w:tcW w:w="17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w w:val="97"/>
              </w:rPr>
              <w:t>Outstanding</w:t>
            </w:r>
          </w:p>
        </w:tc>
        <w:tc>
          <w:tcPr>
            <w:tcW w:w="12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3"/>
              </w:rPr>
              <w:t>Par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7"/>
              </w:rPr>
              <w:t>Paid-In</w:t>
            </w:r>
          </w:p>
        </w:tc>
        <w:tc>
          <w:tcPr>
            <w:tcW w:w="8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Comprehensive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0"/>
        </w:trPr>
        <w:tc>
          <w:tcPr>
            <w:tcW w:w="4140" w:type="dxa"/>
            <w:vAlign w:val="bottom"/>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Class A</w:t>
            </w: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Class B</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4"/>
              </w:rPr>
              <w:t>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5"/>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8"/>
              </w:rPr>
              <w:t>Stock</w:t>
            </w:r>
          </w:p>
        </w:tc>
        <w:tc>
          <w:tcPr>
            <w:tcW w:w="8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r>
      <w:tr>
        <w:trPr>
          <w:trHeight w:val="187"/>
        </w:trPr>
        <w:tc>
          <w:tcPr>
            <w:tcW w:w="41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2009</w:t>
            </w:r>
          </w:p>
        </w:tc>
        <w:tc>
          <w:tcPr>
            <w:tcW w:w="6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rPr>
              <w:t>26,438</w:t>
            </w:r>
          </w:p>
        </w:tc>
        <w:tc>
          <w:tcPr>
            <w:tcW w:w="220" w:type="dxa"/>
            <w:vAlign w:val="bottom"/>
            <w:shd w:val="clear" w:color="auto" w:fill="C0FFFF"/>
          </w:tcPr>
          <w:p>
            <w:pPr>
              <w:spacing w:after="0"/>
              <w:rPr>
                <w:sz w:val="16"/>
                <w:szCs w:val="16"/>
                <w:color w:val="auto"/>
              </w:rPr>
            </w:pPr>
          </w:p>
        </w:tc>
        <w:tc>
          <w:tcPr>
            <w:tcW w:w="8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10,689</w:t>
            </w: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388</w:t>
            </w:r>
          </w:p>
        </w:tc>
        <w:tc>
          <w:tcPr>
            <w:tcW w:w="200" w:type="dxa"/>
            <w:vAlign w:val="bottom"/>
            <w:gridSpan w:val="2"/>
            <w:shd w:val="clear" w:color="auto" w:fill="C0FFFF"/>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188,116</w:t>
            </w:r>
          </w:p>
        </w:tc>
        <w:tc>
          <w:tcPr>
            <w:tcW w:w="2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(17,948)</w:t>
            </w:r>
          </w:p>
        </w:tc>
        <w:tc>
          <w:tcPr>
            <w:tcW w:w="2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255,669</w:t>
            </w:r>
          </w:p>
        </w:tc>
        <w:tc>
          <w:tcPr>
            <w:tcW w:w="300" w:type="dxa"/>
            <w:vAlign w:val="bottom"/>
            <w:gridSpan w:val="2"/>
            <w:shd w:val="clear" w:color="auto" w:fill="C0FF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426,225</w:t>
            </w:r>
          </w:p>
        </w:tc>
      </w:tr>
      <w:tr>
        <w:trPr>
          <w:trHeight w:val="187"/>
        </w:trPr>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Stock options exercised (including tax benefit of $885)</w:t>
            </w:r>
          </w:p>
        </w:tc>
        <w:tc>
          <w:tcPr>
            <w:tcW w:w="6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shd w:val="clear" w:color="auto" w:fill="C0FFFF"/>
          </w:tcPr>
          <w:p>
            <w:pPr>
              <w:spacing w:after="0"/>
              <w:rPr>
                <w:sz w:val="16"/>
                <w:szCs w:val="16"/>
                <w:color w:val="auto"/>
              </w:rPr>
            </w:pPr>
          </w:p>
        </w:tc>
        <w:tc>
          <w:tcPr>
            <w:tcW w:w="8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7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2,486</w:t>
            </w: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2,488</w:t>
            </w:r>
          </w:p>
        </w:tc>
      </w:tr>
      <w:tr>
        <w:trPr>
          <w:trHeight w:val="170"/>
        </w:trPr>
        <w:tc>
          <w:tcPr>
            <w:tcW w:w="41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Stock-based compensation related to stock options, restricted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and employee stock purchase plan</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4,468</w:t>
            </w: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6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7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 stock purchase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678</w:t>
            </w: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68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9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31,282</w:t>
            </w:r>
          </w:p>
        </w:tc>
      </w:tr>
      <w:tr>
        <w:trPr>
          <w:trHeight w:val="187"/>
        </w:trPr>
        <w:tc>
          <w:tcPr>
            <w:tcW w:w="4140" w:type="dxa"/>
            <w:vAlign w:val="bottom"/>
            <w:shd w:val="clear" w:color="auto" w:fill="C0FFFF"/>
          </w:tcPr>
          <w:p>
            <w:pPr>
              <w:spacing w:after="0"/>
              <w:rPr>
                <w:sz w:val="16"/>
                <w:szCs w:val="16"/>
                <w:color w:val="auto"/>
              </w:rPr>
            </w:pPr>
          </w:p>
        </w:tc>
        <w:tc>
          <w:tcPr>
            <w:tcW w:w="68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66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6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tcBorders>
              <w:top w:val="single" w:sz="8" w:color="auto"/>
            </w:tcBorders>
            <w:shd w:val="clear" w:color="auto" w:fill="C0FFFF"/>
          </w:tcPr>
          <w:p>
            <w:pPr>
              <w:spacing w:after="0"/>
              <w:rPr>
                <w:sz w:val="16"/>
                <w:szCs w:val="16"/>
                <w:color w:val="auto"/>
              </w:rPr>
            </w:pPr>
          </w:p>
        </w:tc>
        <w:tc>
          <w:tcPr>
            <w:tcW w:w="58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4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6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tcBorders>
              <w:top w:val="single" w:sz="8" w:color="auto"/>
            </w:tcBorders>
            <w:shd w:val="clear" w:color="auto" w:fill="C0FFFF"/>
          </w:tcPr>
          <w:p>
            <w:pPr>
              <w:spacing w:after="0"/>
              <w:rPr>
                <w:sz w:val="16"/>
                <w:szCs w:val="16"/>
                <w:color w:val="auto"/>
              </w:rPr>
            </w:pPr>
          </w:p>
        </w:tc>
        <w:tc>
          <w:tcPr>
            <w:tcW w:w="78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40" w:type="dxa"/>
            <w:vAlign w:val="bottom"/>
            <w:tcBorders>
              <w:top w:val="single" w:sz="8" w:color="auto"/>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26,799</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10,700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391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195,747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(17,948)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286,951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(222)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464,919</w:t>
            </w:r>
          </w:p>
        </w:tc>
      </w:tr>
      <w:tr>
        <w:trPr>
          <w:trHeight w:val="187"/>
        </w:trPr>
        <w:tc>
          <w:tcPr>
            <w:tcW w:w="4140" w:type="dxa"/>
            <w:vAlign w:val="bottom"/>
            <w:shd w:val="clear" w:color="auto" w:fill="C0FFFF"/>
          </w:tcPr>
          <w:p>
            <w:pPr>
              <w:spacing w:after="0"/>
              <w:rPr>
                <w:sz w:val="16"/>
                <w:szCs w:val="16"/>
                <w:color w:val="auto"/>
              </w:rPr>
            </w:pPr>
          </w:p>
        </w:tc>
        <w:tc>
          <w:tcPr>
            <w:tcW w:w="68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(including tax benefit of $1,993)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6,308</w:t>
            </w:r>
          </w:p>
        </w:tc>
      </w:tr>
      <w:tr>
        <w:trPr>
          <w:trHeight w:val="170"/>
        </w:trPr>
        <w:tc>
          <w:tcPr>
            <w:tcW w:w="4140" w:type="dxa"/>
            <w:vAlign w:val="bottom"/>
            <w:shd w:val="clear" w:color="auto" w:fill="C0FFFF"/>
          </w:tcPr>
          <w:p>
            <w:pPr>
              <w:spacing w:after="0" w:line="170" w:lineRule="exact"/>
              <w:rPr>
                <w:sz w:val="20"/>
                <w:szCs w:val="20"/>
                <w:color w:val="auto"/>
              </w:rPr>
            </w:pPr>
            <w:r>
              <w:rPr>
                <w:rFonts w:ascii="Times New Roman" w:cs="Times New Roman" w:eastAsia="Times New Roman" w:hAnsi="Times New Roman"/>
                <w:sz w:val="16"/>
                <w:szCs w:val="16"/>
                <w:color w:val="auto"/>
              </w:rPr>
              <w:t>Stock-based compensation related to stock options, restricted</w:t>
            </w:r>
          </w:p>
        </w:tc>
        <w:tc>
          <w:tcPr>
            <w:tcW w:w="68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66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6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58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6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r>
      <w:tr>
        <w:trPr>
          <w:trHeight w:val="203"/>
        </w:trPr>
        <w:tc>
          <w:tcPr>
            <w:tcW w:w="41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shares and employee stock purchase plan</w:t>
            </w:r>
          </w:p>
        </w:tc>
        <w:tc>
          <w:tcPr>
            <w:tcW w:w="6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7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5,683</w:t>
            </w: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54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78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5,683</w:t>
            </w:r>
          </w:p>
        </w:tc>
      </w:tr>
      <w:tr>
        <w:trPr>
          <w:trHeight w:val="18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Issuance of common stock under employee stock purchase plan</w:t>
            </w:r>
          </w:p>
        </w:tc>
        <w:tc>
          <w:tcPr>
            <w:tcW w:w="6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7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838</w:t>
            </w:r>
          </w:p>
        </w:tc>
      </w:tr>
      <w:tr>
        <w:trPr>
          <w:trHeight w:val="18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(1,727)</w:t>
            </w:r>
          </w:p>
        </w:tc>
      </w:tr>
      <w:tr>
        <w:trPr>
          <w:trHeight w:val="190"/>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55,213</w:t>
            </w: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55,213</w:t>
            </w:r>
          </w:p>
        </w:tc>
      </w:tr>
      <w:tr>
        <w:trPr>
          <w:trHeight w:val="187"/>
        </w:trPr>
        <w:tc>
          <w:tcPr>
            <w:tcW w:w="4140" w:type="dxa"/>
            <w:vAlign w:val="bottom"/>
            <w:tcBorders>
              <w:top w:val="single" w:sz="8" w:color="C0FF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2011</w:t>
            </w:r>
          </w:p>
        </w:tc>
        <w:tc>
          <w:tcPr>
            <w:tcW w:w="6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rPr>
              <w:t>27,406</w:t>
            </w:r>
          </w:p>
        </w:tc>
        <w:tc>
          <w:tcPr>
            <w:tcW w:w="220" w:type="dxa"/>
            <w:vAlign w:val="bottom"/>
            <w:shd w:val="clear" w:color="auto" w:fill="C0FFFF"/>
          </w:tcPr>
          <w:p>
            <w:pPr>
              <w:spacing w:after="0"/>
              <w:rPr>
                <w:sz w:val="16"/>
                <w:szCs w:val="16"/>
                <w:color w:val="auto"/>
              </w:rPr>
            </w:pPr>
          </w:p>
        </w:tc>
        <w:tc>
          <w:tcPr>
            <w:tcW w:w="8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10,777</w:t>
            </w: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398</w:t>
            </w:r>
          </w:p>
        </w:tc>
        <w:tc>
          <w:tcPr>
            <w:tcW w:w="200" w:type="dxa"/>
            <w:vAlign w:val="bottom"/>
            <w:gridSpan w:val="2"/>
            <w:shd w:val="clear" w:color="auto" w:fill="C0FFFF"/>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208,569</w:t>
            </w:r>
          </w:p>
        </w:tc>
        <w:tc>
          <w:tcPr>
            <w:tcW w:w="2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(17,948)</w:t>
            </w:r>
          </w:p>
        </w:tc>
        <w:tc>
          <w:tcPr>
            <w:tcW w:w="2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342,164</w:t>
            </w:r>
          </w:p>
        </w:tc>
        <w:tc>
          <w:tcPr>
            <w:tcW w:w="300" w:type="dxa"/>
            <w:vAlign w:val="bottom"/>
            <w:gridSpan w:val="2"/>
            <w:shd w:val="clear" w:color="auto" w:fill="C0FF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(1,949)</w:t>
            </w:r>
          </w:p>
        </w:tc>
        <w:tc>
          <w:tcPr>
            <w:tcW w:w="2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531,234</w:t>
            </w:r>
          </w:p>
        </w:tc>
      </w:tr>
      <w:tr>
        <w:trPr>
          <w:trHeight w:val="187"/>
        </w:trPr>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4140" w:type="dxa"/>
            <w:vAlign w:val="bottom"/>
            <w:shd w:val="clear" w:color="auto" w:fill="C0FFFF"/>
          </w:tcPr>
          <w:p>
            <w:pPr>
              <w:spacing w:after="0" w:line="170" w:lineRule="exact"/>
              <w:rPr>
                <w:sz w:val="20"/>
                <w:szCs w:val="20"/>
                <w:color w:val="auto"/>
              </w:rPr>
            </w:pPr>
            <w:r>
              <w:rPr>
                <w:rFonts w:ascii="Times New Roman" w:cs="Times New Roman" w:eastAsia="Times New Roman" w:hAnsi="Times New Roman"/>
                <w:sz w:val="16"/>
                <w:szCs w:val="16"/>
                <w:color w:val="auto"/>
              </w:rPr>
              <w:t>Stock options exercised and stock awards (including tax benefit</w:t>
            </w:r>
          </w:p>
        </w:tc>
        <w:tc>
          <w:tcPr>
            <w:tcW w:w="68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66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6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58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6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8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54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r>
      <w:tr>
        <w:trPr>
          <w:trHeight w:val="203"/>
        </w:trPr>
        <w:tc>
          <w:tcPr>
            <w:tcW w:w="41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of $1,668)</w:t>
            </w:r>
          </w:p>
        </w:tc>
        <w:tc>
          <w:tcPr>
            <w:tcW w:w="6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shd w:val="clear" w:color="auto" w:fill="C0FFFF"/>
          </w:tcPr>
          <w:p>
            <w:pPr>
              <w:spacing w:after="0"/>
              <w:rPr>
                <w:sz w:val="17"/>
                <w:szCs w:val="17"/>
                <w:color w:val="auto"/>
              </w:rPr>
            </w:pPr>
          </w:p>
        </w:tc>
        <w:tc>
          <w:tcPr>
            <w:tcW w:w="8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0FFFF"/>
          </w:tcPr>
          <w:p>
            <w:pPr>
              <w:spacing w:after="0"/>
              <w:rPr>
                <w:sz w:val="17"/>
                <w:szCs w:val="17"/>
                <w:color w:val="auto"/>
              </w:rPr>
            </w:pP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7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5,722</w:t>
            </w: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54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78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5,726</w:t>
            </w:r>
          </w:p>
        </w:tc>
      </w:tr>
      <w:tr>
        <w:trPr>
          <w:trHeight w:val="170"/>
        </w:trPr>
        <w:tc>
          <w:tcPr>
            <w:tcW w:w="41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Stock-based compensation related to stock options, restricted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and employee stock purchase plan</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7,332</w:t>
            </w: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6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7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7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r>
      <w:tr>
        <w:trPr>
          <w:trHeight w:val="18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 stock purchase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1,067</w:t>
            </w:r>
          </w:p>
        </w:tc>
      </w:tr>
      <w:tr>
        <w:trPr>
          <w:trHeight w:val="187"/>
        </w:trPr>
        <w:tc>
          <w:tcPr>
            <w:tcW w:w="41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68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4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5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9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193</w:t>
            </w: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62,455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62,455</w:t>
            </w:r>
          </w:p>
        </w:tc>
      </w:tr>
      <w:tr>
        <w:trPr>
          <w:trHeight w:val="187"/>
        </w:trPr>
        <w:tc>
          <w:tcPr>
            <w:tcW w:w="4140" w:type="dxa"/>
            <w:vAlign w:val="bottom"/>
            <w:shd w:val="clear" w:color="auto" w:fill="C0FFFF"/>
          </w:tcPr>
          <w:p>
            <w:pPr>
              <w:spacing w:after="0"/>
              <w:rPr>
                <w:sz w:val="16"/>
                <w:szCs w:val="16"/>
                <w:color w:val="auto"/>
              </w:rPr>
            </w:pPr>
          </w:p>
        </w:tc>
        <w:tc>
          <w:tcPr>
            <w:tcW w:w="68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66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6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tcBorders>
              <w:top w:val="single" w:sz="8" w:color="auto"/>
            </w:tcBorders>
            <w:shd w:val="clear" w:color="auto" w:fill="C0FFFF"/>
          </w:tcPr>
          <w:p>
            <w:pPr>
              <w:spacing w:after="0"/>
              <w:rPr>
                <w:sz w:val="16"/>
                <w:szCs w:val="16"/>
                <w:color w:val="auto"/>
              </w:rPr>
            </w:pPr>
          </w:p>
        </w:tc>
        <w:tc>
          <w:tcPr>
            <w:tcW w:w="58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4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6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00" w:type="dxa"/>
            <w:vAlign w:val="bottom"/>
            <w:tcBorders>
              <w:top w:val="single" w:sz="8" w:color="auto"/>
            </w:tcBorders>
            <w:shd w:val="clear" w:color="auto" w:fill="C0FFFF"/>
          </w:tcPr>
          <w:p>
            <w:pPr>
              <w:spacing w:after="0"/>
              <w:rPr>
                <w:sz w:val="16"/>
                <w:szCs w:val="16"/>
                <w:color w:val="auto"/>
              </w:rPr>
            </w:pPr>
          </w:p>
        </w:tc>
        <w:tc>
          <w:tcPr>
            <w:tcW w:w="78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tcBorders>
              <w:top w:val="single" w:sz="8" w:color="auto"/>
            </w:tcBorders>
            <w:shd w:val="clear" w:color="auto" w:fill="C0FFFF"/>
          </w:tcPr>
          <w:p>
            <w:pPr>
              <w:spacing w:after="0"/>
              <w:rPr>
                <w:sz w:val="16"/>
                <w:szCs w:val="16"/>
                <w:color w:val="auto"/>
              </w:rPr>
            </w:pPr>
          </w:p>
        </w:tc>
        <w:tc>
          <w:tcPr>
            <w:tcW w:w="540" w:type="dxa"/>
            <w:vAlign w:val="bottom"/>
            <w:tcBorders>
              <w:top w:val="single" w:sz="8" w:color="auto"/>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27,999</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10,792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222,627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(17,948)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404,619</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(1,756)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607,946</w:t>
            </w:r>
          </w:p>
        </w:tc>
      </w:tr>
      <w:tr>
        <w:trPr>
          <w:trHeight w:val="20"/>
        </w:trPr>
        <w:tc>
          <w:tcPr>
            <w:tcW w:w="4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RUSH ENTERPRISES, INC.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64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 w:type="dxa"/>
            <w:vAlign w:val="bottom"/>
          </w:tcPr>
          <w:p>
            <w:pPr>
              <w:spacing w:after="0"/>
              <w:rPr>
                <w:sz w:val="16"/>
                <w:szCs w:val="16"/>
                <w:color w:val="auto"/>
              </w:rPr>
            </w:pPr>
          </w:p>
        </w:tc>
      </w:tr>
      <w:tr>
        <w:trPr>
          <w:trHeight w:val="187"/>
        </w:trPr>
        <w:tc>
          <w:tcPr>
            <w:tcW w:w="6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2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62,455</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55,213</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31,282</w:t>
            </w: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92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73,289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56,934</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45,920</w:t>
            </w:r>
          </w:p>
        </w:tc>
      </w:tr>
      <w:tr>
        <w:trPr>
          <w:trHeight w:val="187"/>
        </w:trPr>
        <w:tc>
          <w:tcPr>
            <w:tcW w:w="640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Gain on sale of property and equipment, net</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(418)</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r>
      <w:tr>
        <w:trPr>
          <w:trHeight w:val="18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disposition of equipment centers</w:t>
            </w:r>
          </w:p>
        </w:tc>
        <w:tc>
          <w:tcPr>
            <w:tcW w:w="9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(10,091)</w:t>
            </w:r>
          </w:p>
        </w:tc>
      </w:tr>
      <w:tr>
        <w:trPr>
          <w:trHeight w:val="170"/>
        </w:trPr>
        <w:tc>
          <w:tcPr>
            <w:tcW w:w="6400" w:type="dxa"/>
            <w:vAlign w:val="bottom"/>
            <w:shd w:val="clear" w:color="auto" w:fill="C0FFFF"/>
          </w:tcPr>
          <w:p>
            <w:pPr>
              <w:ind w:left="280"/>
              <w:spacing w:after="0" w:line="170" w:lineRule="exact"/>
              <w:rPr>
                <w:sz w:val="20"/>
                <w:szCs w:val="20"/>
                <w:color w:val="auto"/>
              </w:rPr>
            </w:pPr>
            <w:r>
              <w:rPr>
                <w:rFonts w:ascii="Times New Roman" w:cs="Times New Roman" w:eastAsia="Times New Roman" w:hAnsi="Times New Roman"/>
                <w:sz w:val="16"/>
                <w:szCs w:val="16"/>
                <w:color w:val="auto"/>
              </w:rPr>
              <w:t>Stock-based compensation expense related to employee stock options and employee stock</w:t>
            </w:r>
          </w:p>
        </w:tc>
        <w:tc>
          <w:tcPr>
            <w:tcW w:w="920" w:type="dxa"/>
            <w:vAlign w:val="bottom"/>
            <w:shd w:val="clear" w:color="auto" w:fill="C0FFFF"/>
          </w:tcPr>
          <w:p>
            <w:pPr>
              <w:spacing w:after="0"/>
              <w:rPr>
                <w:sz w:val="14"/>
                <w:szCs w:val="14"/>
                <w:color w:val="auto"/>
              </w:rPr>
            </w:pPr>
          </w:p>
        </w:tc>
        <w:tc>
          <w:tcPr>
            <w:tcW w:w="58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60" w:type="dxa"/>
            <w:vAlign w:val="bottom"/>
            <w:shd w:val="clear" w:color="auto" w:fill="C0FFFF"/>
          </w:tcPr>
          <w:p>
            <w:pPr>
              <w:spacing w:after="0"/>
              <w:rPr>
                <w:sz w:val="14"/>
                <w:szCs w:val="14"/>
                <w:color w:val="auto"/>
              </w:rPr>
            </w:pPr>
          </w:p>
        </w:tc>
        <w:tc>
          <w:tcPr>
            <w:tcW w:w="340" w:type="dxa"/>
            <w:vAlign w:val="bottom"/>
            <w:shd w:val="clear" w:color="auto" w:fill="C0FFFF"/>
          </w:tcPr>
          <w:p>
            <w:pPr>
              <w:spacing w:after="0"/>
              <w:rPr>
                <w:sz w:val="14"/>
                <w:szCs w:val="14"/>
                <w:color w:val="auto"/>
              </w:rPr>
            </w:pPr>
          </w:p>
        </w:tc>
        <w:tc>
          <w:tcPr>
            <w:tcW w:w="1140" w:type="dxa"/>
            <w:vAlign w:val="bottom"/>
            <w:shd w:val="clear" w:color="auto" w:fill="C0FFFF"/>
          </w:tcPr>
          <w:p>
            <w:pPr>
              <w:spacing w:after="0"/>
              <w:rPr>
                <w:sz w:val="14"/>
                <w:szCs w:val="14"/>
                <w:color w:val="auto"/>
              </w:rPr>
            </w:pPr>
          </w:p>
        </w:tc>
        <w:tc>
          <w:tcPr>
            <w:tcW w:w="24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114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r>
      <w:tr>
        <w:trPr>
          <w:trHeight w:val="203"/>
        </w:trPr>
        <w:tc>
          <w:tcPr>
            <w:tcW w:w="640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shd w:val="clear" w:color="auto" w:fill="C0FFFF"/>
          </w:tcPr>
          <w:p>
            <w:pPr>
              <w:spacing w:after="0"/>
              <w:rPr>
                <w:sz w:val="17"/>
                <w:szCs w:val="17"/>
                <w:color w:val="auto"/>
              </w:rPr>
            </w:pPr>
          </w:p>
        </w:tc>
        <w:tc>
          <w:tcPr>
            <w:tcW w:w="5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5,683</w:t>
            </w:r>
          </w:p>
        </w:tc>
        <w:tc>
          <w:tcPr>
            <w:tcW w:w="320" w:type="dxa"/>
            <w:vAlign w:val="bottom"/>
            <w:shd w:val="clear" w:color="auto" w:fill="C0FFFF"/>
          </w:tcPr>
          <w:p>
            <w:pPr>
              <w:spacing w:after="0"/>
              <w:rPr>
                <w:sz w:val="17"/>
                <w:szCs w:val="17"/>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4,468</w:t>
            </w:r>
          </w:p>
        </w:tc>
      </w:tr>
      <w:tr>
        <w:trPr>
          <w:trHeight w:val="18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deferred income tax expense</w:t>
            </w:r>
          </w:p>
        </w:tc>
        <w:tc>
          <w:tcPr>
            <w:tcW w:w="9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28,164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28,680</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10,215</w:t>
            </w:r>
          </w:p>
        </w:tc>
      </w:tr>
      <w:tr>
        <w:trPr>
          <w:trHeight w:val="187"/>
        </w:trPr>
        <w:tc>
          <w:tcPr>
            <w:tcW w:w="640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(1,668)</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(1,628)</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(885)</w:t>
            </w:r>
          </w:p>
        </w:tc>
      </w:tr>
      <w:tr>
        <w:trPr>
          <w:trHeight w:val="18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accounts receivable, net</w:t>
            </w:r>
          </w:p>
        </w:tc>
        <w:tc>
          <w:tcPr>
            <w:tcW w:w="9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14,184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(49,986)</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(217)</w:t>
            </w:r>
          </w:p>
        </w:tc>
      </w:tr>
      <w:tr>
        <w:trPr>
          <w:trHeight w:val="187"/>
        </w:trPr>
        <w:tc>
          <w:tcPr>
            <w:tcW w:w="640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Change in inventories</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32,579</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(268,178)</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(48,548)</w:t>
            </w:r>
          </w:p>
        </w:tc>
      </w:tr>
      <w:tr>
        <w:trPr>
          <w:trHeight w:val="18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prepaid expenses and other, net</w:t>
            </w:r>
          </w:p>
        </w:tc>
        <w:tc>
          <w:tcPr>
            <w:tcW w:w="9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1,999</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(10,252)</w:t>
            </w:r>
          </w:p>
        </w:tc>
      </w:tr>
      <w:tr>
        <w:trPr>
          <w:trHeight w:val="187"/>
        </w:trPr>
        <w:tc>
          <w:tcPr>
            <w:tcW w:w="640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Change in trade accounts payable</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24,366</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15,331</w:t>
            </w:r>
          </w:p>
        </w:tc>
      </w:tr>
      <w:tr>
        <w:trPr>
          <w:trHeight w:val="18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Draws on floor plan notes payable – trade, net</w:t>
            </w:r>
          </w:p>
        </w:tc>
        <w:tc>
          <w:tcPr>
            <w:tcW w:w="9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34,504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0"/>
        </w:trPr>
        <w:tc>
          <w:tcPr>
            <w:tcW w:w="640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Change in accrued expenses</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(31,856)</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65,966</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29,246</w:t>
            </w:r>
          </w:p>
        </w:tc>
      </w:tr>
      <w:tr>
        <w:trPr>
          <w:trHeight w:val="187"/>
        </w:trPr>
        <w:tc>
          <w:tcPr>
            <w:tcW w:w="6400" w:type="dxa"/>
            <w:vAlign w:val="bottom"/>
            <w:tcBorders>
              <w:top w:val="single" w:sz="8" w:color="C0FF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190"/>
        </w:trPr>
        <w:tc>
          <w:tcPr>
            <w:tcW w:w="640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20" w:type="dxa"/>
            <w:vAlign w:val="bottom"/>
            <w:shd w:val="clear" w:color="auto" w:fill="C0FFFF"/>
          </w:tcPr>
          <w:p>
            <w:pPr>
              <w:spacing w:after="0"/>
              <w:rPr>
                <w:sz w:val="16"/>
                <w:szCs w:val="16"/>
                <w:color w:val="auto"/>
              </w:rPr>
            </w:pPr>
          </w:p>
        </w:tc>
        <w:tc>
          <w:tcPr>
            <w:tcW w:w="5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219,336</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(81,369)</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66,433</w:t>
            </w:r>
          </w:p>
        </w:tc>
      </w:tr>
      <w:tr>
        <w:trPr>
          <w:trHeight w:val="187"/>
        </w:trPr>
        <w:tc>
          <w:tcPr>
            <w:tcW w:w="6400" w:type="dxa"/>
            <w:vAlign w:val="bottom"/>
            <w:tcBorders>
              <w:top w:val="single" w:sz="8" w:color="C0FF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2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9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(170,951)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(148,543)</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(84,303)</w:t>
            </w: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property and equipment</w:t>
            </w:r>
          </w:p>
        </w:tc>
        <w:tc>
          <w:tcPr>
            <w:tcW w:w="920" w:type="dxa"/>
            <w:vAlign w:val="bottom"/>
            <w:shd w:val="clear" w:color="auto" w:fill="C0FFFF"/>
          </w:tcPr>
          <w:p>
            <w:pPr>
              <w:spacing w:after="0"/>
              <w:rPr>
                <w:sz w:val="16"/>
                <w:szCs w:val="16"/>
                <w:color w:val="auto"/>
              </w:rPr>
            </w:pPr>
          </w:p>
        </w:tc>
        <w:tc>
          <w:tcPr>
            <w:tcW w:w="5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10,692</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305</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acquisitions</w:t>
            </w:r>
          </w:p>
        </w:tc>
        <w:tc>
          <w:tcPr>
            <w:tcW w:w="9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(104,571)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(94,630)</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(39,268)</w:t>
            </w: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Proceeds from disposition of equipment centers</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26,234</w:t>
            </w:r>
          </w:p>
        </w:tc>
      </w:tr>
      <w:tr>
        <w:trPr>
          <w:trHeight w:val="19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655</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325</w:t>
            </w:r>
          </w:p>
        </w:tc>
      </w:tr>
      <w:tr>
        <w:trPr>
          <w:trHeight w:val="187"/>
        </w:trPr>
        <w:tc>
          <w:tcPr>
            <w:tcW w:w="6400" w:type="dxa"/>
            <w:vAlign w:val="bottom"/>
            <w:shd w:val="clear" w:color="auto" w:fill="C0FFFF"/>
          </w:tcPr>
          <w:p>
            <w:pPr>
              <w:spacing w:after="0"/>
              <w:rPr>
                <w:sz w:val="16"/>
                <w:szCs w:val="16"/>
                <w:color w:val="auto"/>
              </w:rPr>
            </w:pPr>
          </w:p>
        </w:tc>
        <w:tc>
          <w:tcPr>
            <w:tcW w:w="920" w:type="dxa"/>
            <w:vAlign w:val="bottom"/>
            <w:tcBorders>
              <w:top w:val="single" w:sz="8" w:color="auto"/>
            </w:tcBorders>
            <w:shd w:val="clear" w:color="auto" w:fill="C0FFFF"/>
          </w:tcPr>
          <w:p>
            <w:pPr>
              <w:spacing w:after="0"/>
              <w:rPr>
                <w:sz w:val="16"/>
                <w:szCs w:val="16"/>
                <w:color w:val="auto"/>
              </w:rPr>
            </w:pPr>
          </w:p>
        </w:tc>
        <w:tc>
          <w:tcPr>
            <w:tcW w:w="58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tcBorders>
              <w:top w:val="single" w:sz="8" w:color="auto"/>
            </w:tcBorders>
            <w:shd w:val="clear" w:color="auto" w:fill="C0FFFF"/>
          </w:tcPr>
          <w:p>
            <w:pPr>
              <w:spacing w:after="0"/>
              <w:rPr>
                <w:sz w:val="16"/>
                <w:szCs w:val="16"/>
                <w:color w:val="auto"/>
              </w:rPr>
            </w:pPr>
          </w:p>
        </w:tc>
        <w:tc>
          <w:tcPr>
            <w:tcW w:w="1140" w:type="dxa"/>
            <w:vAlign w:val="bottom"/>
            <w:tcBorders>
              <w:top w:val="single" w:sz="8" w:color="auto"/>
            </w:tcBorders>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20" w:type="dxa"/>
            <w:vAlign w:val="bottom"/>
            <w:tcBorders>
              <w:top w:val="single" w:sz="8" w:color="auto"/>
            </w:tcBorders>
            <w:shd w:val="clear" w:color="auto" w:fill="C0FFFF"/>
          </w:tcPr>
          <w:p>
            <w:pPr>
              <w:spacing w:after="0"/>
              <w:rPr>
                <w:sz w:val="16"/>
                <w:szCs w:val="16"/>
                <w:color w:val="auto"/>
              </w:rPr>
            </w:pPr>
          </w:p>
        </w:tc>
        <w:tc>
          <w:tcPr>
            <w:tcW w:w="1140" w:type="dxa"/>
            <w:vAlign w:val="bottom"/>
            <w:tcBorders>
              <w:top w:val="single" w:sz="8" w:color="auto"/>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90"/>
        </w:trPr>
        <w:tc>
          <w:tcPr>
            <w:tcW w:w="64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(274,297)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(231,826)</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(96,707)</w:t>
            </w:r>
          </w:p>
        </w:tc>
      </w:tr>
      <w:tr>
        <w:trPr>
          <w:trHeight w:val="187"/>
        </w:trPr>
        <w:tc>
          <w:tcPr>
            <w:tcW w:w="6400" w:type="dxa"/>
            <w:vAlign w:val="bottom"/>
            <w:shd w:val="clear" w:color="auto" w:fill="C0FFFF"/>
          </w:tcPr>
          <w:p>
            <w:pPr>
              <w:spacing w:after="0"/>
              <w:rPr>
                <w:sz w:val="16"/>
                <w:szCs w:val="16"/>
                <w:color w:val="auto"/>
              </w:rPr>
            </w:pPr>
          </w:p>
        </w:tc>
        <w:tc>
          <w:tcPr>
            <w:tcW w:w="920" w:type="dxa"/>
            <w:vAlign w:val="bottom"/>
            <w:tcBorders>
              <w:top w:val="single" w:sz="8" w:color="auto"/>
            </w:tcBorders>
            <w:shd w:val="clear" w:color="auto" w:fill="C0FFFF"/>
          </w:tcPr>
          <w:p>
            <w:pPr>
              <w:spacing w:after="0"/>
              <w:rPr>
                <w:sz w:val="16"/>
                <w:szCs w:val="16"/>
                <w:color w:val="auto"/>
              </w:rPr>
            </w:pPr>
          </w:p>
        </w:tc>
        <w:tc>
          <w:tcPr>
            <w:tcW w:w="58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tcBorders>
              <w:top w:val="single" w:sz="8" w:color="auto"/>
            </w:tcBorders>
            <w:shd w:val="clear" w:color="auto" w:fill="C0FFFF"/>
          </w:tcPr>
          <w:p>
            <w:pPr>
              <w:spacing w:after="0"/>
              <w:rPr>
                <w:sz w:val="16"/>
                <w:szCs w:val="16"/>
                <w:color w:val="auto"/>
              </w:rPr>
            </w:pPr>
          </w:p>
        </w:tc>
        <w:tc>
          <w:tcPr>
            <w:tcW w:w="1140" w:type="dxa"/>
            <w:vAlign w:val="bottom"/>
            <w:tcBorders>
              <w:top w:val="single" w:sz="8" w:color="auto"/>
            </w:tcBorders>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20" w:type="dxa"/>
            <w:vAlign w:val="bottom"/>
            <w:tcBorders>
              <w:top w:val="single" w:sz="8" w:color="auto"/>
            </w:tcBorders>
            <w:shd w:val="clear" w:color="auto" w:fill="C0FFFF"/>
          </w:tcPr>
          <w:p>
            <w:pPr>
              <w:spacing w:after="0"/>
              <w:rPr>
                <w:sz w:val="16"/>
                <w:szCs w:val="16"/>
                <w:color w:val="auto"/>
              </w:rPr>
            </w:pPr>
          </w:p>
        </w:tc>
        <w:tc>
          <w:tcPr>
            <w:tcW w:w="1140" w:type="dxa"/>
            <w:vAlign w:val="bottom"/>
            <w:tcBorders>
              <w:top w:val="single" w:sz="8" w:color="auto"/>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Draws (payments) on floor plan notes payable - non-trade, net</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(20,677)</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282,883</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43,724</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144,457</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66,614</w:t>
            </w:r>
          </w:p>
        </w:tc>
      </w:tr>
      <w:tr>
        <w:trPr>
          <w:trHeight w:val="18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(73,151)</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(68,299)</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(55,575)</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on capital lease obligations</w:t>
            </w:r>
          </w:p>
        </w:tc>
        <w:tc>
          <w:tcPr>
            <w:tcW w:w="9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(11,584)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(14,048)</w:t>
            </w:r>
          </w:p>
        </w:tc>
        <w:tc>
          <w:tcPr>
            <w:tcW w:w="3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(7,595)</w:t>
            </w:r>
          </w:p>
        </w:tc>
      </w:tr>
      <w:tr>
        <w:trPr>
          <w:trHeight w:val="170"/>
        </w:trPr>
        <w:tc>
          <w:tcPr>
            <w:tcW w:w="6400" w:type="dxa"/>
            <w:vAlign w:val="bottom"/>
            <w:shd w:val="clear" w:color="auto" w:fill="C0FFFF"/>
          </w:tcPr>
          <w:p>
            <w:pPr>
              <w:ind w:left="140"/>
              <w:spacing w:after="0" w:line="170" w:lineRule="exact"/>
              <w:rPr>
                <w:sz w:val="20"/>
                <w:szCs w:val="20"/>
                <w:color w:val="auto"/>
              </w:rPr>
            </w:pPr>
            <w:r>
              <w:rPr>
                <w:rFonts w:ascii="Times New Roman" w:cs="Times New Roman" w:eastAsia="Times New Roman" w:hAnsi="Times New Roman"/>
                <w:sz w:val="16"/>
                <w:szCs w:val="16"/>
                <w:color w:val="auto"/>
              </w:rPr>
              <w:t>Proceeds from issuance of shares relating to employee stock options and employee stock</w:t>
            </w:r>
          </w:p>
        </w:tc>
        <w:tc>
          <w:tcPr>
            <w:tcW w:w="920" w:type="dxa"/>
            <w:vAlign w:val="bottom"/>
            <w:shd w:val="clear" w:color="auto" w:fill="C0FFFF"/>
          </w:tcPr>
          <w:p>
            <w:pPr>
              <w:spacing w:after="0"/>
              <w:rPr>
                <w:sz w:val="14"/>
                <w:szCs w:val="14"/>
                <w:color w:val="auto"/>
              </w:rPr>
            </w:pPr>
          </w:p>
        </w:tc>
        <w:tc>
          <w:tcPr>
            <w:tcW w:w="58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160" w:type="dxa"/>
            <w:vAlign w:val="bottom"/>
            <w:shd w:val="clear" w:color="auto" w:fill="C0FFFF"/>
          </w:tcPr>
          <w:p>
            <w:pPr>
              <w:spacing w:after="0"/>
              <w:rPr>
                <w:sz w:val="14"/>
                <w:szCs w:val="14"/>
                <w:color w:val="auto"/>
              </w:rPr>
            </w:pPr>
          </w:p>
        </w:tc>
        <w:tc>
          <w:tcPr>
            <w:tcW w:w="340" w:type="dxa"/>
            <w:vAlign w:val="bottom"/>
            <w:shd w:val="clear" w:color="auto" w:fill="C0FFFF"/>
          </w:tcPr>
          <w:p>
            <w:pPr>
              <w:spacing w:after="0"/>
              <w:rPr>
                <w:sz w:val="14"/>
                <w:szCs w:val="14"/>
                <w:color w:val="auto"/>
              </w:rPr>
            </w:pPr>
          </w:p>
        </w:tc>
        <w:tc>
          <w:tcPr>
            <w:tcW w:w="1140" w:type="dxa"/>
            <w:vAlign w:val="bottom"/>
            <w:shd w:val="clear" w:color="auto" w:fill="C0FFFF"/>
          </w:tcPr>
          <w:p>
            <w:pPr>
              <w:spacing w:after="0"/>
              <w:rPr>
                <w:sz w:val="14"/>
                <w:szCs w:val="14"/>
                <w:color w:val="auto"/>
              </w:rPr>
            </w:pPr>
          </w:p>
        </w:tc>
        <w:tc>
          <w:tcPr>
            <w:tcW w:w="24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114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r>
      <w:tr>
        <w:trPr>
          <w:trHeight w:val="203"/>
        </w:trPr>
        <w:tc>
          <w:tcPr>
            <w:tcW w:w="6400" w:type="dxa"/>
            <w:vAlign w:val="bottom"/>
            <w:shd w:val="clear" w:color="auto" w:fill="C0FFFF"/>
          </w:tcPr>
          <w:p>
            <w:pPr>
              <w:ind w:left="28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shd w:val="clear" w:color="auto" w:fill="C0FFFF"/>
          </w:tcPr>
          <w:p>
            <w:pPr>
              <w:spacing w:after="0"/>
              <w:rPr>
                <w:sz w:val="17"/>
                <w:szCs w:val="17"/>
                <w:color w:val="auto"/>
              </w:rPr>
            </w:pPr>
          </w:p>
        </w:tc>
        <w:tc>
          <w:tcPr>
            <w:tcW w:w="5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5,518</w:t>
            </w:r>
          </w:p>
        </w:tc>
        <w:tc>
          <w:tcPr>
            <w:tcW w:w="320" w:type="dxa"/>
            <w:vAlign w:val="bottom"/>
            <w:shd w:val="clear" w:color="auto" w:fill="C0FFFF"/>
          </w:tcPr>
          <w:p>
            <w:pPr>
              <w:spacing w:after="0"/>
              <w:rPr>
                <w:sz w:val="17"/>
                <w:szCs w:val="17"/>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2,281</w:t>
            </w: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Excess tax benefits (provision) from stock-based compensation</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1,628</w:t>
            </w:r>
          </w:p>
        </w:tc>
        <w:tc>
          <w:tcPr>
            <w:tcW w:w="3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885</w:t>
            </w:r>
          </w:p>
        </w:tc>
      </w:tr>
      <w:tr>
        <w:trPr>
          <w:trHeight w:val="190"/>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(179)</w:t>
            </w:r>
          </w:p>
        </w:tc>
      </w:tr>
      <w:tr>
        <w:trPr>
          <w:trHeight w:val="187"/>
        </w:trPr>
        <w:tc>
          <w:tcPr>
            <w:tcW w:w="6400" w:type="dxa"/>
            <w:vAlign w:val="bottom"/>
            <w:tcBorders>
              <w:top w:val="single" w:sz="8" w:color="C0FF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190"/>
        </w:trPr>
        <w:tc>
          <w:tcPr>
            <w:tcW w:w="640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45,959</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351,994</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50,155</w:t>
            </w:r>
          </w:p>
        </w:tc>
      </w:tr>
      <w:tr>
        <w:trPr>
          <w:trHeight w:val="187"/>
        </w:trPr>
        <w:tc>
          <w:tcPr>
            <w:tcW w:w="6400" w:type="dxa"/>
            <w:vAlign w:val="bottom"/>
            <w:tcBorders>
              <w:top w:val="single" w:sz="8" w:color="C0FF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92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(9,002)</w:t>
            </w: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38,799</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19,881</w:t>
            </w:r>
          </w:p>
        </w:tc>
      </w:tr>
      <w:tr>
        <w:trPr>
          <w:trHeight w:val="187"/>
        </w:trPr>
        <w:tc>
          <w:tcPr>
            <w:tcW w:w="6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20" w:type="dxa"/>
            <w:vAlign w:val="bottom"/>
            <w:shd w:val="clear" w:color="auto" w:fill="C0FFFF"/>
          </w:tcPr>
          <w:p>
            <w:pPr>
              <w:spacing w:after="0"/>
              <w:rPr>
                <w:sz w:val="16"/>
                <w:szCs w:val="16"/>
                <w:color w:val="auto"/>
              </w:rPr>
            </w:pPr>
          </w:p>
        </w:tc>
        <w:tc>
          <w:tcPr>
            <w:tcW w:w="5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207,775</w:t>
            </w: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168,976</w:t>
            </w:r>
          </w:p>
        </w:tc>
        <w:tc>
          <w:tcPr>
            <w:tcW w:w="32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149,095</w:t>
            </w:r>
          </w:p>
        </w:tc>
      </w:tr>
      <w:tr>
        <w:trPr>
          <w:trHeight w:val="187"/>
        </w:trPr>
        <w:tc>
          <w:tcPr>
            <w:tcW w:w="6400" w:type="dxa"/>
            <w:vAlign w:val="bottom"/>
            <w:tcBorders>
              <w:top w:val="single" w:sz="8" w:color="C0FF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r>
      <w:tr>
        <w:trPr>
          <w:trHeight w:val="22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920" w:type="dxa"/>
            <w:vAlign w:val="bottom"/>
            <w:shd w:val="clear" w:color="auto" w:fill="C0FFFF"/>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198,773</w:t>
            </w:r>
          </w:p>
        </w:tc>
        <w:tc>
          <w:tcPr>
            <w:tcW w:w="80" w:type="dxa"/>
            <w:vAlign w:val="bottom"/>
            <w:shd w:val="clear" w:color="auto" w:fill="C0FFFF"/>
          </w:tcPr>
          <w:p>
            <w:pPr>
              <w:spacing w:after="0"/>
              <w:rPr>
                <w:sz w:val="19"/>
                <w:szCs w:val="19"/>
                <w:color w:val="auto"/>
              </w:rPr>
            </w:pPr>
          </w:p>
        </w:tc>
        <w:tc>
          <w:tcPr>
            <w:tcW w:w="5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207,775</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168,976</w:t>
            </w:r>
          </w:p>
        </w:tc>
      </w:tr>
      <w:tr>
        <w:trPr>
          <w:trHeight w:val="173"/>
        </w:trPr>
        <w:tc>
          <w:tcPr>
            <w:tcW w:w="6400" w:type="dxa"/>
            <w:vAlign w:val="bottom"/>
            <w:tcBorders>
              <w:top w:val="single" w:sz="8" w:color="C0FF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C0FFFF"/>
            </w:tcBorders>
          </w:tcPr>
          <w:p>
            <w:pPr>
              <w:spacing w:after="0"/>
              <w:rPr>
                <w:sz w:val="15"/>
                <w:szCs w:val="15"/>
                <w:color w:val="auto"/>
              </w:rPr>
            </w:pPr>
          </w:p>
        </w:tc>
        <w:tc>
          <w:tcPr>
            <w:tcW w:w="160" w:type="dxa"/>
            <w:vAlign w:val="bottom"/>
            <w:tcBorders>
              <w:top w:val="single" w:sz="8" w:color="C0FF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r>
      <w:tr>
        <w:trPr>
          <w:trHeight w:val="187"/>
        </w:trPr>
        <w:tc>
          <w:tcPr>
            <w:tcW w:w="64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20" w:type="dxa"/>
            <w:vAlign w:val="bottom"/>
            <w:shd w:val="clear" w:color="auto" w:fill="C0FFFF"/>
          </w:tcPr>
          <w:p>
            <w:pPr>
              <w:spacing w:after="0"/>
              <w:rPr>
                <w:sz w:val="16"/>
                <w:szCs w:val="16"/>
                <w:color w:val="auto"/>
              </w:rPr>
            </w:pPr>
          </w:p>
        </w:tc>
        <w:tc>
          <w:tcPr>
            <w:tcW w:w="5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r>
      <w:tr>
        <w:trPr>
          <w:trHeight w:val="18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4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920" w:type="dxa"/>
            <w:vAlign w:val="bottom"/>
            <w:shd w:val="clear" w:color="auto" w:fill="C0FFFF"/>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23,275</w:t>
            </w:r>
          </w:p>
        </w:tc>
        <w:tc>
          <w:tcPr>
            <w:tcW w:w="500" w:type="dxa"/>
            <w:vAlign w:val="bottom"/>
            <w:gridSpan w:val="2"/>
            <w:shd w:val="clear" w:color="auto" w:fill="C0FF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15,237</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13,264</w:t>
            </w:r>
          </w:p>
        </w:tc>
      </w:tr>
      <w:tr>
        <w:trPr>
          <w:trHeight w:val="20"/>
        </w:trPr>
        <w:tc>
          <w:tcPr>
            <w:tcW w:w="640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r>
        <w:trPr>
          <w:trHeight w:val="173"/>
        </w:trPr>
        <w:tc>
          <w:tcPr>
            <w:tcW w:w="6400" w:type="dxa"/>
            <w:vAlign w:val="bottom"/>
          </w:tcPr>
          <w:p>
            <w:pPr>
              <w:ind w:left="140"/>
              <w:spacing w:after="0" w:line="174" w:lineRule="exact"/>
              <w:rPr>
                <w:sz w:val="20"/>
                <w:szCs w:val="20"/>
                <w:color w:val="auto"/>
              </w:rPr>
            </w:pPr>
            <w:r>
              <w:rPr>
                <w:rFonts w:ascii="Times New Roman" w:cs="Times New Roman" w:eastAsia="Times New Roman" w:hAnsi="Times New Roman"/>
                <w:sz w:val="16"/>
                <w:szCs w:val="16"/>
                <w:color w:val="auto"/>
              </w:rPr>
              <w:t>Income taxes, net of refunds</w:t>
            </w:r>
          </w:p>
        </w:tc>
        <w:tc>
          <w:tcPr>
            <w:tcW w:w="920" w:type="dxa"/>
            <w:vAlign w:val="bottom"/>
          </w:tcPr>
          <w:p>
            <w:pPr>
              <w:jc w:val="right"/>
              <w:ind w:right="762"/>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7,122</w:t>
            </w:r>
          </w:p>
        </w:tc>
        <w:tc>
          <w:tcPr>
            <w:tcW w:w="80" w:type="dxa"/>
            <w:vAlign w:val="bottom"/>
          </w:tcPr>
          <w:p>
            <w:pPr>
              <w:spacing w:after="0"/>
              <w:rPr>
                <w:sz w:val="15"/>
                <w:szCs w:val="15"/>
                <w:color w:val="auto"/>
              </w:rPr>
            </w:pPr>
          </w:p>
        </w:tc>
        <w:tc>
          <w:tcPr>
            <w:tcW w:w="500" w:type="dxa"/>
            <w:vAlign w:val="bottom"/>
            <w:gridSpan w:val="2"/>
          </w:tcPr>
          <w:p>
            <w:pPr>
              <w:jc w:val="right"/>
              <w:ind w:right="2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2,032</w:t>
            </w:r>
          </w:p>
        </w:tc>
        <w:tc>
          <w:tcPr>
            <w:tcW w:w="320" w:type="dxa"/>
            <w:vAlign w:val="bottom"/>
          </w:tcPr>
          <w:p>
            <w:pPr>
              <w:jc w:val="right"/>
              <w:ind w:right="162"/>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7,544</w:t>
            </w:r>
          </w:p>
        </w:tc>
      </w:tr>
      <w:tr>
        <w:trPr>
          <w:trHeight w:val="20"/>
        </w:trPr>
        <w:tc>
          <w:tcPr>
            <w:tcW w:w="6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6400" w:type="dxa"/>
            <w:vAlign w:val="bottom"/>
            <w:shd w:val="clear" w:color="auto" w:fill="C0FFFF"/>
          </w:tcPr>
          <w:p>
            <w:pPr>
              <w:spacing w:after="0" w:line="174" w:lineRule="exact"/>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20" w:type="dxa"/>
            <w:vAlign w:val="bottom"/>
            <w:shd w:val="clear" w:color="auto" w:fill="C0FFFF"/>
          </w:tcPr>
          <w:p>
            <w:pPr>
              <w:spacing w:after="0"/>
              <w:rPr>
                <w:sz w:val="15"/>
                <w:szCs w:val="15"/>
                <w:color w:val="auto"/>
              </w:rPr>
            </w:pPr>
          </w:p>
        </w:tc>
        <w:tc>
          <w:tcPr>
            <w:tcW w:w="58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114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114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r>
      <w:tr>
        <w:trPr>
          <w:trHeight w:val="187"/>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 receivable related to disposition of equipment centers</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4,453</w:t>
            </w:r>
          </w:p>
        </w:tc>
      </w:tr>
      <w:tr>
        <w:trPr>
          <w:trHeight w:val="20"/>
        </w:trPr>
        <w:tc>
          <w:tcPr>
            <w:tcW w:w="6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3"/>
        </w:trPr>
        <w:tc>
          <w:tcPr>
            <w:tcW w:w="6400" w:type="dxa"/>
            <w:vAlign w:val="bottom"/>
            <w:shd w:val="clear" w:color="auto" w:fill="C0FFFF"/>
          </w:tcPr>
          <w:p>
            <w:pPr>
              <w:ind w:left="140"/>
              <w:spacing w:after="0" w:line="174" w:lineRule="exact"/>
              <w:rPr>
                <w:sz w:val="20"/>
                <w:szCs w:val="20"/>
                <w:color w:val="auto"/>
              </w:rPr>
            </w:pPr>
            <w:r>
              <w:rPr>
                <w:rFonts w:ascii="Times New Roman" w:cs="Times New Roman" w:eastAsia="Times New Roman" w:hAnsi="Times New Roman"/>
                <w:sz w:val="16"/>
                <w:szCs w:val="16"/>
                <w:color w:val="auto"/>
              </w:rPr>
              <w:t>Assets acquired under capital leases</w:t>
            </w:r>
          </w:p>
        </w:tc>
        <w:tc>
          <w:tcPr>
            <w:tcW w:w="920" w:type="dxa"/>
            <w:vAlign w:val="bottom"/>
            <w:shd w:val="clear" w:color="auto" w:fill="C0FFFF"/>
          </w:tcPr>
          <w:p>
            <w:pPr>
              <w:jc w:val="right"/>
              <w:ind w:right="762"/>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0FF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15,892</w:t>
            </w:r>
          </w:p>
        </w:tc>
        <w:tc>
          <w:tcPr>
            <w:tcW w:w="500" w:type="dxa"/>
            <w:vAlign w:val="bottom"/>
            <w:gridSpan w:val="2"/>
            <w:shd w:val="clear" w:color="auto" w:fill="C0FFFF"/>
          </w:tcPr>
          <w:p>
            <w:pPr>
              <w:jc w:val="right"/>
              <w:ind w:right="2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0FFFF"/>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17,400</w:t>
            </w:r>
          </w:p>
        </w:tc>
        <w:tc>
          <w:tcPr>
            <w:tcW w:w="320" w:type="dxa"/>
            <w:vAlign w:val="bottom"/>
            <w:shd w:val="clear" w:color="auto" w:fill="C0FFFF"/>
          </w:tcPr>
          <w:p>
            <w:pPr>
              <w:jc w:val="right"/>
              <w:ind w:right="162"/>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15,353</w:t>
            </w:r>
          </w:p>
        </w:tc>
      </w:tr>
      <w:tr>
        <w:trPr>
          <w:trHeight w:val="20"/>
        </w:trPr>
        <w:tc>
          <w:tcPr>
            <w:tcW w:w="640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bl>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48" w:name="page49"/>
    <w:bookmarkEnd w:id="48"/>
    <w:p>
      <w:pPr>
        <w:jc w:val="center"/>
        <w:ind w:right="-6"/>
        <w:spacing w:after="0"/>
        <w:rPr>
          <w:sz w:val="20"/>
          <w:szCs w:val="20"/>
          <w:color w:val="auto"/>
        </w:rPr>
      </w:pPr>
      <w:r>
        <w:rPr>
          <w:rFonts w:ascii="Times New Roman" w:cs="Times New Roman" w:eastAsia="Times New Roman" w:hAnsi="Times New Roman"/>
          <w:sz w:val="16"/>
          <w:szCs w:val="16"/>
          <w:u w:val="single" w:color="auto"/>
          <w:color w:val="auto"/>
        </w:rPr>
        <w:t>RUSH ENTERPRISES, INC. AND SUBSIDIARIES</w:t>
      </w:r>
    </w:p>
    <w:p>
      <w:pPr>
        <w:spacing w:after="0" w:line="1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u w:val="single" w:color="auto"/>
          <w:color w:val="auto"/>
        </w:rPr>
        <w:t>NOTES TO CONSOLIDATED FINANCIAL STATEMENTS</w:t>
      </w:r>
    </w:p>
    <w:p>
      <w:pPr>
        <w:spacing w:after="0" w:line="200" w:lineRule="exact"/>
        <w:rPr>
          <w:sz w:val="20"/>
          <w:szCs w:val="20"/>
          <w:color w:val="auto"/>
        </w:rPr>
      </w:pPr>
    </w:p>
    <w:p>
      <w:pPr>
        <w:spacing w:after="0" w:line="253" w:lineRule="exact"/>
        <w:rPr>
          <w:sz w:val="20"/>
          <w:szCs w:val="20"/>
          <w:color w:val="auto"/>
        </w:rPr>
      </w:pPr>
    </w:p>
    <w:p>
      <w:pPr>
        <w:ind w:left="707" w:hanging="707"/>
        <w:spacing w:after="0"/>
        <w:tabs>
          <w:tab w:leader="none" w:pos="70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OPERATIONS</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Mitsubishi Fuso, IC Bus or Blue Bird. Through its dealership network, the Company provides one-stop service for the needs of its customers, including retail sales of new and used commercial vehicles, aftermarket parts sales, service and repair facilities, financing, leasing and rental, and insurance products. The Company’s Rush Truck Centers are located in Alabama, Arizona, California, Colorado, Florida, Georgia, Idaho, New Mexico, North Carolina, Ohio, Oklahoma, Oregon, Tennessee, Texas and Utah. See Note 19 of the Notes to Consolidated Financial Statements for segment information.</w:t>
      </w:r>
    </w:p>
    <w:p>
      <w:pPr>
        <w:spacing w:after="0" w:line="212" w:lineRule="exact"/>
        <w:rPr>
          <w:sz w:val="20"/>
          <w:szCs w:val="20"/>
          <w:color w:val="auto"/>
        </w:rPr>
      </w:pPr>
    </w:p>
    <w:p>
      <w:pPr>
        <w:ind w:left="7" w:right="7940" w:hanging="7"/>
        <w:spacing w:after="0" w:line="547" w:lineRule="auto"/>
        <w:tabs>
          <w:tab w:leader="none" w:pos="70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SIGNIFICANT ACCOUNTING POLICIES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Principles of Consolidation</w:t>
      </w:r>
    </w:p>
    <w:p>
      <w:pPr>
        <w:spacing w:after="0" w:line="1"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The consolidated financial statements presented herein include the accounts of Rush Enterprises, Inc. together with our consolidated subsidiaries. All significant inter-company balances and transactions have been eliminated in consolidation.</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Estimates in Financial Statements</w:t>
      </w:r>
    </w:p>
    <w:p>
      <w:pPr>
        <w:spacing w:after="0" w:line="236"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Cash and Cash Equivalents</w:t>
      </w:r>
    </w:p>
    <w:p>
      <w:pPr>
        <w:spacing w:after="0" w:line="236"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Cash and cash equivalents generally consist of cash and other money market instruments. The Company considers all highly liquid investments with an original maturity of ninety days or less to be cash equivalents.</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Allowance for Doubtful Receivables and Repossession Losses</w:t>
      </w:r>
    </w:p>
    <w:p>
      <w:pPr>
        <w:spacing w:after="0" w:line="236"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Inventories</w:t>
      </w:r>
    </w:p>
    <w:p>
      <w:pPr>
        <w:spacing w:after="0" w:line="236"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Inventories are stated at the lower of cost or market value. Cost is determined by specific identification of new and used commercial vehicle inventory and by the first-in, first-out method for tires, parts and accessories. An allowance is provided when it is anticipated that cost will exceed net realizable value plus a reasonable profit margin.</w:t>
      </w:r>
    </w:p>
    <w:p>
      <w:pPr>
        <w:spacing w:after="0" w:line="3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7075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461"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auto"/>
        </w:rPr>
        <w:t>Property and Equipment</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$43,000 related to major capital projects during 2012. The cost, accumulated depreciation and amortization and estimated useful lives are summarized as follows (in thousands):</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7"/>
              </w:rPr>
              <w:t>Estimated Life</w:t>
            </w:r>
          </w:p>
        </w:tc>
      </w:tr>
      <w:tr>
        <w:trPr>
          <w:trHeight w:val="207"/>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2011</w:t>
            </w:r>
          </w:p>
        </w:tc>
        <w:tc>
          <w:tcPr>
            <w:tcW w:w="200" w:type="dxa"/>
            <w:vAlign w:val="bottom"/>
          </w:tcPr>
          <w:p>
            <w:pPr>
              <w:spacing w:after="0"/>
              <w:rPr>
                <w:sz w:val="17"/>
                <w:szCs w:val="17"/>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1"/>
              </w:rPr>
              <w:t>(Years)</w:t>
            </w:r>
          </w:p>
        </w:tc>
      </w:tr>
      <w:tr>
        <w:trPr>
          <w:trHeight w:val="187"/>
        </w:trPr>
        <w:tc>
          <w:tcPr>
            <w:tcW w:w="58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8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69,965</w:t>
            </w:r>
          </w:p>
        </w:tc>
        <w:tc>
          <w:tcPr>
            <w:tcW w:w="320" w:type="dxa"/>
            <w:vAlign w:val="bottom"/>
            <w:gridSpan w:val="2"/>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68,147</w:t>
            </w:r>
          </w:p>
        </w:tc>
        <w:tc>
          <w:tcPr>
            <w:tcW w:w="480" w:type="dxa"/>
            <w:vAlign w:val="bottom"/>
            <w:shd w:val="clear" w:color="auto" w:fill="C0FFFF"/>
          </w:tcPr>
          <w:p>
            <w:pPr>
              <w:spacing w:after="0"/>
              <w:rPr>
                <w:sz w:val="16"/>
                <w:szCs w:val="16"/>
                <w:color w:val="auto"/>
              </w:rPr>
            </w:pPr>
          </w:p>
        </w:tc>
        <w:tc>
          <w:tcPr>
            <w:tcW w:w="2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174,953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162,118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6"/>
                <w:szCs w:val="16"/>
                <w:color w:val="auto"/>
              </w:rPr>
            </w:pPr>
          </w:p>
        </w:tc>
      </w:tr>
      <w:tr>
        <w:trPr>
          <w:trHeight w:val="187"/>
        </w:trPr>
        <w:tc>
          <w:tcPr>
            <w:tcW w:w="58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24,710</w:t>
            </w:r>
          </w:p>
        </w:tc>
        <w:tc>
          <w:tcPr>
            <w:tcW w:w="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21,734</w:t>
            </w:r>
          </w:p>
        </w:tc>
        <w:tc>
          <w:tcPr>
            <w:tcW w:w="4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0FFFF"/>
          </w:tcPr>
          <w:p>
            <w:pPr>
              <w:ind w:left="6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0FFFF"/>
          </w:tcPr>
          <w:p>
            <w:pPr>
              <w:spacing w:after="0"/>
              <w:rPr>
                <w:sz w:val="16"/>
                <w:szCs w:val="16"/>
                <w:color w:val="auto"/>
              </w:rPr>
            </w:pPr>
          </w:p>
        </w:tc>
      </w:t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shop equipment</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40,581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34,949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6"/>
                <w:szCs w:val="16"/>
                <w:color w:val="auto"/>
              </w:rPr>
            </w:pPr>
          </w:p>
        </w:tc>
      </w:tr>
      <w:tr>
        <w:trPr>
          <w:trHeight w:val="187"/>
        </w:trPr>
        <w:tc>
          <w:tcPr>
            <w:tcW w:w="58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Furniture, fixtures and computers</w:t>
            </w:r>
          </w:p>
        </w:tc>
        <w:tc>
          <w:tcPr>
            <w:tcW w:w="2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39,993</w:t>
            </w:r>
          </w:p>
        </w:tc>
        <w:tc>
          <w:tcPr>
            <w:tcW w:w="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30,321</w:t>
            </w:r>
          </w:p>
        </w:tc>
        <w:tc>
          <w:tcPr>
            <w:tcW w:w="4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0FFFF"/>
          </w:tcPr>
          <w:p>
            <w:pPr>
              <w:ind w:left="6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0FFFF"/>
          </w:tcPr>
          <w:p>
            <w:pPr>
              <w:spacing w:after="0"/>
              <w:rPr>
                <w:sz w:val="16"/>
                <w:szCs w:val="16"/>
                <w:color w:val="auto"/>
              </w:rPr>
            </w:pPr>
          </w:p>
        </w:tc>
      </w:t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 equipment</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40,103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35,126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6"/>
                <w:szCs w:val="16"/>
                <w:color w:val="auto"/>
              </w:rPr>
            </w:pPr>
          </w:p>
        </w:tc>
      </w:tr>
      <w:tr>
        <w:trPr>
          <w:trHeight w:val="187"/>
        </w:trPr>
        <w:tc>
          <w:tcPr>
            <w:tcW w:w="58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Lease and rental vehicles</w:t>
            </w:r>
          </w:p>
        </w:tc>
        <w:tc>
          <w:tcPr>
            <w:tcW w:w="2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443,035</w:t>
            </w:r>
          </w:p>
        </w:tc>
        <w:tc>
          <w:tcPr>
            <w:tcW w:w="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8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326,678</w:t>
            </w:r>
          </w:p>
        </w:tc>
        <w:tc>
          <w:tcPr>
            <w:tcW w:w="200" w:type="dxa"/>
            <w:vAlign w:val="bottom"/>
            <w:shd w:val="clear" w:color="auto" w:fill="C0FFFF"/>
          </w:tcPr>
          <w:p>
            <w:pPr>
              <w:spacing w:after="0"/>
              <w:rPr>
                <w:sz w:val="16"/>
                <w:szCs w:val="16"/>
                <w:color w:val="auto"/>
              </w:rPr>
            </w:pPr>
          </w:p>
        </w:tc>
        <w:tc>
          <w:tcPr>
            <w:tcW w:w="4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0FFFF"/>
          </w:tcPr>
          <w:p>
            <w:pPr>
              <w:ind w:left="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0FFFF"/>
          </w:tcPr>
          <w:p>
            <w:pPr>
              <w:spacing w:after="0"/>
              <w:rPr>
                <w:sz w:val="16"/>
                <w:szCs w:val="16"/>
                <w:color w:val="auto"/>
              </w:rPr>
            </w:pPr>
          </w:p>
        </w:tc>
      </w:t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6,605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(217,833)</w:t>
            </w:r>
          </w:p>
        </w:tc>
        <w:tc>
          <w:tcPr>
            <w:tcW w:w="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(181,847)</w:t>
            </w:r>
          </w:p>
        </w:tc>
        <w:tc>
          <w:tcPr>
            <w:tcW w:w="48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5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r>
      <w:tr>
        <w:trPr>
          <w:trHeight w:val="187"/>
        </w:trPr>
        <w:tc>
          <w:tcPr>
            <w:tcW w:w="5840" w:type="dxa"/>
            <w:vAlign w:val="bottom"/>
            <w:tcBorders>
              <w:top w:val="single" w:sz="8" w:color="C0FF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60" w:type="dxa"/>
            <w:vAlign w:val="bottom"/>
            <w:tcBorders>
              <w:top w:val="single" w:sz="8" w:color="C0FF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0FFFF"/>
            </w:tcBorders>
          </w:tcPr>
          <w:p>
            <w:pPr>
              <w:spacing w:after="0"/>
              <w:rPr>
                <w:sz w:val="16"/>
                <w:szCs w:val="16"/>
                <w:color w:val="auto"/>
              </w:rPr>
            </w:pPr>
          </w:p>
        </w:tc>
        <w:tc>
          <w:tcPr>
            <w:tcW w:w="480" w:type="dxa"/>
            <w:vAlign w:val="bottom"/>
            <w:tcBorders>
              <w:top w:val="single" w:sz="8" w:color="C0FFFF"/>
            </w:tcBorders>
          </w:tcPr>
          <w:p>
            <w:pPr>
              <w:spacing w:after="0"/>
              <w:rPr>
                <w:sz w:val="16"/>
                <w:szCs w:val="16"/>
                <w:color w:val="auto"/>
              </w:rPr>
            </w:pPr>
          </w:p>
        </w:tc>
        <w:tc>
          <w:tcPr>
            <w:tcW w:w="200" w:type="dxa"/>
            <w:vAlign w:val="bottom"/>
            <w:tcBorders>
              <w:top w:val="single" w:sz="8" w:color="C0FFFF"/>
            </w:tcBorders>
          </w:tcPr>
          <w:p>
            <w:pPr>
              <w:spacing w:after="0"/>
              <w:rPr>
                <w:sz w:val="16"/>
                <w:szCs w:val="16"/>
                <w:color w:val="auto"/>
              </w:rPr>
            </w:pPr>
          </w:p>
        </w:tc>
        <w:tc>
          <w:tcPr>
            <w:tcW w:w="5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r>
      <w:tr>
        <w:trPr>
          <w:trHeight w:val="227"/>
        </w:trPr>
        <w:tc>
          <w:tcPr>
            <w:tcW w:w="584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622,112</w:t>
            </w:r>
          </w:p>
        </w:tc>
        <w:tc>
          <w:tcPr>
            <w:tcW w:w="120" w:type="dxa"/>
            <w:vAlign w:val="bottom"/>
            <w:tcBorders>
              <w:bottom w:val="single" w:sz="8" w:color="C0FFFF"/>
            </w:tcBorders>
            <w:shd w:val="clear" w:color="auto" w:fill="C0FFFF"/>
          </w:tcPr>
          <w:p>
            <w:pPr>
              <w:spacing w:after="0"/>
              <w:rPr>
                <w:sz w:val="19"/>
                <w:szCs w:val="19"/>
                <w:color w:val="auto"/>
              </w:rPr>
            </w:pPr>
          </w:p>
        </w:tc>
        <w:tc>
          <w:tcPr>
            <w:tcW w:w="60" w:type="dxa"/>
            <w:vAlign w:val="bottom"/>
            <w:tcBorders>
              <w:bottom w:val="single" w:sz="8" w:color="C0FFFF"/>
            </w:tcBorders>
            <w:shd w:val="clear" w:color="auto" w:fill="C0FFFF"/>
          </w:tcPr>
          <w:p>
            <w:pPr>
              <w:spacing w:after="0"/>
              <w:rPr>
                <w:sz w:val="19"/>
                <w:szCs w:val="19"/>
                <w:color w:val="auto"/>
              </w:rPr>
            </w:pPr>
          </w:p>
        </w:tc>
        <w:tc>
          <w:tcPr>
            <w:tcW w:w="260" w:type="dxa"/>
            <w:vAlign w:val="bottom"/>
            <w:tcBorders>
              <w:bottom w:val="single" w:sz="8" w:color="auto"/>
            </w:tcBorders>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499,667</w:t>
            </w:r>
          </w:p>
        </w:tc>
        <w:tc>
          <w:tcPr>
            <w:tcW w:w="200" w:type="dxa"/>
            <w:vAlign w:val="bottom"/>
            <w:tcBorders>
              <w:bottom w:val="single" w:sz="8" w:color="C0FFFF"/>
            </w:tcBorders>
            <w:shd w:val="clear" w:color="auto" w:fill="C0FFFF"/>
          </w:tcPr>
          <w:p>
            <w:pPr>
              <w:spacing w:after="0"/>
              <w:rPr>
                <w:sz w:val="19"/>
                <w:szCs w:val="19"/>
                <w:color w:val="auto"/>
              </w:rPr>
            </w:pPr>
          </w:p>
        </w:tc>
        <w:tc>
          <w:tcPr>
            <w:tcW w:w="48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C0FFFF"/>
            </w:tcBorders>
            <w:shd w:val="clear" w:color="auto" w:fill="C0FFFF"/>
          </w:tcPr>
          <w:p>
            <w:pPr>
              <w:spacing w:after="0"/>
              <w:rPr>
                <w:sz w:val="19"/>
                <w:szCs w:val="19"/>
                <w:color w:val="auto"/>
              </w:rPr>
            </w:pPr>
          </w:p>
        </w:tc>
        <w:tc>
          <w:tcPr>
            <w:tcW w:w="5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r>
    </w:tbl>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 of December 31, 2012, the Company had $48.6 million in lease and rental vehicles under various capital leases included in property and equipment, net of accumulated amortization of $20.2 million. The Company recorded depreciation expense of $62.3 million and amortization expense of $11.0 million for the year ended December 31, 2012, and depreciation expense of $48.3 million and amortization expense of $8.6 million for the year ended December 31, 2011. Depreciation and amortization of vehicles related to lease and rental operations is included in lease and rental cost of products sold.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Goodwill</w:t>
      </w: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the Truck Segment, which is the level at which management regularly reviews operating results and makes resource allocation decisions.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21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No impairment write down was required in the fourth quarter of 2012. However, the Company cannot predict the occurrence of certain events that might adversely affect the reported value of goodwill in the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change in the carrying amount of goodwill for the Company for the period ended December 31, 2012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49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Balance January 1, 2012</w:t>
            </w:r>
          </w:p>
        </w:tc>
        <w:tc>
          <w:tcPr>
            <w:tcW w:w="3880" w:type="dxa"/>
            <w:vAlign w:val="bottom"/>
            <w:gridSpan w:val="2"/>
            <w:shd w:val="clear" w:color="auto" w:fill="C0FFFF"/>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182,612</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 to acquisition of Peck Road Ford</w:t>
            </w:r>
          </w:p>
        </w:tc>
        <w:tc>
          <w:tcPr>
            <w:tcW w:w="3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9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w w:val="99"/>
              </w:rPr>
              <w:t>Adjustment for franchise rights related to West Texas Peterbilt acquisition</w:t>
            </w:r>
          </w:p>
        </w:tc>
        <w:tc>
          <w:tcPr>
            <w:tcW w:w="34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(1,730)</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MVI Group (See Note 15)</w:t>
            </w:r>
          </w:p>
        </w:tc>
        <w:tc>
          <w:tcPr>
            <w:tcW w:w="3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17,339</w:t>
            </w:r>
          </w:p>
        </w:tc>
        <w:tc>
          <w:tcPr>
            <w:tcW w:w="110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7"/>
        </w:trPr>
        <w:tc>
          <w:tcPr>
            <w:tcW w:w="560" w:type="dxa"/>
            <w:vAlign w:val="bottom"/>
          </w:tcPr>
          <w:p>
            <w:pPr>
              <w:spacing w:after="0"/>
              <w:rPr>
                <w:sz w:val="19"/>
                <w:szCs w:val="19"/>
                <w:color w:val="auto"/>
              </w:rPr>
            </w:pPr>
          </w:p>
        </w:tc>
        <w:tc>
          <w:tcPr>
            <w:tcW w:w="49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Balance December 31, 2012</w:t>
            </w:r>
          </w:p>
        </w:tc>
        <w:tc>
          <w:tcPr>
            <w:tcW w:w="3420" w:type="dxa"/>
            <w:vAlign w:val="bottom"/>
            <w:shd w:val="clear" w:color="auto" w:fill="C0FFFF"/>
          </w:tcPr>
          <w:p>
            <w:pPr>
              <w:spacing w:after="0"/>
              <w:rPr>
                <w:sz w:val="19"/>
                <w:szCs w:val="19"/>
                <w:color w:val="auto"/>
              </w:rPr>
            </w:pPr>
          </w:p>
        </w:tc>
        <w:tc>
          <w:tcPr>
            <w:tcW w:w="460" w:type="dxa"/>
            <w:vAlign w:val="bottom"/>
            <w:shd w:val="clear" w:color="auto" w:fill="C0FF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198,257</w:t>
            </w:r>
          </w:p>
        </w:tc>
        <w:tc>
          <w:tcPr>
            <w:tcW w:w="1100" w:type="dxa"/>
            <w:vAlign w:val="bottom"/>
          </w:tcPr>
          <w:p>
            <w:pPr>
              <w:spacing w:after="0"/>
              <w:rPr>
                <w:sz w:val="19"/>
                <w:szCs w:val="19"/>
                <w:color w:val="auto"/>
              </w:rPr>
            </w:pPr>
          </w:p>
        </w:tc>
      </w:tr>
      <w:tr>
        <w:trPr>
          <w:trHeight w:val="511"/>
        </w:trPr>
        <w:tc>
          <w:tcPr>
            <w:tcW w:w="560" w:type="dxa"/>
            <w:vAlign w:val="bottom"/>
          </w:tcPr>
          <w:p>
            <w:pPr>
              <w:spacing w:after="0"/>
              <w:rPr>
                <w:sz w:val="24"/>
                <w:szCs w:val="24"/>
                <w:color w:val="auto"/>
              </w:rPr>
            </w:pPr>
          </w:p>
        </w:tc>
        <w:tc>
          <w:tcPr>
            <w:tcW w:w="4900" w:type="dxa"/>
            <w:vAlign w:val="bottom"/>
            <w:tcBorders>
              <w:top w:val="single" w:sz="8" w:color="C0FFFF"/>
            </w:tcBorders>
          </w:tcPr>
          <w:p>
            <w:pPr>
              <w:spacing w:after="0"/>
              <w:rPr>
                <w:sz w:val="24"/>
                <w:szCs w:val="24"/>
                <w:color w:val="auto"/>
              </w:rPr>
            </w:pPr>
          </w:p>
        </w:tc>
        <w:tc>
          <w:tcPr>
            <w:tcW w:w="3420" w:type="dxa"/>
            <w:vAlign w:val="bottom"/>
            <w:tcBorders>
              <w:top w:val="single" w:sz="8" w:color="C0FFFF"/>
            </w:tcBorders>
          </w:tcPr>
          <w:p>
            <w:pPr>
              <w:jc w:val="right"/>
              <w:ind w:right="3002"/>
              <w:spacing w:after="0"/>
              <w:rPr>
                <w:sz w:val="20"/>
                <w:szCs w:val="20"/>
                <w:color w:val="auto"/>
              </w:rPr>
            </w:pPr>
            <w:r>
              <w:rPr>
                <w:rFonts w:ascii="Times New Roman" w:cs="Times New Roman" w:eastAsia="Times New Roman" w:hAnsi="Times New Roman"/>
                <w:sz w:val="16"/>
                <w:szCs w:val="16"/>
                <w:color w:val="auto"/>
              </w:rPr>
              <w:t>47</w:t>
            </w: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560" w:type="dxa"/>
            <w:vAlign w:val="bottom"/>
            <w:tcBorders>
              <w:bottom w:val="single" w:sz="8" w:color="808080"/>
            </w:tcBorders>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50" w:name="page51"/>
    <w:bookmarkEnd w:id="50"/>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On December 5, 2011, the Company acquired certain assets of West Texas Peterbilt, which consisted of dealerships in Amarillo, Lubbock and Odessa, Texas that offer Peterbilt trucks, parts, service, financing and insurance, a parts and service facility in Dalhart, Texas and a parts facility in Hereford, Texas. The final purchase price allocation includes an adjustment to goodwill of $1.7 million due to the finalization of the franchise rights valuation during the second quarter of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Assets</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total capitalized costs of the SAP enterprise software and SAP dealership management system of $40.9 million, including capitalized interest, are recorded on the Consolidated Balance Sheet in Other Assets, net of accumulated amortization of $4.1 million. The SAP software will be amortized over a period of 15 years. The Company is currently operating most of its Rush Truck Centers in Texas and all of its leasing operations on the SAP enterprise software and SAP dealership management system. The Company plans to convert all of its Rush Truck Centers to the SAP enterprise software and SAP dealership management system by the end of 2014.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Assets on the Consolidated Balance Sheet include manufacturer franchise rights of $4.5 million at December 31, 2012.</w:t>
      </w: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Amortization expense relating to intangible assets, primarily the SAP software, was $3.0 million for the year ended December 31, 2012, $1.3 million for the year ended December 31, 2011, and $0.5 million for the year ended December 31, 2010, and is recognized in depreciation and amortization expense in the Consolidated Statement of Income. The Company estimates that amortization expense relating to intangible assets will be $3.0 million for each of the next five succeeding years.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Company’s only significant identifiable intangible assets, other than goodwill, are rights under franchise agreements with manufacturers. The fair market value of the Company’s manufacturer franchise rights,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 would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 The Company does not amortize manufacturer franchise rights.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Management reviews indefinite lived manufacturer franchise rights for impairment annually during the fourth quarter, or more often if events or circumstances indicate that impairment may have occurred. The Company is subject to financial statement risk to the extent that manufacturer franchise rights become impaired due to decreases in fair market value of its individual franchises.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significant estimates and assumptions used by management in assessing the recoverability of manufacturer franchise rights are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21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No impairment write down was required in the fourth quarter of 2012. However, the Company cannot predict the occurrence of certain events that might adversely affect the reported value of manufacturer franchise rights in the future.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auto"/>
        </w:rPr>
        <w:t>Income Taxes</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determining our provision for income taxes, the Company uses an annual effective income tax rate based on annual income, permanent differences between book and tax income, and statutory income tax rates. The effective income tax rate also reflects our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21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Company’s income tax returns, like those of most companies, are periodically audited by U.S. federal, state and local tax authorities. These audits include questions regarding the Company’s tax filing positions, including the timing and amount of deductions. At any one time, multiple tax years are subject to audit by the various tax authorities. In evaluating the tax benefits associated with the Company’s various tax filing positions, it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 of Income. Unfavorable settlement of any particular issue would require use of the Company’s cash and a charge to income tax expense. Favorable resolution would be recognized as a reduction to income tax expense at the time of resolution.</w:t>
      </w:r>
    </w:p>
    <w:p>
      <w:pPr>
        <w:spacing w:after="0" w:line="3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Revenue Recognition Policies</w:t>
      </w: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Income on the sale of a vehicle is recognized when the seller and customer execute a purchase contract, delivery has occurred and there are no significant uncertainties related to financing or collectability. Finance income related to the sale of a vehicle is recognized over the period of the respective finance contract, based on the effective interest rate method, if the finance contract is retained by the Company. During 2012, 2011 and 2010, no finance contracts were retained for any significant length of time by the Company but were generally sold, with limited recourse, to certain finance companies concurrent with the sale of the related vehicle. Finance income is recognized by the Company upon the sale of such finance contracts to the finance companies, net of a provision for estimated repossession losses and early repayment penalties. Lease and rental income is recognized over the period of the related lease or rental agreement. Contingent rental income is recognized when it is earned. Parts and services revenue is earned at the time the Company sells the parts to its customers or at the time the Company completes the service work order related to service provided to the customer’s vehicle. Payments received on prepaid maintenance plans are deferred as a component of accrued expenses and recognized as income when the maintenance is performed.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Cost of Sales</w:t>
      </w: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For the Company’s new and used commercial vehicle operations and its parts operations, cost of sales consists primarily of the Company’s actual purchase price, less manufacturer’s incentives, for new and used commercial vehicles and parts. The Company is subject to a chargeback of manufacturer incentives for commercial vehicles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and amortization,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auto"/>
        </w:rPr>
        <w:t>Taxes Assessed by a Governmental Authority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accounts for sales taxes assessed by a governmental authority, that are directly imposed on a revenue-producing transaction, on a net (excluded from revenues) basis.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Selling, General and Administrative Expenses</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Selling, general and administrative expenses consist primarily of incentive based compensation for sales, finance and general management personnel, salaries for administrative personnel and expenses for rent, marketing, insurance, utilities, shipping and handling costs and other general operating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Stock Based Compensation</w:t>
      </w: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and restricted stock awards as well as employee stock purchases under the Employee Stock Purchase Plan based on estimated fair values.</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Compensation expense for all share-based payment awards is recognized using the straight-line single-option method. Stock-based compensation expense recognized is based on awards ultimately expected to vest and it has been reduced for estimated forfeitures. Forfeitures are estimated at the time of grant and revised, if necessary, in subsequent periods if actual forfeitures differ from those estimates.</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following table reflects the weighted-average fair value of stock options granted during each period using the Black-Scholes option valuation model with the following weighted-average assumptions used:</w:t>
      </w:r>
    </w:p>
    <w:p>
      <w:pPr>
        <w:spacing w:after="0" w:line="197"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5040" w:type="dxa"/>
            <w:vAlign w:val="bottom"/>
          </w:tcPr>
          <w:p>
            <w:pPr>
              <w:spacing w:after="0"/>
              <w:rPr>
                <w:sz w:val="17"/>
                <w:szCs w:val="17"/>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2012</w:t>
            </w:r>
          </w:p>
        </w:tc>
        <w:tc>
          <w:tcPr>
            <w:tcW w:w="4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rPr>
              <w:t>2011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2010</w:t>
            </w:r>
          </w:p>
        </w:tc>
        <w:tc>
          <w:tcPr>
            <w:tcW w:w="140" w:type="dxa"/>
            <w:vAlign w:val="bottom"/>
          </w:tcPr>
          <w:p>
            <w:pPr>
              <w:spacing w:after="0"/>
              <w:rPr>
                <w:sz w:val="17"/>
                <w:szCs w:val="17"/>
                <w:color w:val="auto"/>
              </w:rPr>
            </w:pPr>
          </w:p>
        </w:tc>
      </w:tr>
      <w:tr>
        <w:trPr>
          <w:trHeight w:val="187"/>
        </w:trPr>
        <w:tc>
          <w:tcPr>
            <w:tcW w:w="50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Expected stock volatility</w:t>
            </w:r>
          </w:p>
        </w:tc>
        <w:tc>
          <w:tcPr>
            <w:tcW w:w="92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53.64%</w:t>
            </w:r>
          </w:p>
        </w:tc>
        <w:tc>
          <w:tcPr>
            <w:tcW w:w="6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51.5%</w:t>
            </w:r>
          </w:p>
        </w:tc>
        <w:tc>
          <w:tcPr>
            <w:tcW w:w="300" w:type="dxa"/>
            <w:vAlign w:val="bottom"/>
            <w:shd w:val="clear" w:color="auto" w:fill="C0FFFF"/>
          </w:tcPr>
          <w:p>
            <w:pPr>
              <w:spacing w:after="0"/>
              <w:rPr>
                <w:sz w:val="16"/>
                <w:szCs w:val="16"/>
                <w:color w:val="auto"/>
              </w:rPr>
            </w:pPr>
          </w:p>
        </w:tc>
        <w:tc>
          <w:tcPr>
            <w:tcW w:w="118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r>
      <w:tr>
        <w:trPr>
          <w:trHeight w:val="187"/>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stock volatility</w:t>
            </w:r>
          </w:p>
        </w:tc>
        <w:tc>
          <w:tcPr>
            <w:tcW w:w="9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53.64%</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51.5%</w:t>
            </w:r>
          </w:p>
        </w:tc>
        <w:tc>
          <w:tcPr>
            <w:tcW w:w="3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r>
      <w:tr>
        <w:trPr>
          <w:trHeight w:val="187"/>
        </w:trPr>
        <w:tc>
          <w:tcPr>
            <w:tcW w:w="50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Expected dividend yield</w:t>
            </w:r>
          </w:p>
        </w:tc>
        <w:tc>
          <w:tcPr>
            <w:tcW w:w="920" w:type="dxa"/>
            <w:vAlign w:val="bottom"/>
            <w:shd w:val="clear" w:color="auto" w:fill="C0FFFF"/>
          </w:tcPr>
          <w:p>
            <w:pPr>
              <w:spacing w:after="0"/>
              <w:rPr>
                <w:sz w:val="16"/>
                <w:szCs w:val="16"/>
                <w:color w:val="auto"/>
              </w:rPr>
            </w:pPr>
          </w:p>
        </w:tc>
        <w:tc>
          <w:tcPr>
            <w:tcW w:w="6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6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300" w:type="dxa"/>
            <w:vAlign w:val="bottom"/>
            <w:shd w:val="clear" w:color="auto" w:fill="C0FFFF"/>
          </w:tcPr>
          <w:p>
            <w:pPr>
              <w:spacing w:after="0"/>
              <w:rPr>
                <w:sz w:val="16"/>
                <w:szCs w:val="16"/>
                <w:color w:val="auto"/>
              </w:rPr>
            </w:pPr>
          </w:p>
        </w:tc>
        <w:tc>
          <w:tcPr>
            <w:tcW w:w="118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187"/>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Risk-free interest rate</w:t>
            </w:r>
          </w:p>
        </w:tc>
        <w:tc>
          <w:tcPr>
            <w:tcW w:w="9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2.39%</w:t>
            </w:r>
          </w:p>
        </w:tc>
      </w:tr>
      <w:tr>
        <w:trPr>
          <w:trHeight w:val="187"/>
        </w:trPr>
        <w:tc>
          <w:tcPr>
            <w:tcW w:w="50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Expected life (years)</w:t>
            </w:r>
          </w:p>
        </w:tc>
        <w:tc>
          <w:tcPr>
            <w:tcW w:w="920" w:type="dxa"/>
            <w:vAlign w:val="bottom"/>
            <w:shd w:val="clear" w:color="auto" w:fill="C0FFFF"/>
          </w:tcPr>
          <w:p>
            <w:pPr>
              <w:spacing w:after="0"/>
              <w:rPr>
                <w:sz w:val="16"/>
                <w:szCs w:val="16"/>
                <w:color w:val="auto"/>
              </w:rPr>
            </w:pPr>
          </w:p>
        </w:tc>
        <w:tc>
          <w:tcPr>
            <w:tcW w:w="4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18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fair value of stock options granted</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80" w:type="dxa"/>
            <w:vAlign w:val="bottom"/>
          </w:tcPr>
          <w:p>
            <w:pPr>
              <w:spacing w:after="0"/>
              <w:rPr>
                <w:sz w:val="17"/>
                <w:szCs w:val="17"/>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8.68</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5.80</w:t>
            </w:r>
          </w:p>
        </w:tc>
      </w:tr>
    </w:tbl>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auto"/>
        </w:rPr>
        <w:t>Advertising Costs</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Advertising costs are expensed as incurred. Advertising and marketing expense was $4.4 million for 2012, $3.7 million for 2011 and $2.9 million for 2010. Advertising and marketing expense is included in selling, general and administrative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Accounting for Internal Use Software</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$40.9 million at December 31, 2012, net of accumulated amortization of $4.1 million, and $41.9 million, net of accumulated amortization of $1.2 million at December 31, 2011.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Insurance</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Derivative Instruments and Hedging Activities</w:t>
      </w:r>
    </w:p>
    <w:p>
      <w:pPr>
        <w:spacing w:after="0" w:line="23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207"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14"/>
          <w:szCs w:val="14"/>
          <w:color w:val="auto"/>
        </w:rPr>
        <w:t>At December 31, 2012, the Company had an aggregate $41.7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Fair Value Measurements</w:t>
      </w: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has various financial instruments that it must measure at fair value on a recurring basis, including certain available for sale securities and derivatives.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 inputs are unadjusted quoted prices in active markets for identical assets or liabilities that the Company has the ability to access at the measurement date.</w:t>
      </w: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54" w:name="page55"/>
    <w:bookmarkEnd w:id="54"/>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3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New Accounting Pronouncements</w:t>
      </w:r>
    </w:p>
    <w:p>
      <w:pPr>
        <w:spacing w:after="0" w:line="236"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In June 2011, the Financial Accounting Standards Board (“FASB”) issued an amendment to the existing guidance on the presentation of comprehensive income. Under the amended guidance, entities have the option to present the components of net income and other comprehensive income in either a single continuous statement of comprehensive income or in two separate but consecutive statements. Entities no longer have the option of presenting the components of other comprehensive income within the statement of changes in stockholders’ equity. This amendment was effective on a retrospective basis for fiscal years, and interim periods within those years, beginning after December 15, 2011, which was the first quarter of 2012 for the Company. The adoption of this amendment resulted in a change to the Company’s current presentation of comprehensive income, but did not have any impact on the Company’s consolidated financial statements and related disclosures.</w:t>
      </w:r>
    </w:p>
    <w:p>
      <w:pPr>
        <w:spacing w:after="0" w:line="212"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The FASB amended existing guidance by requiring that additional information be disclosed about items reclassified ("reclassification adjustments") out of accumulated other comprehensive income. The additional information includes separately stating the total change for each component of other comprehensive and separately disclosing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This accounting standard will be effective for interim and annual periods beginning after December 15, 2012. The Company does not believe the adoption of this update will have a material impact on its financial statements.</w:t>
      </w:r>
    </w:p>
    <w:p>
      <w:pPr>
        <w:spacing w:after="0" w:line="214" w:lineRule="exact"/>
        <w:rPr>
          <w:sz w:val="20"/>
          <w:szCs w:val="20"/>
          <w:color w:val="auto"/>
        </w:rPr>
      </w:pPr>
    </w:p>
    <w:p>
      <w:pPr>
        <w:ind w:left="7" w:right="7380" w:hanging="7"/>
        <w:spacing w:after="0" w:line="625" w:lineRule="auto"/>
        <w:tabs>
          <w:tab w:leader="none" w:pos="70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SUPPLIER AND CUSTOMER CONCENTRATION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Major Suppliers and Dealership Agreements</w:t>
      </w:r>
    </w:p>
    <w:p>
      <w:pPr>
        <w:spacing w:after="0" w:line="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The Company has entered into dealership agreements with various manufacturers of vehicles (“Manufacturers”). These agreements are nonexclusive agreements that allow the Company to stock, sell at retail and service commercial vehicles and products of the Manufacturers in the Company’s defined market. The agreements allow the Company to use the Manufacturers’ names, trade symbols and intellectual property and expire as follows:</w:t>
      </w:r>
    </w:p>
    <w:p>
      <w:pPr>
        <w:spacing w:after="0" w:line="207" w:lineRule="exact"/>
        <w:rPr>
          <w:sz w:val="20"/>
          <w:szCs w:val="20"/>
          <w:color w:val="auto"/>
        </w:rPr>
      </w:pPr>
    </w:p>
    <w:tbl>
      <w:tblPr>
        <w:tblLayout w:type="fixed"/>
        <w:tblInd w:w="1267" w:type="dxa"/>
        <w:tblCellMar>
          <w:top w:w="0" w:type="dxa"/>
          <w:left w:w="0" w:type="dxa"/>
          <w:bottom w:w="0" w:type="dxa"/>
          <w:right w:w="0" w:type="dxa"/>
        </w:tblCellMar>
      </w:tblPr>
      <w:tr>
        <w:trPr>
          <w:trHeight w:val="207"/>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Manufacturer</w:t>
            </w:r>
          </w:p>
        </w:tc>
        <w:tc>
          <w:tcPr>
            <w:tcW w:w="280" w:type="dxa"/>
            <w:vAlign w:val="bottom"/>
          </w:tcPr>
          <w:p>
            <w:pPr>
              <w:spacing w:after="0"/>
              <w:rPr>
                <w:sz w:val="17"/>
                <w:szCs w:val="17"/>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Expiration Dates</w:t>
            </w:r>
          </w:p>
        </w:tc>
      </w:tr>
      <w:tr>
        <w:trPr>
          <w:trHeight w:val="187"/>
        </w:trPr>
        <w:tc>
          <w:tcPr>
            <w:tcW w:w="35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5"/>
              </w:rPr>
              <w:t>Peterbilt</w:t>
            </w:r>
          </w:p>
        </w:tc>
        <w:tc>
          <w:tcPr>
            <w:tcW w:w="280" w:type="dxa"/>
            <w:vAlign w:val="bottom"/>
            <w:shd w:val="clear" w:color="auto" w:fill="C0FFFF"/>
          </w:tcPr>
          <w:p>
            <w:pPr>
              <w:spacing w:after="0"/>
              <w:rPr>
                <w:sz w:val="16"/>
                <w:szCs w:val="16"/>
                <w:color w:val="auto"/>
              </w:rPr>
            </w:pPr>
          </w:p>
        </w:tc>
        <w:tc>
          <w:tcPr>
            <w:tcW w:w="4320" w:type="dxa"/>
            <w:vAlign w:val="bottom"/>
            <w:shd w:val="clear" w:color="auto" w:fill="C0FFFF"/>
          </w:tcPr>
          <w:p>
            <w:pPr>
              <w:ind w:left="960"/>
              <w:spacing w:after="0"/>
              <w:rPr>
                <w:sz w:val="20"/>
                <w:szCs w:val="20"/>
                <w:color w:val="auto"/>
              </w:rPr>
            </w:pPr>
            <w:r>
              <w:rPr>
                <w:rFonts w:ascii="Times New Roman" w:cs="Times New Roman" w:eastAsia="Times New Roman" w:hAnsi="Times New Roman"/>
                <w:sz w:val="16"/>
                <w:szCs w:val="16"/>
                <w:color w:val="auto"/>
              </w:rPr>
              <w:t>March 2013 through August 2015</w:t>
            </w:r>
          </w:p>
        </w:tc>
      </w:tr>
      <w:tr>
        <w:trPr>
          <w:trHeight w:val="18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International</w:t>
            </w:r>
          </w:p>
        </w:tc>
        <w:tc>
          <w:tcPr>
            <w:tcW w:w="28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May 2015 through May 2018</w:t>
            </w:r>
          </w:p>
        </w:tc>
      </w:tr>
      <w:tr>
        <w:trPr>
          <w:trHeight w:val="187"/>
        </w:trPr>
        <w:tc>
          <w:tcPr>
            <w:tcW w:w="35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7"/>
              </w:rPr>
              <w:t>Isuzu</w:t>
            </w:r>
          </w:p>
        </w:tc>
        <w:tc>
          <w:tcPr>
            <w:tcW w:w="280" w:type="dxa"/>
            <w:vAlign w:val="bottom"/>
            <w:shd w:val="clear" w:color="auto" w:fill="C0FFFF"/>
          </w:tcPr>
          <w:p>
            <w:pPr>
              <w:spacing w:after="0"/>
              <w:rPr>
                <w:sz w:val="16"/>
                <w:szCs w:val="16"/>
                <w:color w:val="auto"/>
              </w:rPr>
            </w:pPr>
          </w:p>
        </w:tc>
        <w:tc>
          <w:tcPr>
            <w:tcW w:w="43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Indefinite</w:t>
            </w:r>
          </w:p>
        </w:tc>
      </w:tr>
      <w:tr>
        <w:trPr>
          <w:trHeight w:val="18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Hino</w:t>
            </w:r>
          </w:p>
        </w:tc>
        <w:tc>
          <w:tcPr>
            <w:tcW w:w="28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Indefinite</w:t>
            </w:r>
          </w:p>
        </w:tc>
      </w:tr>
      <w:tr>
        <w:trPr>
          <w:trHeight w:val="187"/>
        </w:trPr>
        <w:tc>
          <w:tcPr>
            <w:tcW w:w="35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9"/>
              </w:rPr>
              <w:t>Ford</w:t>
            </w:r>
          </w:p>
        </w:tc>
        <w:tc>
          <w:tcPr>
            <w:tcW w:w="280" w:type="dxa"/>
            <w:vAlign w:val="bottom"/>
            <w:shd w:val="clear" w:color="auto" w:fill="C0FFFF"/>
          </w:tcPr>
          <w:p>
            <w:pPr>
              <w:spacing w:after="0"/>
              <w:rPr>
                <w:sz w:val="16"/>
                <w:szCs w:val="16"/>
                <w:color w:val="auto"/>
              </w:rPr>
            </w:pPr>
          </w:p>
        </w:tc>
        <w:tc>
          <w:tcPr>
            <w:tcW w:w="43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Indefinite</w:t>
            </w:r>
          </w:p>
        </w:tc>
      </w:tr>
      <w:tr>
        <w:trPr>
          <w:trHeight w:val="18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Blue Bird</w:t>
            </w:r>
          </w:p>
        </w:tc>
        <w:tc>
          <w:tcPr>
            <w:tcW w:w="28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August 2013</w:t>
            </w:r>
          </w:p>
        </w:tc>
      </w:tr>
      <w:tr>
        <w:trPr>
          <w:trHeight w:val="187"/>
        </w:trPr>
        <w:tc>
          <w:tcPr>
            <w:tcW w:w="354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7"/>
              </w:rPr>
              <w:t>IC Bus</w:t>
            </w:r>
          </w:p>
        </w:tc>
        <w:tc>
          <w:tcPr>
            <w:tcW w:w="280" w:type="dxa"/>
            <w:vAlign w:val="bottom"/>
            <w:shd w:val="clear" w:color="auto" w:fill="C0FFFF"/>
          </w:tcPr>
          <w:p>
            <w:pPr>
              <w:spacing w:after="0"/>
              <w:rPr>
                <w:sz w:val="16"/>
                <w:szCs w:val="16"/>
                <w:color w:val="auto"/>
              </w:rPr>
            </w:pPr>
          </w:p>
        </w:tc>
        <w:tc>
          <w:tcPr>
            <w:tcW w:w="4320" w:type="dxa"/>
            <w:vAlign w:val="bottom"/>
            <w:shd w:val="clear" w:color="auto" w:fill="C0FFFF"/>
          </w:tcPr>
          <w:p>
            <w:pPr>
              <w:jc w:val="center"/>
              <w:spacing w:after="0"/>
              <w:rPr>
                <w:sz w:val="20"/>
                <w:szCs w:val="20"/>
                <w:color w:val="auto"/>
              </w:rPr>
            </w:pPr>
            <w:r>
              <w:rPr>
                <w:rFonts w:ascii="Times New Roman" w:cs="Times New Roman" w:eastAsia="Times New Roman" w:hAnsi="Times New Roman"/>
                <w:sz w:val="16"/>
                <w:szCs w:val="16"/>
                <w:color w:val="auto"/>
                <w:w w:val="96"/>
              </w:rPr>
              <w:t>May 2015 through December 2017</w:t>
            </w:r>
          </w:p>
        </w:tc>
      </w:tr>
    </w:tbl>
    <w:p>
      <w:pPr>
        <w:spacing w:after="0" w:line="217"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207"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The Company purchases its new Peterbilt vehicles from Peterbilt and most of its parts from PACCAR, Inc., the parent company of Peterbilt, at prevailing prices charged to all franchised dealers. Sales of new Peterbilt trucks accounted for approximately 75.1% of the Company’s new vehicle sales for the year ended December 31, 2012, and 74.1% of the Company’s new vehicle sales for the year ended December 31, 2011.</w:t>
      </w:r>
    </w:p>
    <w:p>
      <w:pPr>
        <w:spacing w:after="0" w:line="3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7075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485" w:right="2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auto"/>
        </w:rPr>
        <w:t>Primary Lenders</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purchases its new and used commercial vehicle inventories with the assistance of floor plan financing programs. The Company’s floor plan financing agreements provide that the occurrence of certain events will be considered events of default. There were no known events of default as of December 31, 2012.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21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also acquires lease and rental vehicles with the assistance of financing agreements with PACCAR Leasing Company and Bank of America. The financing agreements are secured by a lien on the lease and rental vehicle. The terms of the financing agreements are similar to the corresponding lease agreements with the customers.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Company’s long-term real estate debt agreements and floor plan financing arrangements require the Company to satisfy various financial ratios such as the debt to worth ratio, leverage ratio, the fixed charge coverage ratio and certain requirements for tangible net worth and GAAP net worth. At December 31, 2012, the Company was in compliance with all debt covenants. The Company does not anticipate any breach of the covenants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Concentrations of Credit Risks</w:t>
      </w: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As of December 31, 2012, the Company did not have any deposits in excess of federal insurance protection.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commercial vehicle markets and related aftermarkets.</w:t>
      </w:r>
    </w:p>
    <w:p>
      <w:pPr>
        <w:spacing w:after="0" w:line="20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generally sells finance contracts it enters into with customers to finance the purchase of commercial vehicles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losses inherent in these receivables.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4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Company’s accounts receivable, net, consisted of the following (in thousands):</w:t>
            </w: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18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Trade accounts receivable from sale of vehicles</w:t>
            </w:r>
          </w:p>
        </w:tc>
        <w:tc>
          <w:tcPr>
            <w:tcW w:w="2860" w:type="dxa"/>
            <w:vAlign w:val="bottom"/>
            <w:gridSpan w:val="2"/>
            <w:shd w:val="clear" w:color="auto" w:fill="C0FFFF"/>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w w:val="99"/>
              </w:rPr>
              <w:t>40,840</w:t>
            </w:r>
          </w:p>
        </w:tc>
        <w:tc>
          <w:tcPr>
            <w:tcW w:w="500" w:type="dxa"/>
            <w:vAlign w:val="bottom"/>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58,741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 receivables other than vehicles</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18,893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18,057</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Warranty claims</w:t>
            </w:r>
          </w:p>
        </w:tc>
        <w:tc>
          <w:tcPr>
            <w:tcW w:w="198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5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8,762</w:t>
            </w:r>
          </w:p>
        </w:tc>
        <w:tc>
          <w:tcPr>
            <w:tcW w:w="80" w:type="dxa"/>
            <w:vAlign w:val="bottom"/>
            <w:shd w:val="clear" w:color="auto" w:fill="C0FFFF"/>
          </w:tcPr>
          <w:p>
            <w:pPr>
              <w:spacing w:after="0"/>
              <w:rPr>
                <w:sz w:val="16"/>
                <w:szCs w:val="16"/>
                <w:color w:val="auto"/>
              </w:rPr>
            </w:pPr>
          </w:p>
        </w:tc>
        <w:tc>
          <w:tcPr>
            <w:tcW w:w="42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7,079</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accounts receivable</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22,104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15,243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Less allowance for bad debt and warranty receivable</w:t>
            </w:r>
          </w:p>
        </w:tc>
        <w:tc>
          <w:tcPr>
            <w:tcW w:w="198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58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shd w:val="clear" w:color="auto" w:fill="C0FFFF"/>
          </w:tcPr>
          <w:p>
            <w:pPr>
              <w:spacing w:after="0"/>
              <w:rPr>
                <w:sz w:val="16"/>
                <w:szCs w:val="16"/>
                <w:color w:val="auto"/>
              </w:rPr>
            </w:pPr>
          </w:p>
        </w:tc>
        <w:tc>
          <w:tcPr>
            <w:tcW w:w="42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(960)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1800" w:type="dxa"/>
            <w:vAlign w:val="bottom"/>
            <w:tcBorders>
              <w:top w:val="single" w:sz="8" w:color="C0FFFF"/>
            </w:tcBorders>
          </w:tcPr>
          <w:p>
            <w:pPr>
              <w:spacing w:after="0"/>
              <w:rPr>
                <w:sz w:val="16"/>
                <w:szCs w:val="16"/>
                <w:color w:val="auto"/>
              </w:rPr>
            </w:pPr>
          </w:p>
        </w:tc>
        <w:tc>
          <w:tcPr>
            <w:tcW w:w="2880" w:type="dxa"/>
            <w:vAlign w:val="bottom"/>
            <w:tcBorders>
              <w:top w:val="single" w:sz="8" w:color="C0FFFF"/>
            </w:tcBorders>
          </w:tcPr>
          <w:p>
            <w:pPr>
              <w:spacing w:after="0"/>
              <w:rPr>
                <w:sz w:val="16"/>
                <w:szCs w:val="16"/>
                <w:color w:val="auto"/>
              </w:rPr>
            </w:pPr>
          </w:p>
        </w:tc>
        <w:tc>
          <w:tcPr>
            <w:tcW w:w="1980" w:type="dxa"/>
            <w:vAlign w:val="bottom"/>
            <w:tcBorders>
              <w:top w:val="single" w:sz="8" w:color="C0FF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68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w:t>
            </w:r>
          </w:p>
        </w:tc>
        <w:tc>
          <w:tcPr>
            <w:tcW w:w="2860" w:type="dxa"/>
            <w:vAlign w:val="bottom"/>
            <w:gridSpan w:val="2"/>
            <w:shd w:val="clear" w:color="auto" w:fill="C0FFFF"/>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w w:val="99"/>
              </w:rPr>
              <w:t>89,615</w:t>
            </w:r>
          </w:p>
        </w:tc>
        <w:tc>
          <w:tcPr>
            <w:tcW w:w="500" w:type="dxa"/>
            <w:vAlign w:val="bottom"/>
            <w:gridSpan w:val="2"/>
            <w:shd w:val="clear" w:color="auto" w:fill="C0FF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98,160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top w:val="single" w:sz="8" w:color="C0FFFF"/>
            </w:tcBorders>
          </w:tcPr>
          <w:p>
            <w:pPr>
              <w:spacing w:after="0"/>
              <w:rPr>
                <w:sz w:val="24"/>
                <w:szCs w:val="24"/>
                <w:color w:val="auto"/>
              </w:rPr>
            </w:pPr>
          </w:p>
        </w:tc>
        <w:tc>
          <w:tcPr>
            <w:tcW w:w="2880" w:type="dxa"/>
            <w:vAlign w:val="bottom"/>
            <w:tcBorders>
              <w:top w:val="single" w:sz="8" w:color="C0FFFF"/>
            </w:tcBorders>
          </w:tcPr>
          <w:p>
            <w:pPr>
              <w:spacing w:after="0"/>
              <w:rPr>
                <w:sz w:val="24"/>
                <w:szCs w:val="24"/>
                <w:color w:val="auto"/>
              </w:rPr>
            </w:pPr>
          </w:p>
        </w:tc>
        <w:tc>
          <w:tcPr>
            <w:tcW w:w="1980" w:type="dxa"/>
            <w:vAlign w:val="bottom"/>
            <w:tcBorders>
              <w:top w:val="single" w:sz="8" w:color="C0FFFF"/>
            </w:tcBorders>
          </w:tcPr>
          <w:p>
            <w:pPr>
              <w:jc w:val="right"/>
              <w:ind w:right="1502"/>
              <w:spacing w:after="0"/>
              <w:rPr>
                <w:sz w:val="20"/>
                <w:szCs w:val="20"/>
                <w:color w:val="auto"/>
              </w:rPr>
            </w:pPr>
            <w:r>
              <w:rPr>
                <w:rFonts w:ascii="Times New Roman" w:cs="Times New Roman" w:eastAsia="Times New Roman" w:hAnsi="Times New Roman"/>
                <w:sz w:val="16"/>
                <w:szCs w:val="16"/>
                <w:color w:val="auto"/>
              </w:rPr>
              <w:t>53</w:t>
            </w: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56" w:name="page57"/>
    <w:bookmarkEnd w:id="56"/>
    <w:tbl>
      <w:tblPr>
        <w:tblLayout w:type="fixed"/>
        <w:tblInd w:w="7"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0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4"/>
        </w:trPr>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Company’s inventories consisted of the following (in thousands):</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2011</w:t>
            </w:r>
          </w:p>
        </w:tc>
        <w:tc>
          <w:tcPr>
            <w:tcW w:w="8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53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New commercial vehicles</w:t>
            </w:r>
          </w:p>
        </w:tc>
        <w:tc>
          <w:tcPr>
            <w:tcW w:w="2340" w:type="dxa"/>
            <w:vAlign w:val="bottom"/>
            <w:gridSpan w:val="2"/>
            <w:shd w:val="clear" w:color="auto" w:fill="C0FFFF"/>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w w:val="99"/>
              </w:rPr>
              <w:t>494,496</w:t>
            </w:r>
          </w:p>
        </w:tc>
        <w:tc>
          <w:tcPr>
            <w:tcW w:w="440" w:type="dxa"/>
            <w:vAlign w:val="bottom"/>
            <w:shd w:val="clear" w:color="auto" w:fill="C0FF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488,397</w:t>
            </w:r>
          </w:p>
        </w:tc>
        <w:tc>
          <w:tcPr>
            <w:tcW w:w="80" w:type="dxa"/>
            <w:vAlign w:val="bottom"/>
            <w:shd w:val="clear" w:color="auto" w:fill="C0FFFF"/>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Used commercial vehicles</w:t>
            </w: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53,630</w:t>
            </w:r>
          </w:p>
        </w:tc>
        <w:tc>
          <w:tcPr>
            <w:tcW w:w="4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48,430</w:t>
            </w:r>
          </w:p>
        </w:tc>
      </w:tr>
      <w:tr>
        <w:trPr>
          <w:trHeight w:val="187"/>
        </w:trPr>
        <w:tc>
          <w:tcPr>
            <w:tcW w:w="420" w:type="dxa"/>
            <w:vAlign w:val="bottom"/>
          </w:tcPr>
          <w:p>
            <w:pPr>
              <w:spacing w:after="0"/>
              <w:rPr>
                <w:sz w:val="16"/>
                <w:szCs w:val="16"/>
                <w:color w:val="auto"/>
              </w:rPr>
            </w:pPr>
          </w:p>
        </w:tc>
        <w:tc>
          <w:tcPr>
            <w:tcW w:w="53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Parts and accessories</w:t>
            </w:r>
          </w:p>
        </w:tc>
        <w:tc>
          <w:tcPr>
            <w:tcW w:w="148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7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141,936</w:t>
            </w:r>
          </w:p>
        </w:tc>
        <w:tc>
          <w:tcPr>
            <w:tcW w:w="440" w:type="dxa"/>
            <w:vAlign w:val="bottom"/>
            <w:shd w:val="clear" w:color="auto" w:fill="C0FFFF"/>
          </w:tcPr>
          <w:p>
            <w:pPr>
              <w:spacing w:after="0"/>
              <w:rPr>
                <w:sz w:val="16"/>
                <w:szCs w:val="16"/>
                <w:color w:val="auto"/>
              </w:rPr>
            </w:pPr>
          </w:p>
        </w:tc>
        <w:tc>
          <w:tcPr>
            <w:tcW w:w="9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107,745</w:t>
            </w:r>
          </w:p>
        </w:tc>
        <w:tc>
          <w:tcPr>
            <w:tcW w:w="80" w:type="dxa"/>
            <w:vAlign w:val="bottom"/>
            <w:shd w:val="clear" w:color="auto" w:fill="C0FFFF"/>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w:t>
            </w: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11,073</w:t>
            </w:r>
          </w:p>
        </w:tc>
        <w:tc>
          <w:tcPr>
            <w:tcW w:w="4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10,084</w:t>
            </w:r>
          </w:p>
        </w:tc>
      </w:tr>
      <w:tr>
        <w:trPr>
          <w:trHeight w:val="190"/>
        </w:trPr>
        <w:tc>
          <w:tcPr>
            <w:tcW w:w="420" w:type="dxa"/>
            <w:vAlign w:val="bottom"/>
          </w:tcPr>
          <w:p>
            <w:pPr>
              <w:spacing w:after="0"/>
              <w:rPr>
                <w:sz w:val="16"/>
                <w:szCs w:val="16"/>
                <w:color w:val="auto"/>
              </w:rPr>
            </w:pPr>
          </w:p>
        </w:tc>
        <w:tc>
          <w:tcPr>
            <w:tcW w:w="53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Less allowance</w:t>
            </w:r>
          </w:p>
        </w:tc>
        <w:tc>
          <w:tcPr>
            <w:tcW w:w="148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72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(10,182)</w:t>
            </w:r>
          </w:p>
        </w:tc>
        <w:tc>
          <w:tcPr>
            <w:tcW w:w="4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(5,030)</w:t>
            </w:r>
          </w:p>
        </w:tc>
      </w:tr>
      <w:tr>
        <w:trPr>
          <w:trHeight w:val="187"/>
        </w:trPr>
        <w:tc>
          <w:tcPr>
            <w:tcW w:w="420" w:type="dxa"/>
            <w:vAlign w:val="bottom"/>
          </w:tcPr>
          <w:p>
            <w:pPr>
              <w:spacing w:after="0"/>
              <w:rPr>
                <w:sz w:val="16"/>
                <w:szCs w:val="16"/>
                <w:color w:val="auto"/>
              </w:rPr>
            </w:pPr>
          </w:p>
        </w:tc>
        <w:tc>
          <w:tcPr>
            <w:tcW w:w="280" w:type="dxa"/>
            <w:vAlign w:val="bottom"/>
            <w:tcBorders>
              <w:top w:val="single" w:sz="8" w:color="C0FFFF"/>
            </w:tcBorders>
          </w:tcPr>
          <w:p>
            <w:pPr>
              <w:spacing w:after="0"/>
              <w:rPr>
                <w:sz w:val="16"/>
                <w:szCs w:val="16"/>
                <w:color w:val="auto"/>
              </w:rPr>
            </w:pPr>
          </w:p>
        </w:tc>
        <w:tc>
          <w:tcPr>
            <w:tcW w:w="1020" w:type="dxa"/>
            <w:vAlign w:val="bottom"/>
            <w:tcBorders>
              <w:top w:val="single" w:sz="8" w:color="C0FFFF"/>
            </w:tcBorders>
          </w:tcPr>
          <w:p>
            <w:pPr>
              <w:spacing w:after="0"/>
              <w:rPr>
                <w:sz w:val="16"/>
                <w:szCs w:val="16"/>
                <w:color w:val="auto"/>
              </w:rPr>
            </w:pPr>
          </w:p>
        </w:tc>
        <w:tc>
          <w:tcPr>
            <w:tcW w:w="4080" w:type="dxa"/>
            <w:vAlign w:val="bottom"/>
            <w:tcBorders>
              <w:top w:val="single" w:sz="8" w:color="C0FFFF"/>
            </w:tcBorders>
          </w:tcPr>
          <w:p>
            <w:pPr>
              <w:spacing w:after="0"/>
              <w:rPr>
                <w:sz w:val="16"/>
                <w:szCs w:val="16"/>
                <w:color w:val="auto"/>
              </w:rPr>
            </w:pPr>
          </w:p>
        </w:tc>
        <w:tc>
          <w:tcPr>
            <w:tcW w:w="1480" w:type="dxa"/>
            <w:vAlign w:val="bottom"/>
            <w:tcBorders>
              <w:top w:val="single" w:sz="8" w:color="C0FF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r>
      <w:tr>
        <w:trPr>
          <w:trHeight w:val="207"/>
        </w:trPr>
        <w:tc>
          <w:tcPr>
            <w:tcW w:w="420" w:type="dxa"/>
            <w:vAlign w:val="bottom"/>
          </w:tcPr>
          <w:p>
            <w:pPr>
              <w:spacing w:after="0"/>
              <w:rPr>
                <w:sz w:val="17"/>
                <w:szCs w:val="17"/>
                <w:color w:val="auto"/>
              </w:rPr>
            </w:pPr>
          </w:p>
        </w:tc>
        <w:tc>
          <w:tcPr>
            <w:tcW w:w="538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w:t>
            </w:r>
          </w:p>
        </w:tc>
        <w:tc>
          <w:tcPr>
            <w:tcW w:w="2340" w:type="dxa"/>
            <w:vAlign w:val="bottom"/>
            <w:gridSpan w:val="2"/>
            <w:shd w:val="clear" w:color="auto" w:fill="C0FFFF"/>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w w:val="99"/>
              </w:rPr>
              <w:t>690,953</w:t>
            </w:r>
          </w:p>
        </w:tc>
        <w:tc>
          <w:tcPr>
            <w:tcW w:w="440" w:type="dxa"/>
            <w:vAlign w:val="bottom"/>
            <w:shd w:val="clear" w:color="auto" w:fill="C0FF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649,626</w:t>
            </w:r>
          </w:p>
        </w:tc>
        <w:tc>
          <w:tcPr>
            <w:tcW w:w="80" w:type="dxa"/>
            <w:vAlign w:val="bottom"/>
            <w:shd w:val="clear" w:color="auto" w:fill="C0FFFF"/>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80" w:type="dxa"/>
            <w:vAlign w:val="bottom"/>
            <w:tcBorders>
              <w:top w:val="single" w:sz="8" w:color="C0FFFF"/>
            </w:tcBorders>
            <w:shd w:val="clear" w:color="auto" w:fill="C0FFFF"/>
          </w:tcPr>
          <w:p>
            <w:pPr>
              <w:spacing w:after="0" w:line="20" w:lineRule="exact"/>
              <w:rPr>
                <w:sz w:val="1"/>
                <w:szCs w:val="1"/>
                <w:color w:val="auto"/>
              </w:rPr>
            </w:pPr>
          </w:p>
        </w:tc>
        <w:tc>
          <w:tcPr>
            <w:tcW w:w="1020" w:type="dxa"/>
            <w:vAlign w:val="bottom"/>
            <w:tcBorders>
              <w:top w:val="single" w:sz="8" w:color="C0FFFF"/>
            </w:tcBorders>
            <w:shd w:val="clear" w:color="auto" w:fill="C0FFFF"/>
          </w:tcPr>
          <w:p>
            <w:pPr>
              <w:spacing w:after="0" w:line="20" w:lineRule="exact"/>
              <w:rPr>
                <w:sz w:val="1"/>
                <w:szCs w:val="1"/>
                <w:color w:val="auto"/>
              </w:rPr>
            </w:pPr>
          </w:p>
        </w:tc>
        <w:tc>
          <w:tcPr>
            <w:tcW w:w="408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17" w:lineRule="exact"/>
        <w:rPr>
          <w:sz w:val="20"/>
          <w:szCs w:val="20"/>
          <w:color w:val="auto"/>
        </w:rPr>
      </w:pPr>
    </w:p>
    <w:p>
      <w:pPr>
        <w:ind w:left="707" w:hanging="707"/>
        <w:spacing w:after="0"/>
        <w:tabs>
          <w:tab w:leader="none" w:pos="70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VALUATION ACCOUNTS:</w:t>
      </w: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Valuation and allowance accounts include the following (in thousands):</w:t>
      </w:r>
    </w:p>
    <w:p>
      <w:pPr>
        <w:spacing w:after="0" w:line="236" w:lineRule="exact"/>
        <w:rPr>
          <w:sz w:val="20"/>
          <w:szCs w:val="20"/>
          <w:color w:val="auto"/>
        </w:rPr>
      </w:pPr>
    </w:p>
    <w:tbl>
      <w:tblPr>
        <w:tblLayout w:type="fixed"/>
        <w:tblInd w:w="147"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5"/>
              </w:rPr>
              <w:t>Net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6"/>
              </w:rPr>
              <w:t>Balance</w:t>
            </w:r>
          </w:p>
        </w:tc>
        <w:tc>
          <w:tcPr>
            <w:tcW w:w="260" w:type="dxa"/>
            <w:vAlign w:val="bottom"/>
          </w:tcPr>
          <w:p>
            <w:pPr>
              <w:spacing w:after="0"/>
              <w:rPr>
                <w:sz w:val="16"/>
                <w:szCs w:val="16"/>
                <w:color w:val="auto"/>
              </w:rPr>
            </w:pPr>
          </w:p>
        </w:tc>
        <w:tc>
          <w:tcPr>
            <w:tcW w:w="11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Charged to</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Balance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8"/>
              </w:rPr>
              <w:t>Beginning</w:t>
            </w:r>
          </w:p>
        </w:tc>
        <w:tc>
          <w:tcPr>
            <w:tcW w:w="260" w:type="dxa"/>
            <w:vAlign w:val="bottom"/>
          </w:tcPr>
          <w:p>
            <w:pPr>
              <w:spacing w:after="0"/>
              <w:rPr>
                <w:sz w:val="16"/>
                <w:szCs w:val="16"/>
                <w:color w:val="auto"/>
              </w:rPr>
            </w:pPr>
          </w:p>
        </w:tc>
        <w:tc>
          <w:tcPr>
            <w:tcW w:w="114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5"/>
              </w:rPr>
              <w:t>Costs and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Net Write-</w:t>
            </w:r>
          </w:p>
        </w:tc>
        <w:tc>
          <w:tcPr>
            <w:tcW w:w="280" w:type="dxa"/>
            <w:vAlign w:val="bottom"/>
          </w:tcPr>
          <w:p>
            <w:pPr>
              <w:spacing w:after="0"/>
              <w:rPr>
                <w:sz w:val="16"/>
                <w:szCs w:val="16"/>
                <w:color w:val="auto"/>
              </w:rPr>
            </w:pPr>
          </w:p>
        </w:tc>
        <w:tc>
          <w:tcPr>
            <w:tcW w:w="10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rPr>
              <w:t>End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4"/>
              </w:rPr>
              <w:t>of Year</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color w:val="auto"/>
                <w:w w:val="95"/>
              </w:rPr>
              <w:t>Expenses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Acquisitions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rPr>
              <w:t>Offs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4"/>
              </w:rPr>
              <w:t>of Year</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2012</w:t>
            </w:r>
          </w:p>
        </w:tc>
        <w:tc>
          <w:tcPr>
            <w:tcW w:w="70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Reserve for accounts receivable</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480</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922</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(862)</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Reserve for warranty receivable</w:t>
            </w:r>
          </w:p>
        </w:tc>
        <w:tc>
          <w:tcPr>
            <w:tcW w:w="700" w:type="dxa"/>
            <w:vAlign w:val="bottom"/>
            <w:shd w:val="clear" w:color="auto" w:fill="C0FFFF"/>
          </w:tcPr>
          <w:p>
            <w:pPr>
              <w:spacing w:after="0"/>
              <w:rPr>
                <w:sz w:val="16"/>
                <w:szCs w:val="16"/>
                <w:color w:val="auto"/>
              </w:rPr>
            </w:pPr>
          </w:p>
        </w:tc>
        <w:tc>
          <w:tcPr>
            <w:tcW w:w="112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480</w:t>
            </w:r>
          </w:p>
        </w:tc>
        <w:tc>
          <w:tcPr>
            <w:tcW w:w="26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334</w:t>
            </w:r>
          </w:p>
        </w:tc>
        <w:tc>
          <w:tcPr>
            <w:tcW w:w="2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(370)</w:t>
            </w:r>
          </w:p>
        </w:tc>
        <w:tc>
          <w:tcPr>
            <w:tcW w:w="280" w:type="dxa"/>
            <w:vAlign w:val="bottom"/>
            <w:shd w:val="clear" w:color="auto" w:fill="C0FFFF"/>
          </w:tcPr>
          <w:p>
            <w:pPr>
              <w:spacing w:after="0"/>
              <w:rPr>
                <w:sz w:val="16"/>
                <w:szCs w:val="16"/>
                <w:color w:val="auto"/>
              </w:rPr>
            </w:pPr>
          </w:p>
        </w:tc>
        <w:tc>
          <w:tcPr>
            <w:tcW w:w="108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Reserve for parts inventory</w:t>
            </w:r>
          </w:p>
        </w:tc>
        <w:tc>
          <w:tcPr>
            <w:tcW w:w="70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3,406</w:t>
            </w:r>
          </w:p>
        </w:tc>
        <w:tc>
          <w:tcPr>
            <w:tcW w:w="26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1,546</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(1,609)</w:t>
            </w:r>
          </w:p>
        </w:tc>
        <w:tc>
          <w:tcPr>
            <w:tcW w:w="280" w:type="dxa"/>
            <w:vAlign w:val="bottom"/>
          </w:tcPr>
          <w:p>
            <w:pPr>
              <w:spacing w:after="0"/>
              <w:rPr>
                <w:sz w:val="16"/>
                <w:szCs w:val="16"/>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tcBorders>
              <w:bottom w:val="single" w:sz="8" w:color="auto"/>
            </w:tcBorders>
            <w:shd w:val="clear" w:color="auto" w:fill="C0FFFF"/>
          </w:tcPr>
          <w:p>
            <w:pPr>
              <w:spacing w:after="0"/>
              <w:rPr>
                <w:sz w:val="20"/>
                <w:szCs w:val="20"/>
                <w:color w:val="auto"/>
              </w:rPr>
            </w:pPr>
            <w:r>
              <w:rPr>
                <w:rFonts w:ascii="Times New Roman" w:cs="Times New Roman" w:eastAsia="Times New Roman" w:hAnsi="Times New Roman"/>
                <w:sz w:val="16"/>
                <w:szCs w:val="16"/>
                <w:color w:val="auto"/>
              </w:rPr>
              <w:t>Reserve for commercial vehicle inventory</w:t>
            </w:r>
          </w:p>
        </w:tc>
        <w:tc>
          <w:tcPr>
            <w:tcW w:w="700" w:type="dxa"/>
            <w:vAlign w:val="bottom"/>
            <w:tcBorders>
              <w:bottom w:val="single" w:sz="8" w:color="auto"/>
            </w:tcBorders>
            <w:shd w:val="clear" w:color="auto" w:fill="C0FFFF"/>
          </w:tcPr>
          <w:p>
            <w:pPr>
              <w:spacing w:after="0"/>
              <w:rPr>
                <w:sz w:val="16"/>
                <w:szCs w:val="16"/>
                <w:color w:val="auto"/>
              </w:rPr>
            </w:pPr>
          </w:p>
        </w:tc>
        <w:tc>
          <w:tcPr>
            <w:tcW w:w="1120" w:type="dxa"/>
            <w:vAlign w:val="bottom"/>
            <w:tcBorders>
              <w:bottom w:val="single" w:sz="8" w:color="auto"/>
            </w:tcBorders>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1,624</w:t>
            </w:r>
          </w:p>
        </w:tc>
        <w:tc>
          <w:tcPr>
            <w:tcW w:w="260" w:type="dxa"/>
            <w:vAlign w:val="bottom"/>
            <w:tcBorders>
              <w:bottom w:val="single" w:sz="8" w:color="auto"/>
            </w:tcBorders>
            <w:shd w:val="clear" w:color="auto" w:fill="C0FFFF"/>
          </w:tcPr>
          <w:p>
            <w:pPr>
              <w:spacing w:after="0"/>
              <w:rPr>
                <w:sz w:val="16"/>
                <w:szCs w:val="16"/>
                <w:color w:val="auto"/>
              </w:rPr>
            </w:pPr>
          </w:p>
        </w:tc>
        <w:tc>
          <w:tcPr>
            <w:tcW w:w="1140" w:type="dxa"/>
            <w:vAlign w:val="bottom"/>
            <w:tcBorders>
              <w:bottom w:val="single" w:sz="8" w:color="auto"/>
            </w:tcBorders>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12,944</w:t>
            </w:r>
          </w:p>
        </w:tc>
        <w:tc>
          <w:tcPr>
            <w:tcW w:w="220" w:type="dxa"/>
            <w:vAlign w:val="bottom"/>
            <w:tcBorders>
              <w:bottom w:val="single" w:sz="8" w:color="auto"/>
            </w:tcBorders>
            <w:shd w:val="clear" w:color="auto" w:fill="C0FFFF"/>
          </w:tcPr>
          <w:p>
            <w:pPr>
              <w:spacing w:after="0"/>
              <w:rPr>
                <w:sz w:val="16"/>
                <w:szCs w:val="16"/>
                <w:color w:val="auto"/>
              </w:rPr>
            </w:pPr>
          </w:p>
        </w:tc>
        <w:tc>
          <w:tcPr>
            <w:tcW w:w="1140" w:type="dxa"/>
            <w:vAlign w:val="bottom"/>
            <w:tcBorders>
              <w:bottom w:val="single" w:sz="8" w:color="auto"/>
            </w:tcBorders>
            <w:shd w:val="clear" w:color="auto" w:fill="C0FFFF"/>
          </w:tcPr>
          <w:p>
            <w:pPr>
              <w:spacing w:after="0"/>
              <w:rPr>
                <w:sz w:val="16"/>
                <w:szCs w:val="16"/>
                <w:color w:val="auto"/>
              </w:rPr>
            </w:pPr>
          </w:p>
        </w:tc>
        <w:tc>
          <w:tcPr>
            <w:tcW w:w="280" w:type="dxa"/>
            <w:vAlign w:val="bottom"/>
            <w:tcBorders>
              <w:bottom w:val="single" w:sz="8" w:color="auto"/>
            </w:tcBorders>
            <w:shd w:val="clear" w:color="auto" w:fill="C0FFFF"/>
          </w:tcPr>
          <w:p>
            <w:pPr>
              <w:spacing w:after="0"/>
              <w:rPr>
                <w:sz w:val="16"/>
                <w:szCs w:val="16"/>
                <w:color w:val="auto"/>
              </w:rPr>
            </w:pPr>
          </w:p>
        </w:tc>
        <w:tc>
          <w:tcPr>
            <w:tcW w:w="1140" w:type="dxa"/>
            <w:vAlign w:val="bottom"/>
            <w:tcBorders>
              <w:bottom w:val="single" w:sz="8" w:color="auto"/>
            </w:tcBorders>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(7,729)</w:t>
            </w:r>
          </w:p>
        </w:tc>
        <w:tc>
          <w:tcPr>
            <w:tcW w:w="280" w:type="dxa"/>
            <w:vAlign w:val="bottom"/>
            <w:tcBorders>
              <w:bottom w:val="single" w:sz="8" w:color="auto"/>
            </w:tcBorders>
            <w:shd w:val="clear" w:color="auto" w:fill="C0FFFF"/>
          </w:tcPr>
          <w:p>
            <w:pPr>
              <w:spacing w:after="0"/>
              <w:rPr>
                <w:sz w:val="16"/>
                <w:szCs w:val="16"/>
                <w:color w:val="auto"/>
              </w:rPr>
            </w:pPr>
          </w:p>
        </w:tc>
        <w:tc>
          <w:tcPr>
            <w:tcW w:w="1080" w:type="dxa"/>
            <w:vAlign w:val="bottom"/>
            <w:tcBorders>
              <w:bottom w:val="single" w:sz="8" w:color="auto"/>
            </w:tcBorders>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6,839</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2011</w:t>
            </w:r>
          </w:p>
        </w:tc>
        <w:tc>
          <w:tcPr>
            <w:tcW w:w="70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Reserve for accounts receivable</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1,040</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627</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(1,187)</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Reserve for warranty receivable</w:t>
            </w:r>
          </w:p>
        </w:tc>
        <w:tc>
          <w:tcPr>
            <w:tcW w:w="700" w:type="dxa"/>
            <w:vAlign w:val="bottom"/>
            <w:shd w:val="clear" w:color="auto" w:fill="C0FFFF"/>
          </w:tcPr>
          <w:p>
            <w:pPr>
              <w:spacing w:after="0"/>
              <w:rPr>
                <w:sz w:val="16"/>
                <w:szCs w:val="16"/>
                <w:color w:val="auto"/>
              </w:rPr>
            </w:pPr>
          </w:p>
        </w:tc>
        <w:tc>
          <w:tcPr>
            <w:tcW w:w="112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(135)</w:t>
            </w:r>
          </w:p>
        </w:tc>
        <w:tc>
          <w:tcPr>
            <w:tcW w:w="280" w:type="dxa"/>
            <w:vAlign w:val="bottom"/>
            <w:shd w:val="clear" w:color="auto" w:fill="C0FFFF"/>
          </w:tcPr>
          <w:p>
            <w:pPr>
              <w:spacing w:after="0"/>
              <w:rPr>
                <w:sz w:val="16"/>
                <w:szCs w:val="16"/>
                <w:color w:val="auto"/>
              </w:rPr>
            </w:pPr>
          </w:p>
        </w:tc>
        <w:tc>
          <w:tcPr>
            <w:tcW w:w="108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Reserve for parts inventory</w:t>
            </w:r>
          </w:p>
        </w:tc>
        <w:tc>
          <w:tcPr>
            <w:tcW w:w="70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2,055</w:t>
            </w:r>
          </w:p>
        </w:tc>
        <w:tc>
          <w:tcPr>
            <w:tcW w:w="26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1,909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650</w:t>
            </w:r>
          </w:p>
        </w:tc>
        <w:tc>
          <w:tcPr>
            <w:tcW w:w="28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(1,208)</w:t>
            </w:r>
          </w:p>
        </w:tc>
        <w:tc>
          <w:tcPr>
            <w:tcW w:w="280" w:type="dxa"/>
            <w:vAlign w:val="bottom"/>
          </w:tcPr>
          <w:p>
            <w:pPr>
              <w:spacing w:after="0"/>
              <w:rPr>
                <w:sz w:val="16"/>
                <w:szCs w:val="16"/>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tcBorders>
              <w:bottom w:val="single" w:sz="8" w:color="auto"/>
            </w:tcBorders>
            <w:shd w:val="clear" w:color="auto" w:fill="C0FFFF"/>
          </w:tcPr>
          <w:p>
            <w:pPr>
              <w:spacing w:after="0"/>
              <w:rPr>
                <w:sz w:val="20"/>
                <w:szCs w:val="20"/>
                <w:color w:val="auto"/>
              </w:rPr>
            </w:pPr>
            <w:r>
              <w:rPr>
                <w:rFonts w:ascii="Times New Roman" w:cs="Times New Roman" w:eastAsia="Times New Roman" w:hAnsi="Times New Roman"/>
                <w:sz w:val="16"/>
                <w:szCs w:val="16"/>
                <w:color w:val="auto"/>
              </w:rPr>
              <w:t>Reserve for commercial vehicle inventory</w:t>
            </w:r>
          </w:p>
        </w:tc>
        <w:tc>
          <w:tcPr>
            <w:tcW w:w="700" w:type="dxa"/>
            <w:vAlign w:val="bottom"/>
            <w:tcBorders>
              <w:bottom w:val="single" w:sz="8" w:color="auto"/>
            </w:tcBorders>
            <w:shd w:val="clear" w:color="auto" w:fill="C0FFFF"/>
          </w:tcPr>
          <w:p>
            <w:pPr>
              <w:spacing w:after="0"/>
              <w:rPr>
                <w:sz w:val="16"/>
                <w:szCs w:val="16"/>
                <w:color w:val="auto"/>
              </w:rPr>
            </w:pPr>
          </w:p>
        </w:tc>
        <w:tc>
          <w:tcPr>
            <w:tcW w:w="1120" w:type="dxa"/>
            <w:vAlign w:val="bottom"/>
            <w:tcBorders>
              <w:bottom w:val="single" w:sz="8" w:color="auto"/>
            </w:tcBorders>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1,275</w:t>
            </w:r>
          </w:p>
        </w:tc>
        <w:tc>
          <w:tcPr>
            <w:tcW w:w="260" w:type="dxa"/>
            <w:vAlign w:val="bottom"/>
            <w:tcBorders>
              <w:bottom w:val="single" w:sz="8" w:color="auto"/>
            </w:tcBorders>
            <w:shd w:val="clear" w:color="auto" w:fill="C0FFFF"/>
          </w:tcPr>
          <w:p>
            <w:pPr>
              <w:spacing w:after="0"/>
              <w:rPr>
                <w:sz w:val="16"/>
                <w:szCs w:val="16"/>
                <w:color w:val="auto"/>
              </w:rPr>
            </w:pPr>
          </w:p>
        </w:tc>
        <w:tc>
          <w:tcPr>
            <w:tcW w:w="1140" w:type="dxa"/>
            <w:vAlign w:val="bottom"/>
            <w:tcBorders>
              <w:bottom w:val="single" w:sz="8" w:color="auto"/>
            </w:tcBorders>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5,807</w:t>
            </w:r>
          </w:p>
        </w:tc>
        <w:tc>
          <w:tcPr>
            <w:tcW w:w="220" w:type="dxa"/>
            <w:vAlign w:val="bottom"/>
            <w:tcBorders>
              <w:bottom w:val="single" w:sz="8" w:color="auto"/>
            </w:tcBorders>
            <w:shd w:val="clear" w:color="auto" w:fill="C0FFFF"/>
          </w:tcPr>
          <w:p>
            <w:pPr>
              <w:spacing w:after="0"/>
              <w:rPr>
                <w:sz w:val="16"/>
                <w:szCs w:val="16"/>
                <w:color w:val="auto"/>
              </w:rPr>
            </w:pPr>
          </w:p>
        </w:tc>
        <w:tc>
          <w:tcPr>
            <w:tcW w:w="1140" w:type="dxa"/>
            <w:vAlign w:val="bottom"/>
            <w:tcBorders>
              <w:bottom w:val="single" w:sz="8" w:color="auto"/>
            </w:tcBorders>
            <w:shd w:val="clear" w:color="auto" w:fill="C0FFFF"/>
          </w:tcPr>
          <w:p>
            <w:pPr>
              <w:spacing w:after="0"/>
              <w:rPr>
                <w:sz w:val="16"/>
                <w:szCs w:val="16"/>
                <w:color w:val="auto"/>
              </w:rPr>
            </w:pPr>
          </w:p>
        </w:tc>
        <w:tc>
          <w:tcPr>
            <w:tcW w:w="280" w:type="dxa"/>
            <w:vAlign w:val="bottom"/>
            <w:tcBorders>
              <w:bottom w:val="single" w:sz="8" w:color="auto"/>
            </w:tcBorders>
            <w:shd w:val="clear" w:color="auto" w:fill="C0FFFF"/>
          </w:tcPr>
          <w:p>
            <w:pPr>
              <w:spacing w:after="0"/>
              <w:rPr>
                <w:sz w:val="16"/>
                <w:szCs w:val="16"/>
                <w:color w:val="auto"/>
              </w:rPr>
            </w:pPr>
          </w:p>
        </w:tc>
        <w:tc>
          <w:tcPr>
            <w:tcW w:w="1140" w:type="dxa"/>
            <w:vAlign w:val="bottom"/>
            <w:tcBorders>
              <w:bottom w:val="single" w:sz="8" w:color="auto"/>
            </w:tcBorders>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(5,458)</w:t>
            </w:r>
          </w:p>
        </w:tc>
        <w:tc>
          <w:tcPr>
            <w:tcW w:w="280" w:type="dxa"/>
            <w:vAlign w:val="bottom"/>
            <w:tcBorders>
              <w:bottom w:val="single" w:sz="8" w:color="auto"/>
            </w:tcBorders>
            <w:shd w:val="clear" w:color="auto" w:fill="C0FFFF"/>
          </w:tcPr>
          <w:p>
            <w:pPr>
              <w:spacing w:after="0"/>
              <w:rPr>
                <w:sz w:val="16"/>
                <w:szCs w:val="16"/>
                <w:color w:val="auto"/>
              </w:rPr>
            </w:pPr>
          </w:p>
        </w:tc>
        <w:tc>
          <w:tcPr>
            <w:tcW w:w="1080" w:type="dxa"/>
            <w:vAlign w:val="bottom"/>
            <w:tcBorders>
              <w:bottom w:val="single" w:sz="8" w:color="auto"/>
            </w:tcBorders>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1,624</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2010</w:t>
            </w:r>
          </w:p>
        </w:tc>
        <w:tc>
          <w:tcPr>
            <w:tcW w:w="70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Reserve for accounts receivable</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204</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1,645</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(809)</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Reserve for warranty receivable</w:t>
            </w:r>
          </w:p>
        </w:tc>
        <w:tc>
          <w:tcPr>
            <w:tcW w:w="700" w:type="dxa"/>
            <w:vAlign w:val="bottom"/>
            <w:shd w:val="clear" w:color="auto" w:fill="C0FFFF"/>
          </w:tcPr>
          <w:p>
            <w:pPr>
              <w:spacing w:after="0"/>
              <w:rPr>
                <w:sz w:val="16"/>
                <w:szCs w:val="16"/>
                <w:color w:val="auto"/>
              </w:rPr>
            </w:pPr>
          </w:p>
        </w:tc>
        <w:tc>
          <w:tcPr>
            <w:tcW w:w="112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553</w:t>
            </w:r>
          </w:p>
        </w:tc>
        <w:tc>
          <w:tcPr>
            <w:tcW w:w="26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794</w:t>
            </w:r>
          </w:p>
        </w:tc>
        <w:tc>
          <w:tcPr>
            <w:tcW w:w="2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(1,068)</w:t>
            </w:r>
          </w:p>
        </w:tc>
        <w:tc>
          <w:tcPr>
            <w:tcW w:w="280" w:type="dxa"/>
            <w:vAlign w:val="bottom"/>
            <w:shd w:val="clear" w:color="auto" w:fill="C0FFFF"/>
          </w:tcPr>
          <w:p>
            <w:pPr>
              <w:spacing w:after="0"/>
              <w:rPr>
                <w:sz w:val="16"/>
                <w:szCs w:val="16"/>
                <w:color w:val="auto"/>
              </w:rPr>
            </w:pPr>
          </w:p>
        </w:tc>
        <w:tc>
          <w:tcPr>
            <w:tcW w:w="108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Reserve for parts inventory</w:t>
            </w:r>
          </w:p>
        </w:tc>
        <w:tc>
          <w:tcPr>
            <w:tcW w:w="70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1,956</w:t>
            </w:r>
          </w:p>
        </w:tc>
        <w:tc>
          <w:tcPr>
            <w:tcW w:w="26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1,360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(1,304)</w:t>
            </w:r>
          </w:p>
        </w:tc>
        <w:tc>
          <w:tcPr>
            <w:tcW w:w="280" w:type="dxa"/>
            <w:vAlign w:val="bottom"/>
          </w:tcPr>
          <w:p>
            <w:pPr>
              <w:spacing w:after="0"/>
              <w:rPr>
                <w:sz w:val="16"/>
                <w:szCs w:val="16"/>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2,055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Reserve for construction equipment inventory</w:t>
            </w:r>
          </w:p>
        </w:tc>
        <w:tc>
          <w:tcPr>
            <w:tcW w:w="700" w:type="dxa"/>
            <w:vAlign w:val="bottom"/>
            <w:shd w:val="clear" w:color="auto" w:fill="C0FFFF"/>
          </w:tcPr>
          <w:p>
            <w:pPr>
              <w:spacing w:after="0"/>
              <w:rPr>
                <w:sz w:val="16"/>
                <w:szCs w:val="16"/>
                <w:color w:val="auto"/>
              </w:rPr>
            </w:pPr>
          </w:p>
        </w:tc>
        <w:tc>
          <w:tcPr>
            <w:tcW w:w="112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1,497</w:t>
            </w:r>
          </w:p>
        </w:tc>
        <w:tc>
          <w:tcPr>
            <w:tcW w:w="26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(1,497)</w:t>
            </w:r>
          </w:p>
        </w:tc>
        <w:tc>
          <w:tcPr>
            <w:tcW w:w="220" w:type="dxa"/>
            <w:vAlign w:val="bottom"/>
            <w:shd w:val="clear" w:color="auto" w:fill="C0FFFF"/>
          </w:tcPr>
          <w:p>
            <w:pPr>
              <w:spacing w:after="0"/>
              <w:rPr>
                <w:sz w:val="16"/>
                <w:szCs w:val="16"/>
                <w:color w:val="auto"/>
              </w:rPr>
            </w:pPr>
          </w:p>
        </w:tc>
        <w:tc>
          <w:tcPr>
            <w:tcW w:w="11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140" w:type="dxa"/>
            <w:vAlign w:val="bottom"/>
            <w:shd w:val="clear" w:color="auto" w:fill="C0FF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0FFFF"/>
          </w:tcPr>
          <w:p>
            <w:pPr>
              <w:spacing w:after="0"/>
              <w:rPr>
                <w:sz w:val="16"/>
                <w:szCs w:val="16"/>
                <w:color w:val="auto"/>
              </w:rPr>
            </w:pPr>
          </w:p>
        </w:tc>
        <w:tc>
          <w:tcPr>
            <w:tcW w:w="108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Reserve for commercial vehicle inventory</w:t>
            </w: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2,909</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4,024</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(5,658)</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Allowance for Doubtful Receivables</w:t>
      </w:r>
    </w:p>
    <w:p>
      <w:pPr>
        <w:spacing w:after="0" w:line="238" w:lineRule="exact"/>
        <w:rPr>
          <w:sz w:val="20"/>
          <w:szCs w:val="20"/>
          <w:color w:val="auto"/>
        </w:rPr>
      </w:pPr>
    </w:p>
    <w:p>
      <w:pPr>
        <w:ind w:left="7"/>
        <w:spacing w:after="0" w:line="252" w:lineRule="auto"/>
        <w:rPr>
          <w:sz w:val="20"/>
          <w:szCs w:val="20"/>
          <w:color w:val="auto"/>
        </w:rPr>
      </w:pPr>
      <w:r>
        <w:rPr>
          <w:rFonts w:ascii="Times New Roman" w:cs="Times New Roman" w:eastAsia="Times New Roman" w:hAnsi="Times New Roman"/>
          <w:sz w:val="16"/>
          <w:szCs w:val="16"/>
          <w:color w:val="auto"/>
        </w:rPr>
        <w:t>The Company sells a majority of its customer accounts receivable on a non-recourse basis to a third party that is responsible for qualifying the customer for credit at the point of sale. If the third party approves the customer for credit, then the third party assumes all credit risk related to the transaction. The Company provides an allowance for doubtful receivables after considering historical loss experience and other factors that might affect the collection of accounts receivable.</w:t>
      </w:r>
    </w:p>
    <w:p>
      <w:pPr>
        <w:spacing w:after="0" w:line="400"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w:t>
      </w:r>
    </w:p>
    <w:p>
      <w:pPr>
        <w:spacing w:after="0" w:line="3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7075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168" w:right="219" w:bottom="1440" w:gutter="0" w:footer="0" w:header="0"/>
        </w:sectPr>
      </w:pPr>
    </w:p>
    <w:bookmarkStart w:id="57" w:name="page58"/>
    <w:bookmarkEnd w:id="57"/>
    <w:p>
      <w:pPr>
        <w:ind w:left="7"/>
        <w:spacing w:after="0"/>
        <w:rPr>
          <w:sz w:val="20"/>
          <w:szCs w:val="20"/>
          <w:color w:val="auto"/>
        </w:rPr>
      </w:pPr>
      <w:r>
        <w:rPr>
          <w:rFonts w:ascii="Times New Roman" w:cs="Times New Roman" w:eastAsia="Times New Roman" w:hAnsi="Times New Roman"/>
          <w:sz w:val="16"/>
          <w:szCs w:val="16"/>
          <w:i w:val="1"/>
          <w:iCs w:val="1"/>
          <w:color w:val="auto"/>
        </w:rPr>
        <w:t>Inventory</w:t>
      </w:r>
    </w:p>
    <w:p>
      <w:pPr>
        <w:spacing w:after="0" w:line="238" w:lineRule="exact"/>
        <w:rPr>
          <w:sz w:val="20"/>
          <w:szCs w:val="20"/>
          <w:color w:val="auto"/>
        </w:rPr>
      </w:pPr>
    </w:p>
    <w:p>
      <w:pPr>
        <w:ind w:left="7" w:right="20"/>
        <w:spacing w:after="0" w:line="267" w:lineRule="auto"/>
        <w:rPr>
          <w:sz w:val="20"/>
          <w:szCs w:val="20"/>
          <w:color w:val="auto"/>
        </w:rPr>
      </w:pPr>
      <w:r>
        <w:rPr>
          <w:rFonts w:ascii="Times New Roman" w:cs="Times New Roman" w:eastAsia="Times New Roman" w:hAnsi="Times New Roman"/>
          <w:sz w:val="16"/>
          <w:szCs w:val="16"/>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97" w:lineRule="exact"/>
        <w:rPr>
          <w:sz w:val="20"/>
          <w:szCs w:val="20"/>
          <w:color w:val="auto"/>
        </w:rPr>
      </w:pPr>
    </w:p>
    <w:p>
      <w:pPr>
        <w:ind w:left="7"/>
        <w:spacing w:after="0" w:line="267" w:lineRule="auto"/>
        <w:rPr>
          <w:sz w:val="20"/>
          <w:szCs w:val="20"/>
          <w:color w:val="auto"/>
        </w:rPr>
      </w:pPr>
      <w:r>
        <w:rPr>
          <w:rFonts w:ascii="Times New Roman" w:cs="Times New Roman" w:eastAsia="Times New Roman" w:hAnsi="Times New Roman"/>
          <w:sz w:val="16"/>
          <w:szCs w:val="16"/>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97" w:lineRule="exact"/>
        <w:rPr>
          <w:sz w:val="20"/>
          <w:szCs w:val="20"/>
          <w:color w:val="auto"/>
        </w:rPr>
      </w:pPr>
    </w:p>
    <w:p>
      <w:pPr>
        <w:ind w:left="7" w:right="6800" w:hanging="7"/>
        <w:spacing w:after="0" w:line="547" w:lineRule="auto"/>
        <w:tabs>
          <w:tab w:leader="none" w:pos="70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FLOOR PLAN NOTES PAYABLE AND LINES OF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Floor Plan Notes Payable</w:t>
      </w:r>
    </w:p>
    <w:p>
      <w:pPr>
        <w:spacing w:after="0" w:line="1"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Floor plan notes are financing agreements to facilitate the Company’s purchase of new and used commercial vehicles. These notes are collateralized by the inventory purchased and accounts receivable arising from the sale thereof. The Company’s credit agreement with GE Capital has the interest rate benchmarked to LIBOR, as defined in the agreement.</w:t>
      </w:r>
    </w:p>
    <w:p>
      <w:pPr>
        <w:spacing w:after="0" w:line="197"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The interest rate under the credit agreement is LIBOR plus 2.23% on inventory loans up to $500.0 million and LIBOR plus 2.95% on inventory loans between $500.0 million and $600.0 million. The interest rate applicable to the GE Capital credit agreement was approximately 2.54% at December 31, 2012. The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w:t>
      </w:r>
    </w:p>
    <w:p>
      <w:pPr>
        <w:spacing w:after="0" w:line="21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The Company finances substantially all of the purchase price of its new commercial vehicle inventory, and the loan value of its used commercial vehicle inventory under the credit agreement with GE Capital, under which GE Capital pays the manufacturer directly with respect to new commercial vehicles. Amounts borrowed under the agreement are due when the related commercial vehicle inventory (collateral) is sold and the sales proceeds are collected by the Company. This agreement may be modified, suspended or terminated by the lender as described in Note 3 – Supplier and Customer Concentration. On December 31, 2012, the Company had approximately $500.0 million outstanding under its credit agreement with GE Capital.</w:t>
      </w:r>
    </w:p>
    <w:p>
      <w:pPr>
        <w:spacing w:after="0" w:line="212"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December 31, 2012, the interest rate on the wholesale financing agreement was 5.25% before considering the applicable incentives. On December 31, 2012, the Company had an outstanding balance of $34.5 million under the Ford Motor Credit Company wholesale financing agreement.</w:t>
      </w:r>
    </w:p>
    <w:p>
      <w:pPr>
        <w:spacing w:after="0" w:line="210"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The Company’s weighted average interest rate for floor plan notes payable was 1.42% for the year ended December 31, 2012, and 1.00% for the year ended December 31, 2011, which is net of interest income earned from GE Capital.</w:t>
      </w:r>
    </w:p>
    <w:p>
      <w:pPr>
        <w:spacing w:after="0" w:line="197"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8260" w:type="dxa"/>
            <w:vAlign w:val="bottom"/>
            <w:gridSpan w:val="2"/>
          </w:tcPr>
          <w:p>
            <w:pPr>
              <w:jc w:val="right"/>
              <w:ind w:right="4482"/>
              <w:spacing w:after="0"/>
              <w:rPr>
                <w:sz w:val="20"/>
                <w:szCs w:val="20"/>
                <w:color w:val="auto"/>
              </w:rPr>
            </w:pPr>
            <w:r>
              <w:rPr>
                <w:rFonts w:ascii="Times New Roman" w:cs="Times New Roman" w:eastAsia="Times New Roman" w:hAnsi="Times New Roman"/>
                <w:sz w:val="16"/>
                <w:szCs w:val="16"/>
                <w:color w:val="auto"/>
                <w:w w:val="96"/>
              </w:rPr>
              <w:t>Assets pledged as collateral were as follows (in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4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rPr>
              <w:t>2012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78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Inventories, new and used vehicles at cost based on specific identification, net of allowance</w:t>
            </w:r>
          </w:p>
        </w:tc>
        <w:tc>
          <w:tcPr>
            <w:tcW w:w="260" w:type="dxa"/>
            <w:vAlign w:val="bottom"/>
            <w:shd w:val="clear" w:color="auto" w:fill="C0FF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541,287</w:t>
            </w:r>
          </w:p>
        </w:tc>
        <w:tc>
          <w:tcPr>
            <w:tcW w:w="380" w:type="dxa"/>
            <w:vAlign w:val="bottom"/>
            <w:shd w:val="clear" w:color="auto" w:fill="C0FF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536,827</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Vehicle sale related accounts receivable</w:t>
            </w:r>
          </w:p>
        </w:tc>
        <w:tc>
          <w:tcPr>
            <w:tcW w:w="26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40,840</w:t>
            </w:r>
          </w:p>
        </w:tc>
        <w:tc>
          <w:tcPr>
            <w:tcW w:w="3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58,741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7840" w:type="dxa"/>
            <w:vAlign w:val="bottom"/>
            <w:shd w:val="clear" w:color="auto" w:fill="C0FFFF"/>
          </w:tcPr>
          <w:p>
            <w:pPr>
              <w:spacing w:after="0"/>
              <w:rPr>
                <w:sz w:val="16"/>
                <w:szCs w:val="16"/>
                <w:color w:val="auto"/>
              </w:rPr>
            </w:pPr>
          </w:p>
        </w:tc>
        <w:tc>
          <w:tcPr>
            <w:tcW w:w="260" w:type="dxa"/>
            <w:vAlign w:val="bottom"/>
            <w:tcBorders>
              <w:top w:val="single" w:sz="8" w:color="auto"/>
            </w:tcBorders>
            <w:shd w:val="clear" w:color="auto" w:fill="C0FFFF"/>
          </w:tcPr>
          <w:p>
            <w:pPr>
              <w:spacing w:after="0"/>
              <w:rPr>
                <w:sz w:val="16"/>
                <w:szCs w:val="16"/>
                <w:color w:val="auto"/>
              </w:rPr>
            </w:pPr>
          </w:p>
        </w:tc>
        <w:tc>
          <w:tcPr>
            <w:tcW w:w="900" w:type="dxa"/>
            <w:vAlign w:val="bottom"/>
            <w:tcBorders>
              <w:top w:val="single" w:sz="8" w:color="auto"/>
            </w:tcBorders>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380" w:type="dxa"/>
            <w:vAlign w:val="bottom"/>
            <w:tcBorders>
              <w:top w:val="single" w:sz="8" w:color="auto"/>
            </w:tcBorders>
            <w:shd w:val="clear" w:color="auto" w:fill="C0FFFF"/>
          </w:tcPr>
          <w:p>
            <w:pPr>
              <w:spacing w:after="0"/>
              <w:rPr>
                <w:sz w:val="16"/>
                <w:szCs w:val="16"/>
                <w:color w:val="auto"/>
              </w:rPr>
            </w:pPr>
          </w:p>
        </w:tc>
        <w:tc>
          <w:tcPr>
            <w:tcW w:w="78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582,127</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595,568</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0" w:type="dxa"/>
            <w:vAlign w:val="bottom"/>
          </w:tcPr>
          <w:p>
            <w:pPr>
              <w:spacing w:after="0"/>
              <w:rPr>
                <w:sz w:val="15"/>
                <w:szCs w:val="15"/>
                <w:color w:val="auto"/>
              </w:rPr>
            </w:pPr>
          </w:p>
        </w:tc>
        <w:tc>
          <w:tcPr>
            <w:tcW w:w="784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78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Floor plan notes payable related to vehicles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534,520</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520,693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jc w:val="right"/>
              <w:ind w:right="2382"/>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808080"/>
            </w:tcBorders>
          </w:tcPr>
          <w:p>
            <w:pPr>
              <w:spacing w:after="0"/>
              <w:rPr>
                <w:sz w:val="8"/>
                <w:szCs w:val="8"/>
                <w:color w:val="auto"/>
              </w:rPr>
            </w:pPr>
          </w:p>
        </w:tc>
        <w:tc>
          <w:tcPr>
            <w:tcW w:w="7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-13335</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483" w:right="219"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6"/>
          <w:szCs w:val="16"/>
          <w:u w:val="single" w:color="auto"/>
          <w:color w:val="auto"/>
        </w:rPr>
        <w:t>Lines of Credit</w:t>
      </w:r>
    </w:p>
    <w:p>
      <w:pPr>
        <w:spacing w:after="0" w:line="236" w:lineRule="exact"/>
        <w:rPr>
          <w:sz w:val="20"/>
          <w:szCs w:val="20"/>
          <w:color w:val="auto"/>
        </w:rPr>
      </w:pPr>
    </w:p>
    <w:p>
      <w:pPr>
        <w:ind w:left="40" w:right="20"/>
        <w:spacing w:after="0" w:line="255" w:lineRule="auto"/>
        <w:rPr>
          <w:sz w:val="20"/>
          <w:szCs w:val="20"/>
          <w:color w:val="auto"/>
        </w:rPr>
      </w:pPr>
      <w:r>
        <w:rPr>
          <w:rFonts w:ascii="Times New Roman" w:cs="Times New Roman" w:eastAsia="Times New Roman" w:hAnsi="Times New Roman"/>
          <w:sz w:val="16"/>
          <w:szCs w:val="16"/>
          <w:color w:val="auto"/>
        </w:rPr>
        <w:t>The Company has a secured line of credit that provides for a maximum borrowing of $10.0 million. There were no advances outstanding under this secured line of credit at December 31, 2012; however, $7.4 million was pledged to secure various letters of credit related to self-insurance products, leaving $2.6 million available for future borrowings as of December 31, 2012.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8.</w:t>
            </w:r>
          </w:p>
        </w:tc>
        <w:tc>
          <w:tcPr>
            <w:tcW w:w="4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4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Long-term debt was comprised of the following (in thousands):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rPr>
              <w:t>2012</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rPr>
              <w:t>2011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restart"/>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0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Variable interest rate term notes</w:t>
            </w:r>
          </w:p>
        </w:tc>
        <w:tc>
          <w:tcPr>
            <w:tcW w:w="150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80,463</w:t>
            </w:r>
          </w:p>
        </w:tc>
        <w:tc>
          <w:tcPr>
            <w:tcW w:w="420" w:type="dxa"/>
            <w:vAlign w:val="bottom"/>
            <w:shd w:val="clear" w:color="auto" w:fill="C0FF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130,092</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interest rate term notes</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319,201</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restart"/>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3340" w:type="dxa"/>
            <w:vAlign w:val="bottom"/>
            <w:shd w:val="clear" w:color="auto" w:fill="C0FFFF"/>
          </w:tcPr>
          <w:p>
            <w:pPr>
              <w:spacing w:after="0"/>
              <w:rPr>
                <w:sz w:val="16"/>
                <w:szCs w:val="16"/>
                <w:color w:val="auto"/>
              </w:rPr>
            </w:pPr>
          </w:p>
        </w:tc>
        <w:tc>
          <w:tcPr>
            <w:tcW w:w="1220" w:type="dxa"/>
            <w:vAlign w:val="bottom"/>
            <w:shd w:val="clear" w:color="auto" w:fill="C0FFFF"/>
          </w:tcPr>
          <w:p>
            <w:pPr>
              <w:spacing w:after="0"/>
              <w:rPr>
                <w:sz w:val="16"/>
                <w:szCs w:val="16"/>
                <w:color w:val="auto"/>
              </w:rPr>
            </w:pPr>
          </w:p>
        </w:tc>
        <w:tc>
          <w:tcPr>
            <w:tcW w:w="280" w:type="dxa"/>
            <w:vAlign w:val="bottom"/>
            <w:tcBorders>
              <w:top w:val="single" w:sz="8" w:color="auto"/>
            </w:tcBorders>
            <w:shd w:val="clear" w:color="auto" w:fill="C0FFFF"/>
          </w:tcPr>
          <w:p>
            <w:pPr>
              <w:spacing w:after="0"/>
              <w:rPr>
                <w:sz w:val="16"/>
                <w:szCs w:val="16"/>
                <w:color w:val="auto"/>
              </w:rPr>
            </w:pPr>
          </w:p>
        </w:tc>
        <w:tc>
          <w:tcPr>
            <w:tcW w:w="102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420" w:type="dxa"/>
            <w:vAlign w:val="bottom"/>
            <w:tcBorders>
              <w:top w:val="single" w:sz="8" w:color="auto"/>
            </w:tcBorders>
            <w:shd w:val="clear" w:color="auto" w:fill="C0FFFF"/>
          </w:tcPr>
          <w:p>
            <w:pPr>
              <w:spacing w:after="0"/>
              <w:rPr>
                <w:sz w:val="16"/>
                <w:szCs w:val="16"/>
                <w:color w:val="auto"/>
              </w:rPr>
            </w:pPr>
          </w:p>
        </w:tc>
        <w:tc>
          <w:tcPr>
            <w:tcW w:w="86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399,664</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restart"/>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3340" w:type="dxa"/>
            <w:vAlign w:val="bottom"/>
            <w:shd w:val="clear" w:color="auto" w:fill="C0FFFF"/>
          </w:tcPr>
          <w:p>
            <w:pPr>
              <w:spacing w:after="0"/>
              <w:rPr>
                <w:sz w:val="16"/>
                <w:szCs w:val="16"/>
                <w:color w:val="auto"/>
              </w:rPr>
            </w:pPr>
          </w:p>
        </w:tc>
        <w:tc>
          <w:tcPr>
            <w:tcW w:w="122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42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current maturities</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(80,030)</w:t>
            </w:r>
          </w:p>
        </w:tc>
        <w:tc>
          <w:tcPr>
            <w:tcW w:w="4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(63,465)</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restart"/>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3340" w:type="dxa"/>
            <w:vAlign w:val="bottom"/>
            <w:shd w:val="clear" w:color="auto" w:fill="C0FFFF"/>
          </w:tcPr>
          <w:p>
            <w:pPr>
              <w:spacing w:after="0"/>
              <w:rPr>
                <w:sz w:val="16"/>
                <w:szCs w:val="16"/>
                <w:color w:val="auto"/>
              </w:rPr>
            </w:pPr>
          </w:p>
        </w:tc>
        <w:tc>
          <w:tcPr>
            <w:tcW w:w="1220" w:type="dxa"/>
            <w:vAlign w:val="bottom"/>
            <w:shd w:val="clear" w:color="auto" w:fill="C0FFFF"/>
          </w:tcPr>
          <w:p>
            <w:pPr>
              <w:spacing w:after="0"/>
              <w:rPr>
                <w:sz w:val="16"/>
                <w:szCs w:val="16"/>
                <w:color w:val="auto"/>
              </w:rPr>
            </w:pPr>
          </w:p>
        </w:tc>
        <w:tc>
          <w:tcPr>
            <w:tcW w:w="280" w:type="dxa"/>
            <w:vAlign w:val="bottom"/>
            <w:tcBorders>
              <w:top w:val="single" w:sz="8" w:color="auto"/>
            </w:tcBorders>
            <w:shd w:val="clear" w:color="auto" w:fill="C0FFFF"/>
          </w:tcPr>
          <w:p>
            <w:pPr>
              <w:spacing w:after="0"/>
              <w:rPr>
                <w:sz w:val="16"/>
                <w:szCs w:val="16"/>
                <w:color w:val="auto"/>
              </w:rPr>
            </w:pPr>
          </w:p>
        </w:tc>
        <w:tc>
          <w:tcPr>
            <w:tcW w:w="1020" w:type="dxa"/>
            <w:vAlign w:val="bottom"/>
            <w:tcBorders>
              <w:top w:val="single" w:sz="8" w:color="auto"/>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420" w:type="dxa"/>
            <w:vAlign w:val="bottom"/>
            <w:tcBorders>
              <w:top w:val="single" w:sz="8" w:color="auto"/>
            </w:tcBorders>
            <w:shd w:val="clear" w:color="auto" w:fill="C0FFFF"/>
          </w:tcPr>
          <w:p>
            <w:pPr>
              <w:spacing w:after="0"/>
              <w:rPr>
                <w:sz w:val="16"/>
                <w:szCs w:val="16"/>
                <w:color w:val="auto"/>
              </w:rPr>
            </w:pPr>
          </w:p>
        </w:tc>
        <w:tc>
          <w:tcPr>
            <w:tcW w:w="86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319,634</w:t>
            </w: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December 31, 2012, debt maturities were as follows (in thousands):</w:t>
            </w:r>
          </w:p>
        </w:tc>
        <w:tc>
          <w:tcPr>
            <w:tcW w:w="1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440" w:type="dxa"/>
            <w:vAlign w:val="bottom"/>
            <w:gridSpan w:val="4"/>
            <w:vMerge w:val="continue"/>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740" w:type="dxa"/>
            <w:vAlign w:val="bottom"/>
          </w:tcPr>
          <w:p>
            <w:pPr>
              <w:spacing w:after="0"/>
              <w:rPr>
                <w:sz w:val="24"/>
                <w:szCs w:val="24"/>
                <w:color w:val="auto"/>
              </w:rPr>
            </w:pPr>
          </w:p>
        </w:tc>
        <w:tc>
          <w:tcPr>
            <w:tcW w:w="70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6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2013</w:t>
            </w:r>
          </w:p>
        </w:tc>
        <w:tc>
          <w:tcPr>
            <w:tcW w:w="3340" w:type="dxa"/>
            <w:vAlign w:val="bottom"/>
            <w:shd w:val="clear" w:color="auto" w:fill="C0FFFF"/>
          </w:tcPr>
          <w:p>
            <w:pPr>
              <w:spacing w:after="0"/>
              <w:rPr>
                <w:sz w:val="16"/>
                <w:szCs w:val="16"/>
                <w:color w:val="auto"/>
              </w:rPr>
            </w:pPr>
          </w:p>
        </w:tc>
        <w:tc>
          <w:tcPr>
            <w:tcW w:w="122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420" w:type="dxa"/>
            <w:vAlign w:val="bottom"/>
            <w:shd w:val="clear" w:color="auto" w:fill="C0FF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80,030</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2014</w:t>
            </w:r>
          </w:p>
        </w:tc>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70,693</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2015</w:t>
            </w:r>
          </w:p>
        </w:tc>
        <w:tc>
          <w:tcPr>
            <w:tcW w:w="3340" w:type="dxa"/>
            <w:vAlign w:val="bottom"/>
            <w:shd w:val="clear" w:color="auto" w:fill="C0FFFF"/>
          </w:tcPr>
          <w:p>
            <w:pPr>
              <w:spacing w:after="0"/>
              <w:rPr>
                <w:sz w:val="16"/>
                <w:szCs w:val="16"/>
                <w:color w:val="auto"/>
              </w:rPr>
            </w:pPr>
          </w:p>
        </w:tc>
        <w:tc>
          <w:tcPr>
            <w:tcW w:w="122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420" w:type="dxa"/>
            <w:vAlign w:val="bottom"/>
            <w:shd w:val="clear" w:color="auto" w:fill="C0FFFF"/>
          </w:tcPr>
          <w:p>
            <w:pPr>
              <w:spacing w:after="0"/>
              <w:rPr>
                <w:sz w:val="16"/>
                <w:szCs w:val="16"/>
                <w:color w:val="auto"/>
              </w:rPr>
            </w:pPr>
          </w:p>
        </w:tc>
        <w:tc>
          <w:tcPr>
            <w:tcW w:w="9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84,895</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2016</w:t>
            </w:r>
          </w:p>
        </w:tc>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86,199</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2017</w:t>
            </w:r>
          </w:p>
        </w:tc>
        <w:tc>
          <w:tcPr>
            <w:tcW w:w="3340" w:type="dxa"/>
            <w:vAlign w:val="bottom"/>
            <w:shd w:val="clear" w:color="auto" w:fill="C0FFFF"/>
          </w:tcPr>
          <w:p>
            <w:pPr>
              <w:spacing w:after="0"/>
              <w:rPr>
                <w:sz w:val="16"/>
                <w:szCs w:val="16"/>
                <w:color w:val="auto"/>
              </w:rPr>
            </w:pPr>
          </w:p>
        </w:tc>
        <w:tc>
          <w:tcPr>
            <w:tcW w:w="122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420" w:type="dxa"/>
            <w:vAlign w:val="bottom"/>
            <w:shd w:val="clear" w:color="auto" w:fill="C0FFFF"/>
          </w:tcPr>
          <w:p>
            <w:pPr>
              <w:spacing w:after="0"/>
              <w:rPr>
                <w:sz w:val="16"/>
                <w:szCs w:val="16"/>
                <w:color w:val="auto"/>
              </w:rPr>
            </w:pPr>
          </w:p>
        </w:tc>
        <w:tc>
          <w:tcPr>
            <w:tcW w:w="9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47,385</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30,462</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shd w:val="clear" w:color="auto" w:fill="C0FFFF"/>
          </w:tcPr>
          <w:p>
            <w:pPr>
              <w:spacing w:after="0"/>
              <w:rPr>
                <w:sz w:val="16"/>
                <w:szCs w:val="16"/>
                <w:color w:val="auto"/>
              </w:rPr>
            </w:pPr>
          </w:p>
        </w:tc>
        <w:tc>
          <w:tcPr>
            <w:tcW w:w="3340" w:type="dxa"/>
            <w:vAlign w:val="bottom"/>
            <w:shd w:val="clear" w:color="auto" w:fill="C0FFFF"/>
          </w:tcPr>
          <w:p>
            <w:pPr>
              <w:spacing w:after="0"/>
              <w:rPr>
                <w:sz w:val="16"/>
                <w:szCs w:val="16"/>
                <w:color w:val="auto"/>
              </w:rPr>
            </w:pPr>
          </w:p>
        </w:tc>
        <w:tc>
          <w:tcPr>
            <w:tcW w:w="122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420" w:type="dxa"/>
            <w:vAlign w:val="bottom"/>
            <w:tcBorders>
              <w:top w:val="single" w:sz="8" w:color="auto"/>
            </w:tcBorders>
            <w:shd w:val="clear" w:color="auto" w:fill="C0FFFF"/>
          </w:tcPr>
          <w:p>
            <w:pPr>
              <w:spacing w:after="0"/>
              <w:rPr>
                <w:sz w:val="16"/>
                <w:szCs w:val="16"/>
                <w:color w:val="auto"/>
              </w:rPr>
            </w:pPr>
          </w:p>
        </w:tc>
        <w:tc>
          <w:tcPr>
            <w:tcW w:w="86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399,664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left="40" w:right="20"/>
        <w:spacing w:after="0" w:line="267" w:lineRule="auto"/>
        <w:rPr>
          <w:sz w:val="20"/>
          <w:szCs w:val="20"/>
          <w:color w:val="auto"/>
        </w:rPr>
      </w:pPr>
      <w:r>
        <w:rPr>
          <w:rFonts w:ascii="Times New Roman" w:cs="Times New Roman" w:eastAsia="Times New Roman" w:hAnsi="Times New Roman"/>
          <w:sz w:val="16"/>
          <w:szCs w:val="16"/>
          <w:color w:val="auto"/>
        </w:rPr>
        <w:t>The interest rates on the Company’s variable interest rate notes are based on LIBOR. The interest rates on the notes range from approximately 1.7% to 3.1% on December 31, 2012. Payments on the notes range from $1,910 to $80,000 per month, plus interest. Maturities of these notes range from May 2013, to December 2017.</w:t>
      </w:r>
    </w:p>
    <w:p>
      <w:pPr>
        <w:spacing w:after="0" w:line="360" w:lineRule="exact"/>
        <w:rPr>
          <w:sz w:val="20"/>
          <w:szCs w:val="20"/>
          <w:color w:val="auto"/>
        </w:rPr>
      </w:pPr>
    </w:p>
    <w:p>
      <w:pPr>
        <w:jc w:val="both"/>
        <w:ind w:left="40" w:right="20"/>
        <w:spacing w:after="0" w:line="267" w:lineRule="auto"/>
        <w:rPr>
          <w:sz w:val="20"/>
          <w:szCs w:val="20"/>
          <w:color w:val="auto"/>
        </w:rPr>
      </w:pPr>
      <w:r>
        <w:rPr>
          <w:rFonts w:ascii="Times New Roman" w:cs="Times New Roman" w:eastAsia="Times New Roman" w:hAnsi="Times New Roman"/>
          <w:sz w:val="16"/>
          <w:szCs w:val="16"/>
          <w:color w:val="auto"/>
        </w:rPr>
        <w:t>The Company’s fixed interest rate notes are with financial institutions and had interest rates that ranged from approximately 3.11% to 8.50% on December 31, 2012. Payments on the notes range from $233 to $94,697 per month, plus interest. Maturities of these notes range from January 2013, to November 2021.</w:t>
      </w:r>
    </w:p>
    <w:p>
      <w:pPr>
        <w:spacing w:after="0" w:line="197" w:lineRule="exact"/>
        <w:rPr>
          <w:sz w:val="20"/>
          <w:szCs w:val="20"/>
          <w:color w:val="auto"/>
        </w:rPr>
      </w:pPr>
    </w:p>
    <w:p>
      <w:pPr>
        <w:jc w:val="both"/>
        <w:ind w:left="40" w:right="20"/>
        <w:spacing w:after="0" w:line="267" w:lineRule="auto"/>
        <w:rPr>
          <w:sz w:val="20"/>
          <w:szCs w:val="20"/>
          <w:color w:val="auto"/>
        </w:rPr>
      </w:pPr>
      <w:r>
        <w:rPr>
          <w:rFonts w:ascii="Times New Roman" w:cs="Times New Roman" w:eastAsia="Times New Roman" w:hAnsi="Times New Roman"/>
          <w:sz w:val="16"/>
          <w:szCs w:val="16"/>
          <w:color w:val="auto"/>
        </w:rPr>
        <w:t>The proceeds from the issuance of the notes were used primarily to acquire land, buildings and improvements, transportation equipment and leasing vehicles. The notes are secured by the assets acquired with the proceeds of such notes.</w:t>
      </w:r>
    </w:p>
    <w:p>
      <w:pPr>
        <w:spacing w:after="0" w:line="197"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16"/>
          <w:szCs w:val="16"/>
          <w:color w:val="auto"/>
        </w:rPr>
        <w:t>The Company’s long-term real estate debt agreements and floor plan arrangement require the Company to satisfy various financial ratios such as the debt to worth ratio, leverage ratio, the fixed charge coverage ratio and certain requirements for tangible net worth and GAAP net worth. At December 31, 2012, the Company was in compliance with all debt covenants related to debt secured by real estate. The Company does not anticipate any breach of the covenants in the foreseeable future.</w:t>
      </w:r>
    </w:p>
    <w:p>
      <w:pPr>
        <w:spacing w:after="0" w:line="207" w:lineRule="exact"/>
        <w:rPr>
          <w:sz w:val="20"/>
          <w:szCs w:val="20"/>
          <w:color w:val="auto"/>
        </w:rPr>
      </w:pPr>
    </w:p>
    <w:p>
      <w:pPr>
        <w:ind w:left="740" w:hanging="707"/>
        <w:spacing w:after="0"/>
        <w:tabs>
          <w:tab w:leader="none" w:pos="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INSTRUMENTS AND FAIR VALUE</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16"/>
          <w:szCs w:val="16"/>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2012 and 2011. The carrying value of current assets and current liabilities approximates the fair value due to the short maturity of these items.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68580</wp:posOffset>
            </wp:positionV>
            <wp:extent cx="727075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80"/>
          </w:cols>
          <w:pgMar w:left="200" w:top="718" w:right="219" w:bottom="1440" w:gutter="0" w:footer="0" w:header="0"/>
        </w:sectPr>
      </w:pPr>
    </w:p>
    <w:bookmarkStart w:id="59" w:name="page60"/>
    <w:bookmarkEnd w:id="59"/>
    <w:p>
      <w:pPr>
        <w:jc w:val="both"/>
        <w:spacing w:after="0" w:line="251" w:lineRule="auto"/>
        <w:rPr>
          <w:sz w:val="20"/>
          <w:szCs w:val="20"/>
          <w:color w:val="auto"/>
        </w:rPr>
      </w:pPr>
      <w:r>
        <w:rPr>
          <w:rFonts w:ascii="Times New Roman" w:cs="Times New Roman" w:eastAsia="Times New Roman" w:hAnsi="Times New Roman"/>
          <w:sz w:val="16"/>
          <w:szCs w:val="16"/>
          <w:color w:val="auto"/>
        </w:rPr>
        <w:t>The fair value of the Company’s long-term debt is based on secondary market indicators. Since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of December 31, 2012 and 2011, the Company held auction rate securities with underlying tax-exempt municipal bonds that mature in 2030 that have a fair value of $6.6 million and a cost basis of $7.6 million. These bonds have credit wrap insurance and a credit rating of Aa3 by a major credit rating agency.</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valued the auction rate securities at December 31, 2012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1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recorded a pre-tax impairment charge of $1.0 million on these investments in 2011. The Company believes that the impairment is temporary and has included the impairment in accumulated other comprehensive loss.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disclosures about the auction rate securities measured at fair value on a recurring basis in the Company’s financial statements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At December 31, 2012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60" w:type="dxa"/>
            <w:vAlign w:val="bottom"/>
          </w:tcPr>
          <w:p>
            <w:pPr>
              <w:spacing w:after="0"/>
              <w:rPr>
                <w:sz w:val="18"/>
                <w:szCs w:val="18"/>
                <w:color w:val="auto"/>
              </w:rPr>
            </w:pPr>
          </w:p>
        </w:tc>
      </w:tr>
      <w:tr>
        <w:trPr>
          <w:trHeight w:val="168"/>
        </w:trPr>
        <w:tc>
          <w:tcPr>
            <w:tcW w:w="1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10"/>
          </w:tcPr>
          <w:p>
            <w:pPr>
              <w:jc w:val="center"/>
              <w:ind w:right="122"/>
              <w:spacing w:after="0" w:line="168" w:lineRule="exact"/>
              <w:rPr>
                <w:sz w:val="20"/>
                <w:szCs w:val="20"/>
                <w:color w:val="auto"/>
              </w:rPr>
            </w:pPr>
            <w:r>
              <w:rPr>
                <w:rFonts w:ascii="Times New Roman" w:cs="Times New Roman" w:eastAsia="Times New Roman" w:hAnsi="Times New Roman"/>
                <w:sz w:val="16"/>
                <w:szCs w:val="16"/>
                <w:b w:val="1"/>
                <w:bCs w:val="1"/>
                <w:color w:val="auto"/>
                <w:w w:val="95"/>
              </w:rPr>
              <w:t>Fair Value Estimated Using</w:t>
            </w:r>
          </w:p>
        </w:tc>
        <w:tc>
          <w:tcPr>
            <w:tcW w:w="2060" w:type="dxa"/>
            <w:vAlign w:val="bottom"/>
          </w:tcPr>
          <w:p>
            <w:pPr>
              <w:spacing w:after="0"/>
              <w:rPr>
                <w:sz w:val="14"/>
                <w:szCs w:val="14"/>
                <w:color w:val="auto"/>
              </w:rPr>
            </w:pPr>
          </w:p>
        </w:tc>
      </w:tr>
      <w:tr>
        <w:trPr>
          <w:trHeight w:val="187"/>
        </w:trPr>
        <w:tc>
          <w:tcPr>
            <w:tcW w:w="1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60" w:type="dxa"/>
            <w:vAlign w:val="bottom"/>
          </w:tcPr>
          <w:p>
            <w:pPr>
              <w:spacing w:after="0"/>
              <w:rPr>
                <w:sz w:val="16"/>
                <w:szCs w:val="16"/>
                <w:color w:val="auto"/>
              </w:rPr>
            </w:pPr>
          </w:p>
        </w:tc>
      </w:tr>
      <w:tr>
        <w:trPr>
          <w:trHeight w:val="208"/>
        </w:trPr>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60" w:type="dxa"/>
            <w:vAlign w:val="bottom"/>
          </w:tcPr>
          <w:p>
            <w:pPr>
              <w:spacing w:after="0"/>
              <w:rPr>
                <w:sz w:val="18"/>
                <w:szCs w:val="18"/>
                <w:color w:val="auto"/>
              </w:rPr>
            </w:pPr>
          </w:p>
        </w:tc>
      </w:tr>
      <w:tr>
        <w:trPr>
          <w:trHeight w:val="187"/>
        </w:trPr>
        <w:tc>
          <w:tcPr>
            <w:tcW w:w="1120" w:type="dxa"/>
            <w:vAlign w:val="bottom"/>
          </w:tcPr>
          <w:p>
            <w:pPr>
              <w:spacing w:after="0"/>
              <w:rPr>
                <w:sz w:val="16"/>
                <w:szCs w:val="16"/>
                <w:color w:val="auto"/>
              </w:rPr>
            </w:pPr>
          </w:p>
        </w:tc>
        <w:tc>
          <w:tcPr>
            <w:tcW w:w="27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Investment in auction rate securities</w:t>
            </w:r>
          </w:p>
        </w:tc>
        <w:tc>
          <w:tcPr>
            <w:tcW w:w="6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ind w:left="800"/>
              <w:spacing w:after="0"/>
              <w:rPr>
                <w:sz w:val="20"/>
                <w:szCs w:val="20"/>
                <w:color w:val="auto"/>
              </w:rPr>
            </w:pPr>
            <w:r>
              <w:rPr>
                <w:rFonts w:ascii="Times New Roman" w:cs="Times New Roman" w:eastAsia="Times New Roman" w:hAnsi="Times New Roman"/>
                <w:sz w:val="16"/>
                <w:szCs w:val="16"/>
                <w:color w:val="auto"/>
              </w:rPr>
              <w:t>7,575</w:t>
            </w:r>
          </w:p>
        </w:tc>
        <w:tc>
          <w:tcPr>
            <w:tcW w:w="1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0FFFF"/>
          </w:tcPr>
          <w:p>
            <w:pPr>
              <w:spacing w:after="0"/>
              <w:rPr>
                <w:sz w:val="16"/>
                <w:szCs w:val="16"/>
                <w:color w:val="auto"/>
              </w:rPr>
            </w:pPr>
          </w:p>
        </w:tc>
        <w:tc>
          <w:tcPr>
            <w:tcW w:w="880" w:type="dxa"/>
            <w:vAlign w:val="bottom"/>
            <w:gridSpan w:val="2"/>
            <w:shd w:val="clear" w:color="auto" w:fill="C0FF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0FFFF"/>
          </w:tcPr>
          <w:p>
            <w:pPr>
              <w:spacing w:after="0"/>
              <w:rPr>
                <w:sz w:val="16"/>
                <w:szCs w:val="16"/>
                <w:color w:val="auto"/>
              </w:rPr>
            </w:pPr>
          </w:p>
        </w:tc>
        <w:tc>
          <w:tcPr>
            <w:tcW w:w="860" w:type="dxa"/>
            <w:vAlign w:val="bottom"/>
            <w:gridSpan w:val="2"/>
            <w:shd w:val="clear" w:color="auto" w:fill="C0FF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0FFFF"/>
          </w:tcPr>
          <w:p>
            <w:pPr>
              <w:spacing w:after="0"/>
              <w:rPr>
                <w:sz w:val="16"/>
                <w:szCs w:val="16"/>
                <w:color w:val="auto"/>
              </w:rPr>
            </w:pPr>
          </w:p>
        </w:tc>
        <w:tc>
          <w:tcPr>
            <w:tcW w:w="960" w:type="dxa"/>
            <w:vAlign w:val="bottom"/>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6,628</w:t>
            </w:r>
          </w:p>
        </w:tc>
        <w:tc>
          <w:tcPr>
            <w:tcW w:w="2060" w:type="dxa"/>
            <w:vAlign w:val="bottom"/>
          </w:tcPr>
          <w:p>
            <w:pPr>
              <w:spacing w:after="0"/>
              <w:rPr>
                <w:sz w:val="16"/>
                <w:szCs w:val="16"/>
                <w:color w:val="auto"/>
              </w:rPr>
            </w:pPr>
          </w:p>
        </w:tc>
      </w:tr>
      <w:tr>
        <w:trPr>
          <w:trHeight w:val="377"/>
        </w:trPr>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At December 31, 2011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168"/>
        </w:trPr>
        <w:tc>
          <w:tcPr>
            <w:tcW w:w="1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10"/>
          </w:tcPr>
          <w:p>
            <w:pPr>
              <w:ind w:left="660"/>
              <w:spacing w:after="0" w:line="168" w:lineRule="exact"/>
              <w:rPr>
                <w:sz w:val="20"/>
                <w:szCs w:val="20"/>
                <w:color w:val="auto"/>
              </w:rPr>
            </w:pPr>
            <w:r>
              <w:rPr>
                <w:rFonts w:ascii="Times New Roman" w:cs="Times New Roman" w:eastAsia="Times New Roman" w:hAnsi="Times New Roman"/>
                <w:sz w:val="16"/>
                <w:szCs w:val="16"/>
                <w:b w:val="1"/>
                <w:bCs w:val="1"/>
                <w:color w:val="auto"/>
              </w:rPr>
              <w:t>Fair Value Estimated Using</w:t>
            </w:r>
          </w:p>
        </w:tc>
        <w:tc>
          <w:tcPr>
            <w:tcW w:w="2060" w:type="dxa"/>
            <w:vAlign w:val="bottom"/>
          </w:tcPr>
          <w:p>
            <w:pPr>
              <w:spacing w:after="0"/>
              <w:rPr>
                <w:sz w:val="14"/>
                <w:szCs w:val="14"/>
                <w:color w:val="auto"/>
              </w:rPr>
            </w:pPr>
          </w:p>
        </w:tc>
      </w:tr>
      <w:tr>
        <w:trPr>
          <w:trHeight w:val="187"/>
        </w:trPr>
        <w:tc>
          <w:tcPr>
            <w:tcW w:w="1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60" w:type="dxa"/>
            <w:vAlign w:val="bottom"/>
          </w:tcPr>
          <w:p>
            <w:pPr>
              <w:spacing w:after="0"/>
              <w:rPr>
                <w:sz w:val="16"/>
                <w:szCs w:val="16"/>
                <w:color w:val="auto"/>
              </w:rPr>
            </w:pPr>
          </w:p>
        </w:tc>
      </w:tr>
      <w:tr>
        <w:trPr>
          <w:trHeight w:val="208"/>
        </w:trPr>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60" w:type="dxa"/>
            <w:vAlign w:val="bottom"/>
          </w:tcPr>
          <w:p>
            <w:pPr>
              <w:spacing w:after="0"/>
              <w:rPr>
                <w:sz w:val="18"/>
                <w:szCs w:val="18"/>
                <w:color w:val="auto"/>
              </w:rPr>
            </w:pPr>
          </w:p>
        </w:tc>
      </w:tr>
      <w:tr>
        <w:trPr>
          <w:trHeight w:val="187"/>
        </w:trPr>
        <w:tc>
          <w:tcPr>
            <w:tcW w:w="1120" w:type="dxa"/>
            <w:vAlign w:val="bottom"/>
          </w:tcPr>
          <w:p>
            <w:pPr>
              <w:spacing w:after="0"/>
              <w:rPr>
                <w:sz w:val="16"/>
                <w:szCs w:val="16"/>
                <w:color w:val="auto"/>
              </w:rPr>
            </w:pPr>
          </w:p>
        </w:tc>
        <w:tc>
          <w:tcPr>
            <w:tcW w:w="27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Investment in auction rate securities</w:t>
            </w:r>
          </w:p>
        </w:tc>
        <w:tc>
          <w:tcPr>
            <w:tcW w:w="780" w:type="dxa"/>
            <w:vAlign w:val="bottom"/>
            <w:gridSpan w:val="3"/>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0FFFF"/>
          </w:tcPr>
          <w:p>
            <w:pPr>
              <w:ind w:left="880"/>
              <w:spacing w:after="0"/>
              <w:rPr>
                <w:sz w:val="20"/>
                <w:szCs w:val="20"/>
                <w:color w:val="auto"/>
              </w:rPr>
            </w:pPr>
            <w:r>
              <w:rPr>
                <w:rFonts w:ascii="Times New Roman" w:cs="Times New Roman" w:eastAsia="Times New Roman" w:hAnsi="Times New Roman"/>
                <w:sz w:val="16"/>
                <w:szCs w:val="16"/>
                <w:color w:val="auto"/>
                <w:w w:val="94"/>
              </w:rPr>
              <w:t>7,575</w:t>
            </w:r>
          </w:p>
        </w:tc>
        <w:tc>
          <w:tcPr>
            <w:tcW w:w="2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0FF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0FFFF"/>
          </w:tcPr>
          <w:p>
            <w:pPr>
              <w:ind w:left="7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6,628</w:t>
            </w:r>
          </w:p>
        </w:tc>
        <w:tc>
          <w:tcPr>
            <w:tcW w:w="2060" w:type="dxa"/>
            <w:vAlign w:val="bottom"/>
          </w:tcPr>
          <w:p>
            <w:pPr>
              <w:spacing w:after="0"/>
              <w:rPr>
                <w:sz w:val="16"/>
                <w:szCs w:val="16"/>
                <w:color w:val="auto"/>
              </w:rPr>
            </w:pPr>
          </w:p>
        </w:tc>
      </w:tr>
      <w:tr>
        <w:trPr>
          <w:trHeight w:val="524"/>
        </w:trPr>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01"/>
        </w:trPr>
        <w:tc>
          <w:tcPr>
            <w:tcW w:w="11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i w:val="1"/>
          <w:iCs w:val="1"/>
          <w:color w:val="auto"/>
        </w:rPr>
        <w:t>Interest Rate Swap Agreements</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At December 31, 2012, the Company had an aggregate $41.7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years ended December 31, 2012 and December 31, 2011.</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$1.9 million as of December 31, 2012. The carrying value of these swaps is included in Other Long-Term Liabilities on the accompanying Consolidated Balance Sheet as of December 31,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2012 the Company was party to derivative financial instruments, as described in the following table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Current Notional</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Fixed Interest</w:t>
            </w:r>
          </w:p>
        </w:tc>
        <w:tc>
          <w:tcPr>
            <w:tcW w:w="21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8"/>
        </w:trPr>
        <w:tc>
          <w:tcPr>
            <w:tcW w:w="420" w:type="dxa"/>
            <w:vAlign w:val="bottom"/>
          </w:tcPr>
          <w:p>
            <w:pPr>
              <w:spacing w:after="0"/>
              <w:rPr>
                <w:sz w:val="18"/>
                <w:szCs w:val="18"/>
                <w:color w:val="auto"/>
              </w:rPr>
            </w:pPr>
          </w:p>
        </w:tc>
        <w:tc>
          <w:tcPr>
            <w:tcW w:w="21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2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Expiration Date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7"/>
        </w:trPr>
        <w:tc>
          <w:tcPr>
            <w:tcW w:w="420" w:type="dxa"/>
            <w:vAlign w:val="bottom"/>
          </w:tcPr>
          <w:p>
            <w:pPr>
              <w:spacing w:after="0"/>
              <w:rPr>
                <w:sz w:val="16"/>
                <w:szCs w:val="16"/>
                <w:color w:val="auto"/>
              </w:rPr>
            </w:pPr>
          </w:p>
        </w:tc>
        <w:tc>
          <w:tcPr>
            <w:tcW w:w="21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320" w:type="dxa"/>
            <w:vAlign w:val="bottom"/>
            <w:gridSpan w:val="2"/>
            <w:shd w:val="clear" w:color="auto" w:fill="C0FF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2,033</w:t>
            </w:r>
          </w:p>
        </w:tc>
        <w:tc>
          <w:tcPr>
            <w:tcW w:w="14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2100" w:type="dxa"/>
            <w:vAlign w:val="bottom"/>
            <w:shd w:val="clear" w:color="auto" w:fill="C0FFFF"/>
          </w:tcPr>
          <w:p>
            <w:pPr>
              <w:ind w:left="860"/>
              <w:spacing w:after="0"/>
              <w:rPr>
                <w:sz w:val="20"/>
                <w:szCs w:val="20"/>
                <w:color w:val="auto"/>
              </w:rPr>
            </w:pPr>
            <w:r>
              <w:rPr>
                <w:rFonts w:ascii="Times New Roman" w:cs="Times New Roman" w:eastAsia="Times New Roman" w:hAnsi="Times New Roman"/>
                <w:sz w:val="16"/>
                <w:szCs w:val="16"/>
                <w:color w:val="auto"/>
              </w:rPr>
              <w:t>3 month LIBOR</w:t>
            </w:r>
          </w:p>
        </w:tc>
        <w:tc>
          <w:tcPr>
            <w:tcW w:w="1880" w:type="dxa"/>
            <w:vAlign w:val="bottom"/>
            <w:shd w:val="clear" w:color="auto" w:fill="C0FFFF"/>
          </w:tcPr>
          <w:p>
            <w:pPr>
              <w:jc w:val="center"/>
              <w:ind w:right="142"/>
              <w:spacing w:after="0"/>
              <w:rPr>
                <w:sz w:val="20"/>
                <w:szCs w:val="20"/>
                <w:color w:val="auto"/>
              </w:rPr>
            </w:pPr>
            <w:r>
              <w:rPr>
                <w:rFonts w:ascii="Times New Roman" w:cs="Times New Roman" w:eastAsia="Times New Roman" w:hAnsi="Times New Roman"/>
                <w:sz w:val="16"/>
                <w:szCs w:val="16"/>
                <w:color w:val="auto"/>
                <w:w w:val="99"/>
              </w:rPr>
              <w:t>July 1, 2015</w:t>
            </w:r>
          </w:p>
        </w:tc>
        <w:tc>
          <w:tcPr>
            <w:tcW w:w="2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2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3 month LIBOR</w:t>
            </w:r>
          </w:p>
        </w:tc>
        <w:tc>
          <w:tcPr>
            <w:tcW w:w="188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9"/>
              </w:rPr>
              <w:t>July 1, 2015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(205)</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7,294</w:t>
            </w:r>
          </w:p>
        </w:tc>
        <w:tc>
          <w:tcPr>
            <w:tcW w:w="14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100" w:type="dxa"/>
            <w:vAlign w:val="bottom"/>
            <w:shd w:val="clear" w:color="auto" w:fill="C0FFFF"/>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shd w:val="clear" w:color="auto" w:fill="C0FFFF"/>
          </w:tcPr>
          <w:p>
            <w:pPr>
              <w:jc w:val="center"/>
              <w:ind w:right="142"/>
              <w:spacing w:after="0"/>
              <w:rPr>
                <w:sz w:val="20"/>
                <w:szCs w:val="20"/>
                <w:color w:val="auto"/>
              </w:rPr>
            </w:pPr>
            <w:r>
              <w:rPr>
                <w:rFonts w:ascii="Times New Roman" w:cs="Times New Roman" w:eastAsia="Times New Roman" w:hAnsi="Times New Roman"/>
                <w:sz w:val="16"/>
                <w:szCs w:val="16"/>
                <w:color w:val="auto"/>
                <w:w w:val="96"/>
              </w:rPr>
              <w:t>December 31, 2014</w:t>
            </w:r>
          </w:p>
        </w:tc>
        <w:tc>
          <w:tcPr>
            <w:tcW w:w="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(288)</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December 31, 2014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2,509</w:t>
            </w:r>
          </w:p>
        </w:tc>
        <w:tc>
          <w:tcPr>
            <w:tcW w:w="14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100" w:type="dxa"/>
            <w:vAlign w:val="bottom"/>
            <w:shd w:val="clear" w:color="auto" w:fill="C0FFFF"/>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shd w:val="clear" w:color="auto" w:fill="C0FFFF"/>
          </w:tcPr>
          <w:p>
            <w:pPr>
              <w:jc w:val="center"/>
              <w:ind w:right="142"/>
              <w:spacing w:after="0"/>
              <w:rPr>
                <w:sz w:val="20"/>
                <w:szCs w:val="20"/>
                <w:color w:val="auto"/>
              </w:rPr>
            </w:pPr>
            <w:r>
              <w:rPr>
                <w:rFonts w:ascii="Times New Roman" w:cs="Times New Roman" w:eastAsia="Times New Roman" w:hAnsi="Times New Roman"/>
                <w:sz w:val="16"/>
                <w:szCs w:val="16"/>
                <w:color w:val="auto"/>
                <w:w w:val="96"/>
              </w:rPr>
              <w:t>December 31, 2014</w:t>
            </w:r>
          </w:p>
        </w:tc>
        <w:tc>
          <w:tcPr>
            <w:tcW w:w="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5,678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December 31, 2014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(224)</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5,200</w:t>
            </w:r>
          </w:p>
        </w:tc>
        <w:tc>
          <w:tcPr>
            <w:tcW w:w="14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2100" w:type="dxa"/>
            <w:vAlign w:val="bottom"/>
            <w:shd w:val="clear" w:color="auto" w:fill="C0FFFF"/>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shd w:val="clear" w:color="auto" w:fill="C0FFFF"/>
          </w:tcPr>
          <w:p>
            <w:pPr>
              <w:jc w:val="center"/>
              <w:ind w:right="142"/>
              <w:spacing w:after="0"/>
              <w:rPr>
                <w:sz w:val="20"/>
                <w:szCs w:val="20"/>
                <w:color w:val="auto"/>
              </w:rPr>
            </w:pPr>
            <w:r>
              <w:rPr>
                <w:rFonts w:ascii="Times New Roman" w:cs="Times New Roman" w:eastAsia="Times New Roman" w:hAnsi="Times New Roman"/>
                <w:sz w:val="16"/>
                <w:szCs w:val="16"/>
                <w:color w:val="auto"/>
                <w:w w:val="96"/>
              </w:rPr>
              <w:t>June 29, 2015</w:t>
            </w:r>
          </w:p>
        </w:tc>
        <w:tc>
          <w:tcPr>
            <w:tcW w:w="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(272)</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June 30, 2015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1,533</w:t>
            </w:r>
          </w:p>
        </w:tc>
        <w:tc>
          <w:tcPr>
            <w:tcW w:w="14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100" w:type="dxa"/>
            <w:vAlign w:val="bottom"/>
            <w:shd w:val="clear" w:color="auto" w:fill="C0FFFF"/>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shd w:val="clear" w:color="auto" w:fill="C0FFFF"/>
          </w:tcPr>
          <w:p>
            <w:pPr>
              <w:jc w:val="center"/>
              <w:ind w:right="142"/>
              <w:spacing w:after="0"/>
              <w:rPr>
                <w:sz w:val="20"/>
                <w:szCs w:val="20"/>
                <w:color w:val="auto"/>
              </w:rPr>
            </w:pPr>
            <w:r>
              <w:rPr>
                <w:rFonts w:ascii="Times New Roman" w:cs="Times New Roman" w:eastAsia="Times New Roman" w:hAnsi="Times New Roman"/>
                <w:sz w:val="16"/>
                <w:szCs w:val="16"/>
                <w:color w:val="auto"/>
                <w:w w:val="96"/>
              </w:rPr>
              <w:t>June 30, 2015</w:t>
            </w:r>
          </w:p>
        </w:tc>
        <w:tc>
          <w:tcPr>
            <w:tcW w:w="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June 30, 2015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(388)</w:t>
            </w:r>
          </w:p>
        </w:tc>
        <w:tc>
          <w:tcPr>
            <w:tcW w:w="560" w:type="dxa"/>
            <w:vAlign w:val="bottom"/>
          </w:tcPr>
          <w:p>
            <w:pPr>
              <w:spacing w:after="0"/>
              <w:rPr>
                <w:sz w:val="16"/>
                <w:szCs w:val="16"/>
                <w:color w:val="auto"/>
              </w:rPr>
            </w:pPr>
          </w:p>
        </w:tc>
      </w:tr>
      <w:tr>
        <w:trPr>
          <w:trHeight w:val="187"/>
        </w:trPr>
        <w:tc>
          <w:tcPr>
            <w:tcW w:w="420" w:type="dxa"/>
            <w:vAlign w:val="bottom"/>
          </w:tcPr>
          <w:p>
            <w:pPr>
              <w:spacing w:after="0"/>
              <w:rPr>
                <w:sz w:val="16"/>
                <w:szCs w:val="16"/>
                <w:color w:val="auto"/>
              </w:rPr>
            </w:pPr>
          </w:p>
        </w:tc>
        <w:tc>
          <w:tcPr>
            <w:tcW w:w="21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667</w:t>
            </w:r>
          </w:p>
        </w:tc>
        <w:tc>
          <w:tcPr>
            <w:tcW w:w="140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100" w:type="dxa"/>
            <w:vAlign w:val="bottom"/>
            <w:shd w:val="clear" w:color="auto" w:fill="C0FFFF"/>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shd w:val="clear" w:color="auto" w:fill="C0FFFF"/>
          </w:tcPr>
          <w:p>
            <w:pPr>
              <w:jc w:val="center"/>
              <w:ind w:right="142"/>
              <w:spacing w:after="0"/>
              <w:rPr>
                <w:sz w:val="20"/>
                <w:szCs w:val="20"/>
                <w:color w:val="auto"/>
              </w:rPr>
            </w:pPr>
            <w:r>
              <w:rPr>
                <w:rFonts w:ascii="Times New Roman" w:cs="Times New Roman" w:eastAsia="Times New Roman" w:hAnsi="Times New Roman"/>
                <w:sz w:val="16"/>
                <w:szCs w:val="16"/>
                <w:color w:val="auto"/>
                <w:w w:val="96"/>
              </w:rPr>
              <w:t>June 30, 2015</w:t>
            </w:r>
          </w:p>
        </w:tc>
        <w:tc>
          <w:tcPr>
            <w:tcW w:w="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560" w:type="dxa"/>
            <w:vAlign w:val="bottom"/>
          </w:tcPr>
          <w:p>
            <w:pPr>
              <w:spacing w:after="0"/>
              <w:rPr>
                <w:sz w:val="16"/>
                <w:szCs w:val="16"/>
                <w:color w:val="auto"/>
              </w:rPr>
            </w:pPr>
          </w:p>
        </w:tc>
      </w:tr>
      <w:tr>
        <w:trPr>
          <w:trHeight w:val="203"/>
        </w:trPr>
        <w:tc>
          <w:tcPr>
            <w:tcW w:w="42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 month LIBOR</w:t>
            </w:r>
          </w:p>
        </w:tc>
        <w:tc>
          <w:tcPr>
            <w:tcW w:w="188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June 30, 2015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w:t>
            </w:r>
          </w:p>
        </w:tc>
        <w:tc>
          <w:tcPr>
            <w:tcW w:w="560" w:type="dxa"/>
            <w:vAlign w:val="bottom"/>
          </w:tcPr>
          <w:p>
            <w:pPr>
              <w:spacing w:after="0"/>
              <w:rPr>
                <w:sz w:val="17"/>
                <w:szCs w:val="17"/>
                <w:color w:val="auto"/>
              </w:rPr>
            </w:pPr>
          </w:p>
        </w:tc>
      </w:tr>
      <w:tr>
        <w:trPr>
          <w:trHeight w:val="508"/>
        </w:trPr>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58</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42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3" w:right="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auto"/>
        </w:rPr>
        <w:t>Fair values of derivative instruments are on the accompanying Consolidated Balance Sheet as follows (in thousands):</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Fair Value at</w:t>
            </w:r>
          </w:p>
        </w:tc>
      </w:tr>
      <w:tr>
        <w:trPr>
          <w:trHeight w:val="190"/>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 Designated as Hedging Instruments</w:t>
            </w:r>
          </w:p>
        </w:tc>
        <w:tc>
          <w:tcPr>
            <w:tcW w:w="100" w:type="dxa"/>
            <w:vAlign w:val="bottom"/>
          </w:tcPr>
          <w:p>
            <w:pPr>
              <w:spacing w:after="0"/>
              <w:rPr>
                <w:sz w:val="16"/>
                <w:szCs w:val="16"/>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48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2011</w:t>
            </w:r>
          </w:p>
        </w:tc>
        <w:tc>
          <w:tcPr>
            <w:tcW w:w="100" w:type="dxa"/>
            <w:vAlign w:val="bottom"/>
          </w:tcPr>
          <w:p>
            <w:pPr>
              <w:spacing w:after="0"/>
              <w:rPr>
                <w:sz w:val="16"/>
                <w:szCs w:val="16"/>
                <w:color w:val="auto"/>
              </w:rPr>
            </w:pPr>
          </w:p>
        </w:tc>
      </w:tr>
      <w:tr>
        <w:trPr>
          <w:trHeight w:val="187"/>
        </w:trPr>
        <w:tc>
          <w:tcPr>
            <w:tcW w:w="41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0FFFF"/>
          </w:tcPr>
          <w:p>
            <w:pPr>
              <w:spacing w:after="0"/>
              <w:rPr>
                <w:sz w:val="16"/>
                <w:szCs w:val="16"/>
                <w:color w:val="auto"/>
              </w:rPr>
            </w:pPr>
          </w:p>
        </w:tc>
        <w:tc>
          <w:tcPr>
            <w:tcW w:w="22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0FFFF"/>
          </w:tcPr>
          <w:p>
            <w:pPr>
              <w:ind w:left="1100"/>
              <w:spacing w:after="0"/>
              <w:rPr>
                <w:sz w:val="20"/>
                <w:szCs w:val="20"/>
                <w:color w:val="auto"/>
              </w:rPr>
            </w:pPr>
            <w:r>
              <w:rPr>
                <w:rFonts w:ascii="Times New Roman" w:cs="Times New Roman" w:eastAsia="Times New Roman" w:hAnsi="Times New Roman"/>
                <w:sz w:val="16"/>
                <w:szCs w:val="16"/>
                <w:color w:val="auto"/>
              </w:rPr>
              <w:t>1,915</w:t>
            </w:r>
          </w:p>
        </w:tc>
        <w:tc>
          <w:tcPr>
            <w:tcW w:w="1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2,233</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pre-tax effect of the Company’s interest rate swaps on its consolidated statements of comprehensive income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5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December 31, 2011</w:t>
            </w:r>
          </w:p>
        </w:tc>
      </w:tr>
      <w:tr>
        <w:trPr>
          <w:trHeight w:val="170"/>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80" w:type="dxa"/>
            <w:vAlign w:val="bottom"/>
            <w:tcBorders>
              <w:top w:val="single" w:sz="8" w:color="auto"/>
            </w:tcBorders>
            <w:gridSpan w:val="2"/>
            <w:shd w:val="clear" w:color="auto" w:fill="C0FFFF"/>
          </w:tcPr>
          <w:p>
            <w:pPr>
              <w:spacing w:after="0" w:line="170" w:lineRule="exact"/>
              <w:rPr>
                <w:sz w:val="20"/>
                <w:szCs w:val="20"/>
                <w:color w:val="auto"/>
              </w:rPr>
            </w:pPr>
            <w:r>
              <w:rPr>
                <w:rFonts w:ascii="Times New Roman" w:cs="Times New Roman" w:eastAsia="Times New Roman" w:hAnsi="Times New Roman"/>
                <w:sz w:val="16"/>
                <w:szCs w:val="16"/>
                <w:color w:val="auto"/>
              </w:rPr>
              <w:t>Gain (loss) recognized in other comprehensive income (loss) on</w:t>
            </w:r>
          </w:p>
        </w:tc>
        <w:tc>
          <w:tcPr>
            <w:tcW w:w="680" w:type="dxa"/>
            <w:vAlign w:val="bottom"/>
            <w:tcBorders>
              <w:top w:val="single" w:sz="8" w:color="auto"/>
            </w:tcBorders>
            <w:shd w:val="clear" w:color="auto" w:fill="C0FFFF"/>
          </w:tcPr>
          <w:p>
            <w:pPr>
              <w:spacing w:after="0"/>
              <w:rPr>
                <w:sz w:val="14"/>
                <w:szCs w:val="14"/>
                <w:color w:val="auto"/>
              </w:rPr>
            </w:pPr>
          </w:p>
        </w:tc>
        <w:tc>
          <w:tcPr>
            <w:tcW w:w="760" w:type="dxa"/>
            <w:vAlign w:val="bottom"/>
            <w:tcBorders>
              <w:top w:val="single" w:sz="8" w:color="auto"/>
            </w:tcBorders>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c>
          <w:tcPr>
            <w:tcW w:w="480" w:type="dxa"/>
            <w:vAlign w:val="bottom"/>
            <w:tcBorders>
              <w:top w:val="single" w:sz="8" w:color="auto"/>
            </w:tcBorders>
            <w:shd w:val="clear" w:color="auto" w:fill="C0FFFF"/>
          </w:tcPr>
          <w:p>
            <w:pPr>
              <w:spacing w:after="0"/>
              <w:rPr>
                <w:sz w:val="14"/>
                <w:szCs w:val="14"/>
                <w:color w:val="auto"/>
              </w:rPr>
            </w:pPr>
          </w:p>
        </w:tc>
        <w:tc>
          <w:tcPr>
            <w:tcW w:w="820" w:type="dxa"/>
            <w:vAlign w:val="bottom"/>
            <w:tcBorders>
              <w:top w:val="single" w:sz="8" w:color="auto"/>
            </w:tcBorders>
            <w:shd w:val="clear" w:color="auto" w:fill="C0FFFF"/>
          </w:tcPr>
          <w:p>
            <w:pPr>
              <w:spacing w:after="0"/>
              <w:rPr>
                <w:sz w:val="14"/>
                <w:szCs w:val="14"/>
                <w:color w:val="auto"/>
              </w:rPr>
            </w:pPr>
          </w:p>
        </w:tc>
        <w:tc>
          <w:tcPr>
            <w:tcW w:w="80" w:type="dxa"/>
            <w:vAlign w:val="bottom"/>
            <w:shd w:val="clear" w:color="auto" w:fill="C0FFFF"/>
          </w:tcPr>
          <w:p>
            <w:pPr>
              <w:spacing w:after="0"/>
              <w:rPr>
                <w:sz w:val="14"/>
                <w:szCs w:val="14"/>
                <w:color w:val="auto"/>
              </w:rPr>
            </w:pPr>
          </w:p>
        </w:tc>
      </w:tr>
      <w:tr>
        <w:trPr>
          <w:trHeight w:val="203"/>
        </w:trPr>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780" w:type="dxa"/>
            <w:vAlign w:val="bottom"/>
            <w:gridSpan w:val="2"/>
            <w:shd w:val="clear" w:color="auto" w:fill="C0FFFF"/>
          </w:tcPr>
          <w:p>
            <w:pPr>
              <w:ind w:left="340"/>
              <w:spacing w:after="0"/>
              <w:rPr>
                <w:sz w:val="20"/>
                <w:szCs w:val="20"/>
                <w:color w:val="auto"/>
              </w:rPr>
            </w:pPr>
            <w:r>
              <w:rPr>
                <w:rFonts w:ascii="Times New Roman" w:cs="Times New Roman" w:eastAsia="Times New Roman" w:hAnsi="Times New Roman"/>
                <w:sz w:val="16"/>
                <w:szCs w:val="16"/>
                <w:color w:val="auto"/>
              </w:rPr>
              <w:t>interest rate swaps</w:t>
            </w:r>
          </w:p>
        </w:tc>
        <w:tc>
          <w:tcPr>
            <w:tcW w:w="680" w:type="dxa"/>
            <w:vAlign w:val="bottom"/>
            <w:shd w:val="clear" w:color="auto" w:fill="C0FFFF"/>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317</w:t>
            </w:r>
          </w:p>
        </w:tc>
        <w:tc>
          <w:tcPr>
            <w:tcW w:w="560" w:type="dxa"/>
            <w:vAlign w:val="bottom"/>
            <w:gridSpan w:val="2"/>
            <w:shd w:val="clear" w:color="auto" w:fill="C0FF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(1,868)</w:t>
            </w:r>
          </w:p>
        </w:tc>
      </w:tr>
      <w:tr>
        <w:trPr>
          <w:trHeight w:val="385"/>
        </w:trPr>
        <w:tc>
          <w:tcPr>
            <w:tcW w:w="78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w w:val="79"/>
              </w:rPr>
              <w:t>10.</w:t>
            </w:r>
          </w:p>
        </w:tc>
        <w:tc>
          <w:tcPr>
            <w:tcW w:w="6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LEASING ACTIVITIES:</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Vehicle Leases as Lessee</w:t>
      </w: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leases vehicles, as lessee, primarily over periods ranging from one to ten years under operating lease and capital lease arrangements. Generally, the Company is required to incur all operating costs and pay a minimum rental. The Company guarantees the residual value of vehicles under operating lease and capital lease arrangements. At December 31, 2012, the Company guaranteed vehicle residual values of $5.0 million under operating lease arrangements and $19.8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$2.8 million for the year ended December 31, 2012, $2.8 million for the year ended December 31, 2011, and $3.8 million for the year ended December 31, 2010.</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discussed below, these vehicles are then subleased by the Company to customers under various agreements. Future minimum sublease rentals to be received by the Company under non-cancelable subleases, as described below, are $50.5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under capital and non-cancelable vehicle leases as of December 31, 2012,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Capital</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Operating</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Leases</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rPr>
              <w:t>Leases</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2013</w:t>
            </w:r>
          </w:p>
        </w:tc>
        <w:tc>
          <w:tcPr>
            <w:tcW w:w="2840" w:type="dxa"/>
            <w:vAlign w:val="bottom"/>
            <w:gridSpan w:val="2"/>
            <w:shd w:val="clear" w:color="auto" w:fill="C0FFFF"/>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w w:val="90"/>
              </w:rPr>
              <w:t>12,177</w:t>
            </w:r>
          </w:p>
        </w:tc>
        <w:tc>
          <w:tcPr>
            <w:tcW w:w="2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80" w:type="dxa"/>
            <w:vAlign w:val="bottom"/>
            <w:shd w:val="clear" w:color="auto" w:fill="C0FFFF"/>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2014</w:t>
            </w:r>
          </w:p>
        </w:tc>
        <w:tc>
          <w:tcPr>
            <w:tcW w:w="1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0"/>
              </w:rPr>
              <w:t>11,274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730</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2015</w:t>
            </w:r>
          </w:p>
        </w:tc>
        <w:tc>
          <w:tcPr>
            <w:tcW w:w="196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5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9,552</w:t>
            </w:r>
          </w:p>
        </w:tc>
        <w:tc>
          <w:tcPr>
            <w:tcW w:w="6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284</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2016</w:t>
            </w:r>
          </w:p>
        </w:tc>
        <w:tc>
          <w:tcPr>
            <w:tcW w:w="1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7,233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2017</w:t>
            </w:r>
          </w:p>
        </w:tc>
        <w:tc>
          <w:tcPr>
            <w:tcW w:w="196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5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5,001</w:t>
            </w:r>
          </w:p>
        </w:tc>
        <w:tc>
          <w:tcPr>
            <w:tcW w:w="6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0FFFF"/>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9,372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shd w:val="clear" w:color="auto" w:fill="C0FFFF"/>
          </w:tcPr>
          <w:p>
            <w:pPr>
              <w:spacing w:after="0"/>
              <w:rPr>
                <w:sz w:val="16"/>
                <w:szCs w:val="16"/>
                <w:color w:val="auto"/>
              </w:rPr>
            </w:pPr>
          </w:p>
        </w:tc>
        <w:tc>
          <w:tcPr>
            <w:tcW w:w="1960" w:type="dxa"/>
            <w:vAlign w:val="bottom"/>
            <w:shd w:val="clear" w:color="auto" w:fill="C0FFFF"/>
          </w:tcPr>
          <w:p>
            <w:pPr>
              <w:spacing w:after="0"/>
              <w:rPr>
                <w:sz w:val="16"/>
                <w:szCs w:val="16"/>
                <w:color w:val="auto"/>
              </w:rPr>
            </w:pPr>
          </w:p>
        </w:tc>
        <w:tc>
          <w:tcPr>
            <w:tcW w:w="880" w:type="dxa"/>
            <w:vAlign w:val="bottom"/>
            <w:tcBorders>
              <w:top w:val="single" w:sz="8" w:color="auto"/>
            </w:tcBorders>
            <w:shd w:val="clear" w:color="auto" w:fill="C0FFFF"/>
          </w:tcPr>
          <w:p>
            <w:pPr>
              <w:spacing w:after="0"/>
              <w:rPr>
                <w:sz w:val="16"/>
                <w:szCs w:val="16"/>
                <w:color w:val="auto"/>
              </w:rPr>
            </w:pPr>
          </w:p>
        </w:tc>
        <w:tc>
          <w:tcPr>
            <w:tcW w:w="420" w:type="dxa"/>
            <w:vAlign w:val="bottom"/>
            <w:tcBorders>
              <w:top w:val="single" w:sz="8" w:color="auto"/>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0" w:type="dxa"/>
            <w:vAlign w:val="bottom"/>
            <w:shd w:val="clear" w:color="auto" w:fill="C0FFFF"/>
          </w:tcPr>
          <w:p>
            <w:pPr>
              <w:spacing w:after="0"/>
              <w:rPr>
                <w:sz w:val="16"/>
                <w:szCs w:val="16"/>
                <w:color w:val="auto"/>
              </w:rPr>
            </w:pPr>
          </w:p>
        </w:tc>
        <w:tc>
          <w:tcPr>
            <w:tcW w:w="200" w:type="dxa"/>
            <w:vAlign w:val="bottom"/>
            <w:tcBorders>
              <w:top w:val="single" w:sz="8" w:color="auto"/>
            </w:tcBorders>
            <w:shd w:val="clear" w:color="auto" w:fill="C0FFFF"/>
          </w:tcPr>
          <w:p>
            <w:pPr>
              <w:spacing w:after="0"/>
              <w:rPr>
                <w:sz w:val="16"/>
                <w:szCs w:val="16"/>
                <w:color w:val="auto"/>
              </w:rPr>
            </w:pPr>
          </w:p>
        </w:tc>
        <w:tc>
          <w:tcPr>
            <w:tcW w:w="108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Total minimum lease payments</w:t>
            </w:r>
          </w:p>
        </w:tc>
        <w:tc>
          <w:tcPr>
            <w:tcW w:w="2840" w:type="dxa"/>
            <w:vAlign w:val="bottom"/>
            <w:gridSpan w:val="2"/>
          </w:tcPr>
          <w:p>
            <w:pPr>
              <w:jc w:val="right"/>
              <w:ind w:right="722"/>
              <w:spacing w:after="0" w:line="167"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w w:val="90"/>
              </w:rPr>
              <w:t>54,609</w:t>
            </w:r>
          </w:p>
        </w:tc>
        <w:tc>
          <w:tcPr>
            <w:tcW w:w="260" w:type="dxa"/>
            <w:vAlign w:val="bottom"/>
            <w:gridSpan w:val="2"/>
          </w:tcPr>
          <w:p>
            <w:pPr>
              <w:jc w:val="right"/>
              <w:ind w:right="120"/>
              <w:spacing w:after="0" w:line="167"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2,866</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tcPr>
          <w:p>
            <w:pPr>
              <w:spacing w:after="0"/>
              <w:rPr>
                <w:sz w:val="15"/>
                <w:szCs w:val="15"/>
                <w:color w:val="auto"/>
              </w:rPr>
            </w:pPr>
          </w:p>
        </w:tc>
        <w:tc>
          <w:tcPr>
            <w:tcW w:w="3840" w:type="dxa"/>
            <w:vAlign w:val="bottom"/>
            <w:shd w:val="clear" w:color="auto" w:fill="C0FFFF"/>
          </w:tcPr>
          <w:p>
            <w:pPr>
              <w:spacing w:after="0" w:line="174" w:lineRule="exact"/>
              <w:rPr>
                <w:sz w:val="20"/>
                <w:szCs w:val="20"/>
                <w:color w:val="auto"/>
              </w:rPr>
            </w:pPr>
            <w:r>
              <w:rPr>
                <w:rFonts w:ascii="Times New Roman" w:cs="Times New Roman" w:eastAsia="Times New Roman" w:hAnsi="Times New Roman"/>
                <w:sz w:val="16"/>
                <w:szCs w:val="16"/>
                <w:color w:val="auto"/>
              </w:rPr>
              <w:t>Less amount representing interest</w:t>
            </w:r>
          </w:p>
        </w:tc>
        <w:tc>
          <w:tcPr>
            <w:tcW w:w="196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540" w:type="dxa"/>
            <w:vAlign w:val="bottom"/>
            <w:gridSpan w:val="2"/>
            <w:shd w:val="clear" w:color="auto" w:fill="C0FFFF"/>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w w:val="98"/>
              </w:rPr>
              <w:t>(4,636)</w:t>
            </w:r>
          </w:p>
        </w:tc>
        <w:tc>
          <w:tcPr>
            <w:tcW w:w="6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108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840" w:type="dxa"/>
            <w:vAlign w:val="bottom"/>
            <w:shd w:val="clear" w:color="auto" w:fill="C0FFFF"/>
          </w:tcPr>
          <w:p>
            <w:pPr>
              <w:spacing w:after="0"/>
              <w:rPr>
                <w:sz w:val="2"/>
                <w:szCs w:val="2"/>
                <w:color w:val="auto"/>
              </w:rPr>
            </w:pPr>
          </w:p>
        </w:tc>
        <w:tc>
          <w:tcPr>
            <w:tcW w:w="1960" w:type="dxa"/>
            <w:vAlign w:val="bottom"/>
            <w:shd w:val="clear" w:color="auto" w:fill="C0FF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60" w:type="dxa"/>
            <w:vAlign w:val="bottom"/>
            <w:shd w:val="clear" w:color="auto" w:fill="C0FFFF"/>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08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Present value of net minimum capital lease payments</w:t>
            </w:r>
          </w:p>
        </w:tc>
        <w:tc>
          <w:tcPr>
            <w:tcW w:w="1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0"/>
              </w:rPr>
              <w:t>49,973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960" w:type="dxa"/>
            <w:vAlign w:val="bottom"/>
            <w:shd w:val="clear" w:color="auto" w:fill="C0FFFF"/>
          </w:tcPr>
          <w:p>
            <w:pPr>
              <w:spacing w:after="0"/>
              <w:rPr>
                <w:sz w:val="16"/>
                <w:szCs w:val="16"/>
                <w:color w:val="auto"/>
              </w:rPr>
            </w:pPr>
          </w:p>
        </w:tc>
        <w:tc>
          <w:tcPr>
            <w:tcW w:w="1420" w:type="dxa"/>
            <w:vAlign w:val="bottom"/>
            <w:gridSpan w:val="3"/>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(10,673)</w:t>
            </w:r>
          </w:p>
        </w:tc>
        <w:tc>
          <w:tcPr>
            <w:tcW w:w="6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840" w:type="dxa"/>
            <w:vAlign w:val="bottom"/>
            <w:shd w:val="clear" w:color="auto" w:fill="C0FFFF"/>
          </w:tcPr>
          <w:p>
            <w:pPr>
              <w:spacing w:after="0"/>
              <w:rPr>
                <w:sz w:val="2"/>
                <w:szCs w:val="2"/>
                <w:color w:val="auto"/>
              </w:rPr>
            </w:pPr>
          </w:p>
        </w:tc>
        <w:tc>
          <w:tcPr>
            <w:tcW w:w="1960" w:type="dxa"/>
            <w:vAlign w:val="bottom"/>
            <w:shd w:val="clear" w:color="auto" w:fill="C0FF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60" w:type="dxa"/>
            <w:vAlign w:val="bottom"/>
            <w:shd w:val="clear" w:color="auto" w:fill="C0FFFF"/>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08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Obligations under capital leases less current portion</w:t>
            </w:r>
          </w:p>
        </w:tc>
        <w:tc>
          <w:tcPr>
            <w:tcW w:w="1960" w:type="dxa"/>
            <w:vAlign w:val="bottom"/>
          </w:tcPr>
          <w:p>
            <w:pPr>
              <w:spacing w:after="0"/>
              <w:rPr>
                <w:sz w:val="16"/>
                <w:szCs w:val="16"/>
                <w:color w:val="auto"/>
              </w:rPr>
            </w:pP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0"/>
              </w:rPr>
              <w:t>39,300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60" w:type="dxa"/>
            <w:vAlign w:val="bottom"/>
            <w:vMerge w:val="restart"/>
          </w:tcPr>
          <w:p>
            <w:pPr>
              <w:jc w:val="right"/>
              <w:ind w:right="1182"/>
              <w:spacing w:after="0"/>
              <w:rPr>
                <w:sz w:val="20"/>
                <w:szCs w:val="20"/>
                <w:color w:val="auto"/>
              </w:rPr>
            </w:pPr>
            <w:r>
              <w:rPr>
                <w:rFonts w:ascii="Times New Roman" w:cs="Times New Roman" w:eastAsia="Times New Roman" w:hAnsi="Times New Roman"/>
                <w:sz w:val="16"/>
                <w:szCs w:val="16"/>
                <w:color w:val="auto"/>
              </w:rPr>
              <w:t>59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6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62" w:name="page63"/>
    <w:bookmarkEnd w:id="62"/>
    <w:p>
      <w:pPr>
        <w:ind w:left="7"/>
        <w:spacing w:after="0"/>
        <w:rPr>
          <w:sz w:val="20"/>
          <w:szCs w:val="20"/>
          <w:color w:val="auto"/>
        </w:rPr>
      </w:pPr>
      <w:r>
        <w:rPr>
          <w:rFonts w:ascii="Times New Roman" w:cs="Times New Roman" w:eastAsia="Times New Roman" w:hAnsi="Times New Roman"/>
          <w:sz w:val="16"/>
          <w:szCs w:val="16"/>
          <w:u w:val="single" w:color="auto"/>
          <w:color w:val="auto"/>
        </w:rPr>
        <w:t>Customer Vehicle Leases as Lessor</w:t>
      </w:r>
    </w:p>
    <w:p>
      <w:pPr>
        <w:spacing w:after="0" w:line="236"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The Company leases both owned and leased trucks to customers primarily over periods of one to ten years under operating lease arrangements. These leases require a minimum rental payment and a contingent rental payment based on mileage. Rental income during the year ended December 31, 2012, consisted of minimum rental payments of approximately $86.3 million and contingent rental payments of $13.8 million. Rental income during the year ended December 31, 2011, consisted of minimum rental payments of approximately $68.3 million and contingent rental payments of $10.6 million. Rental income during the year ended December 31, 2010, consisted of minimum rental payments of approximately $53.4 million and contingent rental payments of $7.5 million. Minimum rental payments to be received for non-cancelable leases and subleases in effect at December 31, 2012, are as follows (in thousands):</w:t>
      </w:r>
    </w:p>
    <w:p>
      <w:pPr>
        <w:spacing w:after="0" w:line="229" w:lineRule="exact"/>
        <w:rPr>
          <w:sz w:val="20"/>
          <w:szCs w:val="20"/>
          <w:color w:val="auto"/>
        </w:rPr>
      </w:pPr>
    </w:p>
    <w:tbl>
      <w:tblPr>
        <w:tblLayout w:type="fixed"/>
        <w:tblInd w:w="1547"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5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2013</w:t>
            </w:r>
          </w:p>
        </w:tc>
        <w:tc>
          <w:tcPr>
            <w:tcW w:w="420" w:type="dxa"/>
            <w:vAlign w:val="bottom"/>
            <w:shd w:val="clear" w:color="auto" w:fill="C0FF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69,551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2014</w:t>
            </w:r>
          </w:p>
        </w:tc>
        <w:tc>
          <w:tcPr>
            <w:tcW w:w="4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59,688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2015</w:t>
            </w:r>
          </w:p>
        </w:tc>
        <w:tc>
          <w:tcPr>
            <w:tcW w:w="420" w:type="dxa"/>
            <w:vAlign w:val="bottom"/>
            <w:shd w:val="clear" w:color="auto" w:fill="C0FFFF"/>
          </w:tcPr>
          <w:p>
            <w:pPr>
              <w:spacing w:after="0"/>
              <w:rPr>
                <w:sz w:val="16"/>
                <w:szCs w:val="16"/>
                <w:color w:val="auto"/>
              </w:rPr>
            </w:pPr>
          </w:p>
        </w:tc>
        <w:tc>
          <w:tcPr>
            <w:tcW w:w="9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50,823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4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37,212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2017</w:t>
            </w:r>
          </w:p>
        </w:tc>
        <w:tc>
          <w:tcPr>
            <w:tcW w:w="420" w:type="dxa"/>
            <w:vAlign w:val="bottom"/>
            <w:shd w:val="clear" w:color="auto" w:fill="C0FFFF"/>
          </w:tcPr>
          <w:p>
            <w:pPr>
              <w:spacing w:after="0"/>
              <w:rPr>
                <w:sz w:val="16"/>
                <w:szCs w:val="16"/>
                <w:color w:val="auto"/>
              </w:rPr>
            </w:pPr>
          </w:p>
        </w:tc>
        <w:tc>
          <w:tcPr>
            <w:tcW w:w="9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23,848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16,232</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60" w:type="dxa"/>
            <w:vAlign w:val="bottom"/>
            <w:shd w:val="clear" w:color="auto" w:fill="C0FFFF"/>
          </w:tcPr>
          <w:p>
            <w:pPr>
              <w:spacing w:after="0"/>
              <w:rPr>
                <w:sz w:val="16"/>
                <w:szCs w:val="16"/>
                <w:color w:val="auto"/>
              </w:rPr>
            </w:pPr>
          </w:p>
        </w:tc>
        <w:tc>
          <w:tcPr>
            <w:tcW w:w="420" w:type="dxa"/>
            <w:vAlign w:val="bottom"/>
            <w:tcBorders>
              <w:top w:val="single" w:sz="8" w:color="auto"/>
            </w:tcBorders>
            <w:shd w:val="clear" w:color="auto" w:fill="C0FFFF"/>
          </w:tcPr>
          <w:p>
            <w:pPr>
              <w:spacing w:after="0"/>
              <w:rPr>
                <w:sz w:val="16"/>
                <w:szCs w:val="16"/>
                <w:color w:val="auto"/>
              </w:rPr>
            </w:pPr>
          </w:p>
        </w:tc>
        <w:tc>
          <w:tcPr>
            <w:tcW w:w="84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257,354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As of December 31, 2012, the Company had $327.4 million of lease vehicles included in property and equipment, net of accumulated depreciation of $115.6 million. As of December 31, 2011, the Company had $229.3 million of lease vehicles included in property and equipment, net of accumulated depreciation of $97.4 million.</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Other Leases - Land and Buildings</w:t>
      </w:r>
    </w:p>
    <w:p>
      <w:pPr>
        <w:spacing w:after="0" w:line="236"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The Company leases various assets under operating leases with expiration dates ranging from May 2013, through April 2027. Monthly rental payments range from approximately $325 per month to $60,000 per month. Rental expense was $6.8 million for the year ended December 31, 2012, $5.7 million for the year ended December 31, 2011, and $4.6 million for the year ended December 31, 2010. Future minimum lease payments under non-cancelable leases at December 31, 2012, are as follows (in thousands):</w:t>
      </w:r>
    </w:p>
    <w:p>
      <w:pPr>
        <w:spacing w:after="0" w:line="223" w:lineRule="exact"/>
        <w:rPr>
          <w:sz w:val="20"/>
          <w:szCs w:val="20"/>
          <w:color w:val="auto"/>
        </w:rPr>
      </w:pPr>
    </w:p>
    <w:tbl>
      <w:tblPr>
        <w:tblLayout w:type="fixed"/>
        <w:tblInd w:w="1547"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5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2013</w:t>
            </w:r>
          </w:p>
        </w:tc>
        <w:tc>
          <w:tcPr>
            <w:tcW w:w="460" w:type="dxa"/>
            <w:vAlign w:val="bottom"/>
            <w:shd w:val="clear" w:color="auto" w:fill="C0FF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7,133</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2014</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2015</w:t>
            </w: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2017</w:t>
            </w: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6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847" w:hanging="847"/>
        <w:spacing w:after="0"/>
        <w:tabs>
          <w:tab w:leader="none" w:pos="84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 BASED COMPENSATION AND EMPLOYEE BENEFIT PLANS</w:t>
      </w:r>
      <w:r>
        <w:rPr>
          <w:rFonts w:ascii="Times New Roman" w:cs="Times New Roman" w:eastAsia="Times New Roman" w:hAnsi="Times New Roman"/>
          <w:sz w:val="16"/>
          <w:szCs w:val="16"/>
          <w:color w:val="auto"/>
        </w:rPr>
        <w:t>:</w:t>
      </w:r>
    </w:p>
    <w:p>
      <w:pPr>
        <w:spacing w:after="0" w:line="23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Employee Stock Purchase Plan</w:t>
      </w:r>
    </w:p>
    <w:p>
      <w:pPr>
        <w:spacing w:after="0" w:line="238" w:lineRule="exact"/>
        <w:rPr>
          <w:sz w:val="20"/>
          <w:szCs w:val="20"/>
          <w:color w:val="auto"/>
        </w:rPr>
      </w:pPr>
    </w:p>
    <w:p>
      <w:pPr>
        <w:jc w:val="both"/>
        <w:ind w:left="7"/>
        <w:spacing w:after="0" w:line="235" w:lineRule="auto"/>
        <w:rPr>
          <w:sz w:val="20"/>
          <w:szCs w:val="20"/>
          <w:color w:val="auto"/>
        </w:rPr>
      </w:pPr>
      <w:r>
        <w:rPr>
          <w:rFonts w:ascii="Times New Roman" w:cs="Times New Roman" w:eastAsia="Times New Roman" w:hAnsi="Times New Roman"/>
          <w:sz w:val="16"/>
          <w:szCs w:val="16"/>
          <w:color w:val="auto"/>
        </w:rPr>
        <w:t>The Company has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 Employees may purchase shares having a fair market value of up to $25,000 (measured as of the first day of each semi-annual offering period) for each calendar year. Under the Employee Stock Purchase Plan, there are approximately 394,000 shares remaining of the 900,000 shares of the Company’s Class A common stock that have been reserved for issuance. The Company issued 70,998 shares under the Employee Stock Purchase Plan during the year ended December 31, 2012 and 62,405 shares during the year ended December 31, 2011. Of the 4,372 employees eligible to participate, 537 were participants in the plan as of December 31, 2012.</w:t>
      </w:r>
    </w:p>
    <w:p>
      <w:pPr>
        <w:spacing w:after="0" w:line="2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Non-Employee Director Stock Option Plan</w:t>
      </w:r>
    </w:p>
    <w:p>
      <w:pPr>
        <w:spacing w:after="0" w:line="238"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 that may be granted under the plan to include Class A common stock awards. The Director Plan was also amended on May 18, 2010 to reduce the number of shares reserved for issuance under the plan by 1,000,000 shares of Class A common stock.</w:t>
      </w:r>
    </w:p>
    <w:p>
      <w:pPr>
        <w:spacing w:after="0" w:line="3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7075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484" w:right="219" w:bottom="1440" w:gutter="0" w:footer="0" w:header="0"/>
        </w:sectPr>
      </w:pPr>
    </w:p>
    <w:bookmarkStart w:id="63" w:name="page64"/>
    <w:bookmarkEnd w:id="63"/>
    <w:p>
      <w:pPr>
        <w:jc w:val="both"/>
        <w:spacing w:after="0" w:line="285" w:lineRule="auto"/>
        <w:rPr>
          <w:sz w:val="20"/>
          <w:szCs w:val="20"/>
          <w:color w:val="auto"/>
        </w:rPr>
      </w:pPr>
      <w:r>
        <w:rPr>
          <w:rFonts w:ascii="Times New Roman" w:cs="Times New Roman" w:eastAsia="Times New Roman" w:hAnsi="Times New Roman"/>
          <w:sz w:val="14"/>
          <w:szCs w:val="14"/>
          <w:color w:val="auto"/>
        </w:rPr>
        <w:t>The Director Plan is designed to attract and retain highly qualified non-employee directors. Prior to 2008,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Beginning in 2008, each non-employee director received a grant of the Company’s Class A common stock equivalent to a compensation value of $125,000, in 2009 the compensation value was reduced to $100,000, and in 2011 the compensation value was increased back to $125,000. In 2011, three non-employee directors received a grant of 6,309 shares of the Company’s Class A common stock and one non-employee directors received a grant of 3,785 shares of the Company’s Class A common stock and $50,000 cash, for total compensation equivalent to $125,000. In 2012, the non-employee directors each received a grant of 7,901 shares of the Company’s Class A common, for total compensation equivalent to $125,000. Under the Director Plan, there are approximately 256,000 shares remaining for issuance of the 500,000 shares of the Company’s Class A common stock that have been reserved for issuance. The Company granted 31,604 shares of Class A common stock under the Director Plan during the year ended December 31, 2012 and 22,712 shares of Class A common stock under the Director Plan during the year ended December 31, 2011.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Incentive Plans</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 The 2007 Incentive Plan was Amended and Restated on May 18, 2010 to increase the number of shares available for issuance under the plan to 4,550,000 shares of Class A common stock.</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4,550,000 shares of Class A common stock and 450,000 shares of Class B common stock reserved for issuance upon exercise of any awards granted under the Company’s 2007 Incentive Plan. As of December 31, 2012, approximately 1,129,000 shares of Class A common stock and 450,000 shares of Class B common stock are available for issuance upon exercise of any awards granted under the Company’s 2007 Incentive Plan. During the year ended December 31, 2012, the Company granted 636,320 options to purchase Class A common stock and 129,635 restricted Class A common stock awards under the 2007 Incentive Plan. During the year ended December 31, 2011, the Company granted 647,145 options to purchase Class A common stock and 103,985 restricted Class A common stock units under the 2007 Incentive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Valuation and Expense Information</w:t>
      </w:r>
    </w:p>
    <w:p>
      <w:pPr>
        <w:spacing w:after="0" w:line="23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Stock-based compensation expense related to stock options, restricted stock awards, restricted stock units and employee stock purchases was $7.3 million for the year ended December 31, 2012, $5.7 million for the year ended December 31, 2011, and $4.5 million for the year ended December 31, 2010.</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Cash received from options exercised and shares purchased under all share-based payment arrangements was $5.1 million for the year ended December 31, 2012, $5.5 million for the year ended December 31, 2011, and $2.3 million for the year ended December 31, 2010.</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color w:val="auto"/>
        </w:rPr>
        <w:t>A summary of the Company’s stock option activity and related information for the year ended December 31, 2012, follows:</w:t>
      </w:r>
    </w:p>
    <w:p>
      <w:pPr>
        <w:spacing w:after="0" w:line="5"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Weighted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3"/>
              </w:rPr>
              <w:t>Weighted</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5"/>
              </w:rPr>
              <w:t>Average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5"/>
              </w:rPr>
              <w:t>Average</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Remaining</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Aggregate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7"/>
              </w:rPr>
              <w:t>Exercise</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Contractual</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Intrinsic</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Options</w:t>
            </w:r>
          </w:p>
        </w:tc>
        <w:tc>
          <w:tcPr>
            <w:tcW w:w="100" w:type="dxa"/>
            <w:vAlign w:val="bottom"/>
          </w:tcPr>
          <w:p>
            <w:pPr>
              <w:spacing w:after="0"/>
              <w:rPr>
                <w:sz w:val="17"/>
                <w:szCs w:val="17"/>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Shares</w:t>
            </w:r>
          </w:p>
        </w:tc>
        <w:tc>
          <w:tcPr>
            <w:tcW w:w="10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Price</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Life (in Years)</w:t>
            </w: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88"/>
              </w:rPr>
              <w:t>Value</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4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3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Balance of Outstanding Options at January 1, 2012</w:t>
            </w:r>
          </w:p>
        </w:tc>
        <w:tc>
          <w:tcPr>
            <w:tcW w:w="1760" w:type="dxa"/>
            <w:vAlign w:val="bottom"/>
            <w:gridSpan w:val="3"/>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3,848,472</w:t>
            </w:r>
          </w:p>
        </w:tc>
        <w:tc>
          <w:tcPr>
            <w:tcW w:w="1020" w:type="dxa"/>
            <w:vAlign w:val="bottom"/>
            <w:shd w:val="clear" w:color="auto" w:fill="C0FFFF"/>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12.48</w:t>
            </w:r>
          </w:p>
        </w:tc>
        <w:tc>
          <w:tcPr>
            <w:tcW w:w="14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18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636,320</w:t>
            </w:r>
          </w:p>
        </w:tc>
        <w:tc>
          <w:tcPr>
            <w:tcW w:w="10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23.48</w:t>
            </w: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760" w:type="dxa"/>
            <w:vAlign w:val="bottom"/>
            <w:gridSpan w:val="3"/>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(426,976)</w:t>
            </w:r>
          </w:p>
        </w:tc>
        <w:tc>
          <w:tcPr>
            <w:tcW w:w="1020" w:type="dxa"/>
            <w:vAlign w:val="bottom"/>
            <w:shd w:val="clear" w:color="auto" w:fill="C0FFFF"/>
          </w:tcPr>
          <w:p>
            <w:pPr>
              <w:spacing w:after="0"/>
              <w:rPr>
                <w:sz w:val="16"/>
                <w:szCs w:val="16"/>
                <w:color w:val="auto"/>
              </w:rPr>
            </w:pPr>
          </w:p>
        </w:tc>
        <w:tc>
          <w:tcPr>
            <w:tcW w:w="580" w:type="dxa"/>
            <w:vAlign w:val="bottom"/>
            <w:gridSpan w:val="2"/>
            <w:shd w:val="clear" w:color="auto" w:fill="C0FFFF"/>
          </w:tcPr>
          <w:p>
            <w:pPr>
              <w:jc w:val="right"/>
              <w:ind w:right="200"/>
              <w:spacing w:after="0"/>
              <w:rPr>
                <w:sz w:val="20"/>
                <w:szCs w:val="20"/>
                <w:color w:val="auto"/>
              </w:rPr>
            </w:pPr>
            <w:r>
              <w:rPr>
                <w:rFonts w:ascii="Times New Roman" w:cs="Times New Roman" w:eastAsia="Times New Roman" w:hAnsi="Times New Roman"/>
                <w:sz w:val="16"/>
                <w:szCs w:val="16"/>
                <w:color w:val="auto"/>
              </w:rPr>
              <w:t>9.51</w:t>
            </w:r>
          </w:p>
        </w:tc>
        <w:tc>
          <w:tcPr>
            <w:tcW w:w="14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18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(20,550)</w:t>
            </w:r>
          </w:p>
        </w:tc>
        <w:tc>
          <w:tcPr>
            <w:tcW w:w="10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14.83</w:t>
            </w: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43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44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02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4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18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Balance of Outstanding Options at December 31, 2012</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4,037,266</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14.52</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6.13</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26,607,758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restart"/>
          </w:tcPr>
          <w:p>
            <w:pPr>
              <w:spacing w:after="0"/>
              <w:rPr>
                <w:sz w:val="15"/>
                <w:szCs w:val="15"/>
                <w:color w:val="auto"/>
              </w:rPr>
            </w:pPr>
          </w:p>
        </w:tc>
        <w:tc>
          <w:tcPr>
            <w:tcW w:w="43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44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14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18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Expected to vest after December 31, 2012</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2,276,753</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16.42</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7.73</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11,383,235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0FFFF"/>
          </w:tcPr>
          <w:p>
            <w:pPr>
              <w:spacing w:after="0" w:line="174" w:lineRule="exact"/>
              <w:rPr>
                <w:sz w:val="20"/>
                <w:szCs w:val="20"/>
                <w:color w:val="auto"/>
              </w:rPr>
            </w:pPr>
            <w:r>
              <w:rPr>
                <w:rFonts w:ascii="Times New Roman" w:cs="Times New Roman" w:eastAsia="Times New Roman" w:hAnsi="Times New Roman"/>
                <w:sz w:val="16"/>
                <w:szCs w:val="16"/>
                <w:color w:val="auto"/>
              </w:rPr>
              <w:t>Vested and exercisable at December 31, 2012</w:t>
            </w:r>
          </w:p>
        </w:tc>
        <w:tc>
          <w:tcPr>
            <w:tcW w:w="100" w:type="dxa"/>
            <w:vAlign w:val="bottom"/>
            <w:shd w:val="clear" w:color="auto" w:fill="C0FFFF"/>
          </w:tcPr>
          <w:p>
            <w:pPr>
              <w:spacing w:after="0"/>
              <w:rPr>
                <w:sz w:val="16"/>
                <w:szCs w:val="16"/>
                <w:color w:val="auto"/>
              </w:rPr>
            </w:pPr>
          </w:p>
        </w:tc>
        <w:tc>
          <w:tcPr>
            <w:tcW w:w="1440" w:type="dxa"/>
            <w:vAlign w:val="bottom"/>
            <w:shd w:val="clear" w:color="auto" w:fill="C0FF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1,613,658</w:t>
            </w:r>
          </w:p>
        </w:tc>
        <w:tc>
          <w:tcPr>
            <w:tcW w:w="220" w:type="dxa"/>
            <w:vAlign w:val="bottom"/>
            <w:shd w:val="clear" w:color="auto" w:fill="C0FFFF"/>
          </w:tcPr>
          <w:p>
            <w:pPr>
              <w:spacing w:after="0"/>
              <w:rPr>
                <w:sz w:val="16"/>
                <w:szCs w:val="16"/>
                <w:color w:val="auto"/>
              </w:rPr>
            </w:pPr>
          </w:p>
        </w:tc>
        <w:tc>
          <w:tcPr>
            <w:tcW w:w="1020" w:type="dxa"/>
            <w:vAlign w:val="bottom"/>
            <w:shd w:val="clear" w:color="auto" w:fill="C0FFFF"/>
          </w:tcPr>
          <w:p>
            <w:pPr>
              <w:jc w:val="right"/>
              <w:ind w:right="862"/>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0FFFF"/>
          </w:tcPr>
          <w:p>
            <w:pPr>
              <w:jc w:val="right"/>
              <w:spacing w:after="0" w:line="174" w:lineRule="exact"/>
              <w:rPr>
                <w:sz w:val="20"/>
                <w:szCs w:val="20"/>
                <w:color w:val="auto"/>
              </w:rPr>
            </w:pPr>
            <w:r>
              <w:rPr>
                <w:rFonts w:ascii="Times New Roman" w:cs="Times New Roman" w:eastAsia="Times New Roman" w:hAnsi="Times New Roman"/>
                <w:sz w:val="16"/>
                <w:szCs w:val="16"/>
                <w:color w:val="auto"/>
                <w:w w:val="99"/>
              </w:rPr>
              <w:t>11.74</w:t>
            </w:r>
          </w:p>
        </w:tc>
        <w:tc>
          <w:tcPr>
            <w:tcW w:w="200" w:type="dxa"/>
            <w:vAlign w:val="bottom"/>
            <w:shd w:val="clear" w:color="auto" w:fill="C0FFFF"/>
          </w:tcPr>
          <w:p>
            <w:pPr>
              <w:spacing w:after="0"/>
              <w:rPr>
                <w:sz w:val="16"/>
                <w:szCs w:val="16"/>
                <w:color w:val="auto"/>
              </w:rPr>
            </w:pPr>
          </w:p>
        </w:tc>
        <w:tc>
          <w:tcPr>
            <w:tcW w:w="1620" w:type="dxa"/>
            <w:vAlign w:val="bottom"/>
            <w:gridSpan w:val="2"/>
            <w:shd w:val="clear" w:color="auto" w:fill="C0FFFF"/>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3.75</w:t>
            </w:r>
          </w:p>
        </w:tc>
        <w:tc>
          <w:tcPr>
            <w:tcW w:w="220" w:type="dxa"/>
            <w:vAlign w:val="bottom"/>
            <w:shd w:val="clear" w:color="auto" w:fill="C0FF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0FF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14,413,812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aggregate intrinsic value in the preceding table represents the total pretax intrinsic value, based on the weighted-average of the closing price as of December 31, 2012, of the Company’s Class A common of $20.67. The total intrinsic value of options exercised was $5.6 million during the year ended December 31, 2012, $5.2 million during the year ended December 31, 2011, and $2.3 million during the year ended December 31, 2010.</w:t>
      </w:r>
    </w:p>
    <w:p>
      <w:pPr>
        <w:spacing w:after="0" w:line="20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 summary of the status of the number of shares underlying Company’s non-vested stock options as of December 31, 2012, and changes during the year ended December 31, 2012, follows:</w:t>
      </w:r>
    </w:p>
    <w:p>
      <w:pPr>
        <w:spacing w:after="0" w:line="197" w:lineRule="exact"/>
        <w:rPr>
          <w:sz w:val="20"/>
          <w:szCs w:val="20"/>
          <w:color w:val="auto"/>
        </w:rPr>
      </w:pPr>
    </w:p>
    <w:tbl>
      <w:tblPr>
        <w:tblLayout w:type="fixed"/>
        <w:tblInd w:w="14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6"/>
              </w:rPr>
              <w:t>Weighted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5"/>
              </w:rPr>
              <w:t>Average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Number of</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6"/>
              </w:rPr>
              <w:t>Grant Date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Non-vested Shares</w:t>
            </w:r>
          </w:p>
        </w:tc>
        <w:tc>
          <w:tcPr>
            <w:tcW w:w="80" w:type="dxa"/>
            <w:vAlign w:val="bottom"/>
          </w:tcPr>
          <w:p>
            <w:pPr>
              <w:spacing w:after="0"/>
              <w:rPr>
                <w:sz w:val="17"/>
                <w:szCs w:val="17"/>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4"/>
              </w:rPr>
              <w:t>Fair Value</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1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Non-vested at January 1, 2012</w:t>
            </w:r>
          </w:p>
        </w:tc>
        <w:tc>
          <w:tcPr>
            <w:tcW w:w="138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2,322,792</w:t>
            </w:r>
          </w:p>
        </w:tc>
        <w:tc>
          <w:tcPr>
            <w:tcW w:w="100" w:type="dxa"/>
            <w:vAlign w:val="bottom"/>
            <w:shd w:val="clear" w:color="auto" w:fill="C0FFFF"/>
          </w:tcPr>
          <w:p>
            <w:pPr>
              <w:spacing w:after="0"/>
              <w:rPr>
                <w:sz w:val="16"/>
                <w:szCs w:val="16"/>
                <w:color w:val="auto"/>
              </w:rPr>
            </w:pPr>
          </w:p>
        </w:tc>
        <w:tc>
          <w:tcPr>
            <w:tcW w:w="2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636,320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Vested</w:t>
            </w:r>
          </w:p>
        </w:tc>
        <w:tc>
          <w:tcPr>
            <w:tcW w:w="1480" w:type="dxa"/>
            <w:vAlign w:val="bottom"/>
            <w:gridSpan w:val="3"/>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(515,920)</w:t>
            </w:r>
          </w:p>
        </w:tc>
        <w:tc>
          <w:tcPr>
            <w:tcW w:w="4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(19,584)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12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30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4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Non-vested at December 31, 2012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2,423,608</w:t>
            </w:r>
          </w:p>
        </w:tc>
        <w:tc>
          <w:tcPr>
            <w:tcW w:w="100" w:type="dxa"/>
            <w:vAlign w:val="bottom"/>
          </w:tcPr>
          <w:p>
            <w:pPr>
              <w:spacing w:after="0"/>
              <w:rPr>
                <w:sz w:val="16"/>
                <w:szCs w:val="16"/>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total fair value of vested options was $2.4 million during the year ended December 31, 2012, $2.5 million during the year ended December 31, 2011, and $2.4 million during the year ended December 31, 2010. The weighted-average grant date fair value of options granted was $10.95 during the year ended December 31, 2012, $8.68 during the year ended December 31, 2011, and $5.80 during the year ended December 31, 2010.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Awards</w:t>
      </w:r>
    </w:p>
    <w:p>
      <w:pPr>
        <w:spacing w:after="0" w:line="23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The Company granted restricted stock units to its employees under the 2007 Incentive Plan and unrestricted stock awards to its non-employee directors under the Director Plan during the year ended December 31, 2012. The shares granted to employees vest in three equal installments on the first, second and third anniversary of the grant date and are forfeited in the event the recipient’s employment or relationship with the Company is terminated prior to vesting. The fair value of the restricted stock awards and units to the Company’s employees is amortized to expense on a straight-line basis over the restricted stock’s vesting period. The shares granted to non-employee directors are expensed on the grant date.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color w:val="auto"/>
        </w:rPr>
        <w:t>The following table presents a summary of the Company’s non-vested restricted stock awards and non-vested restricted stock units outstanding at December 31, 2012:</w:t>
      </w:r>
    </w:p>
    <w:p>
      <w:pPr>
        <w:spacing w:after="0" w:line="1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color w:val="auto"/>
        </w:rPr>
        <w:t>Weighted</w:t>
      </w: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0"/>
              <w:spacing w:after="0" w:line="174" w:lineRule="exact"/>
              <w:rPr>
                <w:sz w:val="20"/>
                <w:szCs w:val="20"/>
                <w:color w:val="auto"/>
              </w:rPr>
            </w:pPr>
            <w:r>
              <w:rPr>
                <w:rFonts w:ascii="Times New Roman" w:cs="Times New Roman" w:eastAsia="Times New Roman" w:hAnsi="Times New Roman"/>
                <w:sz w:val="16"/>
                <w:szCs w:val="16"/>
                <w:color w:val="auto"/>
                <w:w w:val="92"/>
              </w:rPr>
              <w:t>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6"/>
                <w:szCs w:val="16"/>
                <w:color w:val="auto"/>
                <w:w w:val="96"/>
              </w:rPr>
              <w:t>Weighted</w:t>
            </w:r>
          </w:p>
        </w:tc>
      </w:tr>
      <w:tr>
        <w:trPr>
          <w:trHeight w:val="187"/>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Remaining</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5"/>
              </w:rPr>
              <w:t>Aggregate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5"/>
              </w:rPr>
              <w:t>Average</w:t>
            </w:r>
          </w:p>
        </w:tc>
      </w:tr>
      <w:tr>
        <w:trPr>
          <w:trHeight w:val="187"/>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Contractual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Intrinsic</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6"/>
              </w:rPr>
              <w:t>Grant Date</w:t>
            </w:r>
          </w:p>
        </w:tc>
      </w:tr>
      <w:tr>
        <w:trPr>
          <w:trHeight w:val="207"/>
        </w:trPr>
        <w:tc>
          <w:tcPr>
            <w:tcW w:w="444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Stock Awards and Units</w:t>
            </w:r>
          </w:p>
        </w:tc>
        <w:tc>
          <w:tcPr>
            <w:tcW w:w="120" w:type="dxa"/>
            <w:vAlign w:val="bottom"/>
          </w:tcPr>
          <w:p>
            <w:pPr>
              <w:spacing w:after="0"/>
              <w:rPr>
                <w:sz w:val="17"/>
                <w:szCs w:val="17"/>
                <w:color w:val="auto"/>
              </w:rPr>
            </w:pP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Shares</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4"/>
              </w:rPr>
              <w:t>Life (in Years)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4"/>
              </w:rPr>
              <w:t>Value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4"/>
              </w:rPr>
              <w:t>Fair Value</w:t>
            </w:r>
          </w:p>
        </w:tc>
      </w:tr>
      <w:tr>
        <w:trPr>
          <w:trHeight w:val="187"/>
        </w:trPr>
        <w:tc>
          <w:tcPr>
            <w:tcW w:w="4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Outstanding Non-vested shares at January 1, 2012</w:t>
            </w:r>
          </w:p>
        </w:tc>
        <w:tc>
          <w:tcPr>
            <w:tcW w:w="1580" w:type="dxa"/>
            <w:vAlign w:val="bottom"/>
            <w:gridSpan w:val="2"/>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203,887</w:t>
            </w:r>
          </w:p>
        </w:tc>
        <w:tc>
          <w:tcPr>
            <w:tcW w:w="220" w:type="dxa"/>
            <w:vAlign w:val="bottom"/>
            <w:shd w:val="clear" w:color="auto" w:fill="C0FFFF"/>
          </w:tcPr>
          <w:p>
            <w:pPr>
              <w:spacing w:after="0"/>
              <w:rPr>
                <w:sz w:val="16"/>
                <w:szCs w:val="16"/>
                <w:color w:val="auto"/>
              </w:rPr>
            </w:pPr>
          </w:p>
        </w:tc>
        <w:tc>
          <w:tcPr>
            <w:tcW w:w="14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2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34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0FFFF"/>
          </w:tcPr>
          <w:p>
            <w:pPr>
              <w:spacing w:after="0"/>
              <w:rPr>
                <w:sz w:val="16"/>
                <w:szCs w:val="16"/>
                <w:color w:val="auto"/>
              </w:rPr>
            </w:pPr>
          </w:p>
        </w:tc>
      </w:tr>
      <w:tr>
        <w:trPr>
          <w:trHeight w:val="187"/>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161,239</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Pr>
          <w:p>
            <w:pPr>
              <w:spacing w:after="0"/>
              <w:rPr>
                <w:sz w:val="16"/>
                <w:szCs w:val="16"/>
                <w:color w:val="auto"/>
              </w:rPr>
            </w:pPr>
          </w:p>
        </w:tc>
      </w:tr>
      <w:tr>
        <w:trPr>
          <w:trHeight w:val="187"/>
        </w:trPr>
        <w:tc>
          <w:tcPr>
            <w:tcW w:w="4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Vested</w:t>
            </w:r>
          </w:p>
        </w:tc>
        <w:tc>
          <w:tcPr>
            <w:tcW w:w="1800" w:type="dxa"/>
            <w:vAlign w:val="bottom"/>
            <w:gridSpan w:val="3"/>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(133,012)</w:t>
            </w:r>
          </w:p>
        </w:tc>
        <w:tc>
          <w:tcPr>
            <w:tcW w:w="14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2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2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shd w:val="clear" w:color="auto" w:fill="C0FFFF"/>
          </w:tcPr>
          <w:p>
            <w:pPr>
              <w:spacing w:after="0"/>
              <w:rPr>
                <w:sz w:val="16"/>
                <w:szCs w:val="16"/>
                <w:color w:val="auto"/>
              </w:rPr>
            </w:pPr>
          </w:p>
        </w:tc>
      </w:tr>
      <w:tr>
        <w:trPr>
          <w:trHeight w:val="190"/>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44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460" w:type="dxa"/>
            <w:vAlign w:val="bottom"/>
            <w:tcBorders>
              <w:top w:val="single" w:sz="8" w:color="auto"/>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4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2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2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r>
      <w:tr>
        <w:trPr>
          <w:trHeight w:val="187"/>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Non-vested at December 31, 2012</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232,114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4,797,796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tcPr>
          <w:p>
            <w:pPr>
              <w:spacing w:after="0"/>
              <w:rPr>
                <w:sz w:val="16"/>
                <w:szCs w:val="16"/>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444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4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46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2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2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r>
      <w:tr>
        <w:trPr>
          <w:trHeight w:val="187"/>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Expected to vest after December 31, 2012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227,066</w:t>
            </w:r>
          </w:p>
        </w:tc>
        <w:tc>
          <w:tcPr>
            <w:tcW w:w="22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4,693,454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total fair value of the shares issued upon the vesting of stock awards during the year ended December 31, 2012 was $1.8 million. The weighted-average grant date fair value of stock awards and units granted was $21.98 during the year ended December 31, 2012, $18.93 during the year ended December 31, 2011, and $13.08 during the year ended December 31, 2010.</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of December 31, 2012, there was $10.4 million of total unrecognized compensation cost related to unvested share-based compensation arrangements granted under the Incentive Plan and the 2007 Incentive Plan. That cost is expected to be recognized over a weighted-average period of 2.0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Defined Contribution Plan</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In March 2009, the Company discontinued its matching contributions to the Rush 401k plan. On April 1, 2010 the Company reinstated its matching contributions. For the first 10% of an employee’s contribution, the Company contributed an amount equal to 5% of the employees’ contributions for those employees with less than five years of service and an amount equal to 10% of the employees’ contributions for those employees with more than five years of service. Effective January 1, 2011, for the first 10% of an employee’s contribution, the Company contributed an amount equal to 15% of the employees’ contributions for those employees with less than five years of service and an amount equal to 30% of the employees’ contributions for those employees with more than five years of service.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$3.7 million during the year ended December 31, 2012, $2.2 million during the year ended December 31, 2011, and $0.4 million during the year ended December 31, 2010.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Compensation Plan</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November 6, 2010 the Board of Directors of the Company adopted the Rush Enterprises, Inc. Deferred Compensation Plan (the “Deferred Compensation Plan”) wherein selected employees and directors may elect to defer a portion of their annual compensation. The Deferred Compensation Plan also provides the Company with the discretion to make matching contributions to participants’ accounts. The Company has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$0.6 million at December 31, 2012 and $0.1 million at December 31, 2011.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currently does not provide any postretirement benefits nor does it provide any post employment benefits.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66" w:name="page67"/>
    <w:bookmarkEnd w:id="66"/>
    <w:p>
      <w:pPr>
        <w:ind w:left="787" w:hanging="787"/>
        <w:spacing w:after="0"/>
        <w:tabs>
          <w:tab w:leader="none" w:pos="78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EARNINGS PER SHARE</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 The Company’s Class A common stock and Class B common stock have equal claims on earnings of the Company. The following is a reconciliation of the numerators and the denominators of the basic and diluted per share computations for income from continuing operations:</w:t>
      </w:r>
    </w:p>
    <w:p>
      <w:pPr>
        <w:spacing w:after="0" w:line="210" w:lineRule="exact"/>
        <w:rPr>
          <w:sz w:val="20"/>
          <w:szCs w:val="20"/>
          <w:color w:val="auto"/>
        </w:rPr>
      </w:pPr>
    </w:p>
    <w:tbl>
      <w:tblPr>
        <w:tblLayout w:type="fixed"/>
        <w:tblInd w:w="147"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9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Numerator for basic and diluted earnings per share-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60" w:type="dxa"/>
            <w:vAlign w:val="bottom"/>
            <w:shd w:val="clear" w:color="auto" w:fill="C0FFFF"/>
          </w:tcPr>
          <w:p>
            <w:pPr>
              <w:ind w:left="260"/>
              <w:spacing w:after="0"/>
              <w:rPr>
                <w:sz w:val="20"/>
                <w:szCs w:val="20"/>
                <w:color w:val="auto"/>
              </w:rPr>
            </w:pPr>
            <w:r>
              <w:rPr>
                <w:rFonts w:ascii="Times New Roman" w:cs="Times New Roman" w:eastAsia="Times New Roman" w:hAnsi="Times New Roman"/>
                <w:sz w:val="16"/>
                <w:szCs w:val="16"/>
                <w:color w:val="auto"/>
              </w:rPr>
              <w:t>Income from continuing operations available to common shareholders</w:t>
            </w:r>
          </w:p>
        </w:tc>
        <w:tc>
          <w:tcPr>
            <w:tcW w:w="4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62,455,000</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55,213,000</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24,567,000</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60" w:type="dxa"/>
            <w:vAlign w:val="bottom"/>
            <w:tcBorders>
              <w:top w:val="single" w:sz="8" w:color="C0FFFF"/>
            </w:tcBorders>
          </w:tcPr>
          <w:p>
            <w:pPr>
              <w:spacing w:after="0"/>
              <w:rPr>
                <w:sz w:val="15"/>
                <w:szCs w:val="15"/>
                <w:color w:val="auto"/>
              </w:rPr>
            </w:pPr>
          </w:p>
        </w:tc>
        <w:tc>
          <w:tcPr>
            <w:tcW w:w="16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9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Denominator for basic earnings per share, weighted average shares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38,643,189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37,860,551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37,307,453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Borders>
              <w:bottom w:val="single" w:sz="8" w:color="C0FFFF"/>
            </w:tcBorders>
            <w:shd w:val="clear" w:color="auto" w:fill="C0FFFF"/>
          </w:tcPr>
          <w:p>
            <w:pPr>
              <w:ind w:left="260"/>
              <w:spacing w:after="0"/>
              <w:rPr>
                <w:sz w:val="20"/>
                <w:szCs w:val="20"/>
                <w:color w:val="auto"/>
              </w:rPr>
            </w:pPr>
            <w:r>
              <w:rPr>
                <w:rFonts w:ascii="Times New Roman" w:cs="Times New Roman" w:eastAsia="Times New Roman" w:hAnsi="Times New Roman"/>
                <w:sz w:val="16"/>
                <w:szCs w:val="16"/>
                <w:color w:val="auto"/>
              </w:rPr>
              <w:t>Stock options and restricted shares</w:t>
            </w:r>
          </w:p>
        </w:tc>
        <w:tc>
          <w:tcPr>
            <w:tcW w:w="160" w:type="dxa"/>
            <w:vAlign w:val="bottom"/>
            <w:tcBorders>
              <w:bottom w:val="single" w:sz="8" w:color="C0FFFF"/>
            </w:tcBorders>
            <w:shd w:val="clear" w:color="auto" w:fill="C0FFFF"/>
          </w:tcPr>
          <w:p>
            <w:pPr>
              <w:spacing w:after="0"/>
              <w:rPr>
                <w:sz w:val="16"/>
                <w:szCs w:val="16"/>
                <w:color w:val="auto"/>
              </w:rPr>
            </w:pPr>
          </w:p>
        </w:tc>
        <w:tc>
          <w:tcPr>
            <w:tcW w:w="320" w:type="dxa"/>
            <w:vAlign w:val="bottom"/>
            <w:tcBorders>
              <w:bottom w:val="single" w:sz="8" w:color="auto"/>
            </w:tcBorders>
            <w:shd w:val="clear" w:color="auto" w:fill="C0FFFF"/>
          </w:tcPr>
          <w:p>
            <w:pPr>
              <w:spacing w:after="0"/>
              <w:rPr>
                <w:sz w:val="16"/>
                <w:szCs w:val="16"/>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1,045,254</w:t>
            </w:r>
          </w:p>
        </w:tc>
        <w:tc>
          <w:tcPr>
            <w:tcW w:w="120" w:type="dxa"/>
            <w:vAlign w:val="bottom"/>
            <w:tcBorders>
              <w:bottom w:val="single" w:sz="8" w:color="C0FFFF"/>
            </w:tcBorders>
            <w:shd w:val="clear" w:color="auto" w:fill="C0FFFF"/>
          </w:tcPr>
          <w:p>
            <w:pPr>
              <w:spacing w:after="0"/>
              <w:rPr>
                <w:sz w:val="16"/>
                <w:szCs w:val="16"/>
                <w:color w:val="auto"/>
              </w:rPr>
            </w:pPr>
          </w:p>
        </w:tc>
        <w:tc>
          <w:tcPr>
            <w:tcW w:w="100" w:type="dxa"/>
            <w:vAlign w:val="bottom"/>
            <w:tcBorders>
              <w:bottom w:val="single" w:sz="8" w:color="C0FFFF"/>
            </w:tcBorders>
            <w:shd w:val="clear" w:color="auto" w:fill="C0FFFF"/>
          </w:tcPr>
          <w:p>
            <w:pPr>
              <w:spacing w:after="0"/>
              <w:rPr>
                <w:sz w:val="16"/>
                <w:szCs w:val="16"/>
                <w:color w:val="auto"/>
              </w:rPr>
            </w:pPr>
          </w:p>
        </w:tc>
        <w:tc>
          <w:tcPr>
            <w:tcW w:w="320" w:type="dxa"/>
            <w:vAlign w:val="bottom"/>
            <w:tcBorders>
              <w:bottom w:val="single" w:sz="8" w:color="auto"/>
            </w:tcBorders>
            <w:shd w:val="clear" w:color="auto" w:fill="C0FFFF"/>
          </w:tcPr>
          <w:p>
            <w:pPr>
              <w:spacing w:after="0"/>
              <w:rPr>
                <w:sz w:val="16"/>
                <w:szCs w:val="16"/>
                <w:color w:val="auto"/>
              </w:rPr>
            </w:pPr>
          </w:p>
        </w:tc>
        <w:tc>
          <w:tcPr>
            <w:tcW w:w="110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1,153,846</w:t>
            </w:r>
          </w:p>
        </w:tc>
        <w:tc>
          <w:tcPr>
            <w:tcW w:w="100" w:type="dxa"/>
            <w:vAlign w:val="bottom"/>
            <w:tcBorders>
              <w:bottom w:val="single" w:sz="8" w:color="C0FFFF"/>
            </w:tcBorders>
            <w:shd w:val="clear" w:color="auto" w:fill="C0FFFF"/>
          </w:tcPr>
          <w:p>
            <w:pPr>
              <w:spacing w:after="0"/>
              <w:rPr>
                <w:sz w:val="16"/>
                <w:szCs w:val="16"/>
                <w:color w:val="auto"/>
              </w:rPr>
            </w:pPr>
          </w:p>
        </w:tc>
        <w:tc>
          <w:tcPr>
            <w:tcW w:w="100" w:type="dxa"/>
            <w:vAlign w:val="bottom"/>
            <w:tcBorders>
              <w:bottom w:val="single" w:sz="8" w:color="C0FFFF"/>
            </w:tcBorders>
            <w:shd w:val="clear" w:color="auto" w:fill="C0FFFF"/>
          </w:tcPr>
          <w:p>
            <w:pPr>
              <w:spacing w:after="0"/>
              <w:rPr>
                <w:sz w:val="16"/>
                <w:szCs w:val="16"/>
                <w:color w:val="auto"/>
              </w:rPr>
            </w:pPr>
          </w:p>
        </w:tc>
        <w:tc>
          <w:tcPr>
            <w:tcW w:w="320" w:type="dxa"/>
            <w:vAlign w:val="bottom"/>
            <w:tcBorders>
              <w:bottom w:val="single" w:sz="8" w:color="auto"/>
            </w:tcBorders>
            <w:shd w:val="clear" w:color="auto" w:fill="C0FFFF"/>
          </w:tcPr>
          <w:p>
            <w:pPr>
              <w:spacing w:after="0"/>
              <w:rPr>
                <w:sz w:val="16"/>
                <w:szCs w:val="16"/>
                <w:color w:val="auto"/>
              </w:rPr>
            </w:pPr>
          </w:p>
        </w:tc>
        <w:tc>
          <w:tcPr>
            <w:tcW w:w="110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910,727</w:t>
            </w:r>
          </w:p>
        </w:tc>
        <w:tc>
          <w:tcPr>
            <w:tcW w:w="100" w:type="dxa"/>
            <w:vAlign w:val="bottom"/>
            <w:tcBorders>
              <w:bottom w:val="single" w:sz="8" w:color="C0FFFF"/>
            </w:tcBorders>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60" w:type="dxa"/>
            <w:vAlign w:val="bottom"/>
            <w:shd w:val="clear" w:color="auto" w:fill="C0FFFF"/>
          </w:tcPr>
          <w:p>
            <w:pPr>
              <w:ind w:left="120"/>
              <w:spacing w:after="0" w:line="170" w:lineRule="exact"/>
              <w:rPr>
                <w:sz w:val="20"/>
                <w:szCs w:val="20"/>
                <w:color w:val="auto"/>
              </w:rPr>
            </w:pPr>
            <w:r>
              <w:rPr>
                <w:rFonts w:ascii="Times New Roman" w:cs="Times New Roman" w:eastAsia="Times New Roman" w:hAnsi="Times New Roman"/>
                <w:sz w:val="16"/>
                <w:szCs w:val="16"/>
                <w:color w:val="auto"/>
                <w:w w:val="99"/>
              </w:rPr>
              <w:t>Denominator for diluted earnings per share, adjusted weighted average shares and assumed</w:t>
            </w:r>
          </w:p>
        </w:tc>
        <w:tc>
          <w:tcPr>
            <w:tcW w:w="16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112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1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1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0FFFF"/>
          </w:tcPr>
          <w:p>
            <w:pPr>
              <w:ind w:left="400"/>
              <w:spacing w:after="0"/>
              <w:rPr>
                <w:sz w:val="20"/>
                <w:szCs w:val="20"/>
                <w:color w:val="auto"/>
              </w:rPr>
            </w:pPr>
            <w:r>
              <w:rPr>
                <w:rFonts w:ascii="Times New Roman" w:cs="Times New Roman" w:eastAsia="Times New Roman" w:hAnsi="Times New Roman"/>
                <w:sz w:val="16"/>
                <w:szCs w:val="16"/>
                <w:color w:val="auto"/>
              </w:rPr>
              <w:t>conversions</w:t>
            </w:r>
          </w:p>
        </w:tc>
        <w:tc>
          <w:tcPr>
            <w:tcW w:w="160" w:type="dxa"/>
            <w:vAlign w:val="bottom"/>
            <w:shd w:val="clear" w:color="auto" w:fill="C0FFFF"/>
          </w:tcPr>
          <w:p>
            <w:pPr>
              <w:spacing w:after="0"/>
              <w:rPr>
                <w:sz w:val="21"/>
                <w:szCs w:val="21"/>
                <w:color w:val="auto"/>
              </w:rPr>
            </w:pPr>
          </w:p>
        </w:tc>
        <w:tc>
          <w:tcPr>
            <w:tcW w:w="320" w:type="dxa"/>
            <w:vAlign w:val="bottom"/>
            <w:shd w:val="clear" w:color="auto" w:fill="C0FFFF"/>
          </w:tcPr>
          <w:p>
            <w:pPr>
              <w:spacing w:after="0"/>
              <w:rPr>
                <w:sz w:val="21"/>
                <w:szCs w:val="21"/>
                <w:color w:val="auto"/>
              </w:rPr>
            </w:pPr>
          </w:p>
        </w:tc>
        <w:tc>
          <w:tcPr>
            <w:tcW w:w="12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39,688,443</w:t>
            </w:r>
          </w:p>
        </w:tc>
        <w:tc>
          <w:tcPr>
            <w:tcW w:w="100" w:type="dxa"/>
            <w:vAlign w:val="bottom"/>
            <w:shd w:val="clear" w:color="auto" w:fill="C0FFFF"/>
          </w:tcPr>
          <w:p>
            <w:pPr>
              <w:spacing w:after="0"/>
              <w:rPr>
                <w:sz w:val="21"/>
                <w:szCs w:val="21"/>
                <w:color w:val="auto"/>
              </w:rPr>
            </w:pPr>
          </w:p>
        </w:tc>
        <w:tc>
          <w:tcPr>
            <w:tcW w:w="320" w:type="dxa"/>
            <w:vAlign w:val="bottom"/>
            <w:shd w:val="clear" w:color="auto" w:fill="C0FFFF"/>
          </w:tcPr>
          <w:p>
            <w:pPr>
              <w:spacing w:after="0"/>
              <w:rPr>
                <w:sz w:val="21"/>
                <w:szCs w:val="21"/>
                <w:color w:val="auto"/>
              </w:rPr>
            </w:pP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39,014,397</w:t>
            </w:r>
          </w:p>
        </w:tc>
        <w:tc>
          <w:tcPr>
            <w:tcW w:w="100" w:type="dxa"/>
            <w:vAlign w:val="bottom"/>
            <w:shd w:val="clear" w:color="auto" w:fill="C0FFFF"/>
          </w:tcPr>
          <w:p>
            <w:pPr>
              <w:spacing w:after="0"/>
              <w:rPr>
                <w:sz w:val="21"/>
                <w:szCs w:val="21"/>
                <w:color w:val="auto"/>
              </w:rPr>
            </w:pPr>
          </w:p>
        </w:tc>
        <w:tc>
          <w:tcPr>
            <w:tcW w:w="320" w:type="dxa"/>
            <w:vAlign w:val="bottom"/>
            <w:shd w:val="clear" w:color="auto" w:fill="C0FFFF"/>
          </w:tcPr>
          <w:p>
            <w:pPr>
              <w:spacing w:after="0"/>
              <w:rPr>
                <w:sz w:val="21"/>
                <w:szCs w:val="21"/>
                <w:color w:val="auto"/>
              </w:rPr>
            </w:pP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38,218,180</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960" w:type="dxa"/>
            <w:vAlign w:val="bottom"/>
            <w:tcBorders>
              <w:top w:val="single" w:sz="8" w:color="C0FFFF"/>
            </w:tcBorders>
          </w:tcPr>
          <w:p>
            <w:pPr>
              <w:spacing w:after="0"/>
              <w:rPr>
                <w:sz w:val="15"/>
                <w:szCs w:val="15"/>
                <w:color w:val="auto"/>
              </w:rPr>
            </w:pPr>
          </w:p>
        </w:tc>
        <w:tc>
          <w:tcPr>
            <w:tcW w:w="16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4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1.46</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60" w:type="dxa"/>
            <w:vAlign w:val="bottom"/>
            <w:tcBorders>
              <w:top w:val="single" w:sz="8" w:color="C0FFFF"/>
            </w:tcBorders>
          </w:tcPr>
          <w:p>
            <w:pPr>
              <w:spacing w:after="0"/>
              <w:rPr>
                <w:sz w:val="15"/>
                <w:szCs w:val="15"/>
                <w:color w:val="auto"/>
              </w:rPr>
            </w:pPr>
          </w:p>
        </w:tc>
        <w:tc>
          <w:tcPr>
            <w:tcW w:w="16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Diluted earnings per common share and common share equivalents</w:t>
            </w:r>
          </w:p>
        </w:tc>
        <w:tc>
          <w:tcPr>
            <w:tcW w:w="4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1.57</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42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7"/>
        <w:spacing w:after="0" w:line="267" w:lineRule="auto"/>
        <w:rPr>
          <w:sz w:val="20"/>
          <w:szCs w:val="20"/>
          <w:color w:val="auto"/>
        </w:rPr>
      </w:pPr>
      <w:r>
        <w:rPr>
          <w:rFonts w:ascii="Times New Roman" w:cs="Times New Roman" w:eastAsia="Times New Roman" w:hAnsi="Times New Roman"/>
          <w:sz w:val="16"/>
          <w:szCs w:val="16"/>
          <w:color w:val="auto"/>
        </w:rPr>
        <w:t>Options to purchase shares of common stock that were outstanding for the years ended December 31, 2012, 2011 and 2010 that were not included in the computation of diluted earnings per share because the effect would have been anti-dilutive are as follows:</w:t>
      </w:r>
    </w:p>
    <w:p>
      <w:pPr>
        <w:spacing w:after="0" w:line="197"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34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2012</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2011</w:t>
            </w:r>
          </w:p>
        </w:tc>
        <w:tc>
          <w:tcPr>
            <w:tcW w:w="160" w:type="dxa"/>
            <w:vAlign w:val="bottom"/>
          </w:tcPr>
          <w:p>
            <w:pPr>
              <w:spacing w:after="0"/>
              <w:rPr>
                <w:sz w:val="17"/>
                <w:szCs w:val="17"/>
                <w:color w:val="auto"/>
              </w:rPr>
            </w:pPr>
          </w:p>
        </w:tc>
        <w:tc>
          <w:tcPr>
            <w:tcW w:w="130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2010</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7"/>
        </w:trPr>
        <w:tc>
          <w:tcPr>
            <w:tcW w:w="11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0"/>
        </w:trPr>
        <w:tc>
          <w:tcPr>
            <w:tcW w:w="1120" w:type="dxa"/>
            <w:vAlign w:val="bottom"/>
          </w:tcPr>
          <w:p>
            <w:pPr>
              <w:spacing w:after="0"/>
              <w:rPr>
                <w:sz w:val="16"/>
                <w:szCs w:val="16"/>
                <w:color w:val="auto"/>
              </w:rPr>
            </w:pPr>
          </w:p>
        </w:tc>
        <w:tc>
          <w:tcPr>
            <w:tcW w:w="4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Options</w:t>
            </w:r>
          </w:p>
        </w:tc>
        <w:tc>
          <w:tcPr>
            <w:tcW w:w="13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1,123,795</w:t>
            </w:r>
          </w:p>
        </w:tc>
        <w:tc>
          <w:tcPr>
            <w:tcW w:w="1660" w:type="dxa"/>
            <w:vAlign w:val="bottom"/>
            <w:gridSpan w:val="3"/>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533,100</w:t>
            </w:r>
          </w:p>
        </w:tc>
        <w:tc>
          <w:tcPr>
            <w:tcW w:w="138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504,830</w:t>
            </w:r>
          </w:p>
        </w:tc>
        <w:tc>
          <w:tcPr>
            <w:tcW w:w="156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4380" w:type="dxa"/>
            <w:vAlign w:val="bottom"/>
            <w:tcBorders>
              <w:top w:val="single" w:sz="8" w:color="C0FFFF"/>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560" w:type="dxa"/>
            <w:vAlign w:val="bottom"/>
          </w:tcPr>
          <w:p>
            <w:pPr>
              <w:spacing w:after="0"/>
              <w:rPr>
                <w:sz w:val="16"/>
                <w:szCs w:val="16"/>
                <w:color w:val="auto"/>
              </w:rPr>
            </w:pPr>
          </w:p>
        </w:tc>
      </w:tr>
      <w:tr>
        <w:trPr>
          <w:trHeight w:val="227"/>
        </w:trPr>
        <w:tc>
          <w:tcPr>
            <w:tcW w:w="1120" w:type="dxa"/>
            <w:vAlign w:val="bottom"/>
          </w:tcPr>
          <w:p>
            <w:pPr>
              <w:spacing w:after="0"/>
              <w:rPr>
                <w:sz w:val="19"/>
                <w:szCs w:val="19"/>
                <w:color w:val="auto"/>
              </w:rPr>
            </w:pPr>
          </w:p>
        </w:tc>
        <w:tc>
          <w:tcPr>
            <w:tcW w:w="43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 anti-dilutive securities</w:t>
            </w:r>
          </w:p>
        </w:tc>
        <w:tc>
          <w:tcPr>
            <w:tcW w:w="13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1,123,795</w:t>
            </w:r>
          </w:p>
        </w:tc>
        <w:tc>
          <w:tcPr>
            <w:tcW w:w="1660" w:type="dxa"/>
            <w:vAlign w:val="bottom"/>
            <w:gridSpan w:val="3"/>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533,100</w:t>
            </w:r>
          </w:p>
        </w:tc>
        <w:tc>
          <w:tcPr>
            <w:tcW w:w="138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504,830</w:t>
            </w:r>
          </w:p>
        </w:tc>
        <w:tc>
          <w:tcPr>
            <w:tcW w:w="1560" w:type="dxa"/>
            <w:vAlign w:val="bottom"/>
          </w:tcPr>
          <w:p>
            <w:pPr>
              <w:spacing w:after="0"/>
              <w:rPr>
                <w:sz w:val="19"/>
                <w:szCs w:val="19"/>
                <w:color w:val="auto"/>
              </w:rPr>
            </w:pPr>
          </w:p>
        </w:tc>
      </w:tr>
      <w:tr>
        <w:trPr>
          <w:trHeight w:val="511"/>
        </w:trPr>
        <w:tc>
          <w:tcPr>
            <w:tcW w:w="1120" w:type="dxa"/>
            <w:vAlign w:val="bottom"/>
          </w:tcPr>
          <w:p>
            <w:pPr>
              <w:spacing w:after="0"/>
              <w:rPr>
                <w:sz w:val="24"/>
                <w:szCs w:val="24"/>
                <w:color w:val="auto"/>
              </w:rPr>
            </w:pPr>
          </w:p>
        </w:tc>
        <w:tc>
          <w:tcPr>
            <w:tcW w:w="4380" w:type="dxa"/>
            <w:vAlign w:val="bottom"/>
            <w:tcBorders>
              <w:top w:val="single" w:sz="8" w:color="C0FFFF"/>
            </w:tcBorders>
          </w:tcPr>
          <w:p>
            <w:pPr>
              <w:spacing w:after="0"/>
              <w:rPr>
                <w:sz w:val="24"/>
                <w:szCs w:val="24"/>
                <w:color w:val="auto"/>
              </w:rPr>
            </w:pPr>
          </w:p>
        </w:tc>
        <w:tc>
          <w:tcPr>
            <w:tcW w:w="1340" w:type="dxa"/>
            <w:vAlign w:val="bottom"/>
            <w:tcBorders>
              <w:top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Borders>
              <w:top w:val="single" w:sz="8" w:color="C0FF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Borders>
              <w:top w:val="single" w:sz="8" w:color="C0FFFF"/>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560" w:type="dxa"/>
            <w:vAlign w:val="bottom"/>
          </w:tcPr>
          <w:p>
            <w:pPr>
              <w:spacing w:after="0"/>
              <w:rPr>
                <w:sz w:val="24"/>
                <w:szCs w:val="24"/>
                <w:color w:val="auto"/>
              </w:rPr>
            </w:pPr>
          </w:p>
        </w:tc>
      </w:tr>
      <w:tr>
        <w:trPr>
          <w:trHeight w:val="101"/>
        </w:trPr>
        <w:tc>
          <w:tcPr>
            <w:tcW w:w="112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-13335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484" w:right="219" w:bottom="1440" w:gutter="0" w:footer="0" w:header="0"/>
        </w:sectPr>
      </w:pPr>
    </w:p>
    <w:bookmarkStart w:id="67" w:name="page68"/>
    <w:bookmarkEnd w:id="67"/>
    <w:p>
      <w:pPr>
        <w:ind w:left="787" w:hanging="787"/>
        <w:spacing w:after="0"/>
        <w:tabs>
          <w:tab w:leader="none" w:pos="7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INCOME TAXES</w:t>
      </w:r>
      <w:r>
        <w:rPr>
          <w:rFonts w:ascii="Times New Roman" w:cs="Times New Roman" w:eastAsia="Times New Roman" w:hAnsi="Times New Roman"/>
          <w:sz w:val="16"/>
          <w:szCs w:val="16"/>
          <w:color w:val="auto"/>
        </w:rPr>
        <w:t>:</w:t>
      </w:r>
    </w:p>
    <w:p>
      <w:pPr>
        <w:spacing w:after="0" w:line="235"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 for Income Taxes</w:t>
      </w:r>
    </w:p>
    <w:p>
      <w:pPr>
        <w:spacing w:after="0" w:line="235"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provisions are summarized as follows (in thousands):</w:t>
      </w:r>
    </w:p>
    <w:p>
      <w:pPr>
        <w:spacing w:after="0" w:line="236" w:lineRule="exact"/>
        <w:rPr>
          <w:sz w:val="20"/>
          <w:szCs w:val="20"/>
          <w:color w:val="auto"/>
        </w:rPr>
      </w:pPr>
    </w:p>
    <w:tbl>
      <w:tblPr>
        <w:tblLayout w:type="fixed"/>
        <w:tblInd w:w="847"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w w:val="97"/>
              </w:rPr>
              <w:t>Year Ended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2012</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2011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3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Current provision-</w:t>
            </w:r>
          </w:p>
        </w:tc>
        <w:tc>
          <w:tcPr>
            <w:tcW w:w="112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6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142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3,081</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60" w:type="dxa"/>
            <w:vAlign w:val="bottom"/>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State</w:t>
            </w:r>
          </w:p>
        </w:tc>
        <w:tc>
          <w:tcPr>
            <w:tcW w:w="112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8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3,203</w:t>
            </w:r>
          </w:p>
        </w:tc>
        <w:tc>
          <w:tcPr>
            <w:tcW w:w="300" w:type="dxa"/>
            <w:vAlign w:val="bottom"/>
            <w:shd w:val="clear" w:color="auto" w:fill="C0FFFF"/>
          </w:tcPr>
          <w:p>
            <w:pPr>
              <w:spacing w:after="0"/>
              <w:rPr>
                <w:sz w:val="16"/>
                <w:szCs w:val="16"/>
                <w:color w:val="auto"/>
              </w:rPr>
            </w:pPr>
          </w:p>
        </w:tc>
        <w:tc>
          <w:tcPr>
            <w:tcW w:w="10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60" w:type="dxa"/>
            <w:vAlign w:val="bottom"/>
            <w:tcBorders>
              <w:top w:val="single" w:sz="8" w:color="C0FFFF"/>
            </w:tcBorders>
          </w:tcPr>
          <w:p>
            <w:pPr>
              <w:spacing w:after="0"/>
              <w:rPr>
                <w:sz w:val="16"/>
                <w:szCs w:val="16"/>
                <w:color w:val="auto"/>
              </w:rPr>
            </w:pPr>
          </w:p>
        </w:tc>
        <w:tc>
          <w:tcPr>
            <w:tcW w:w="112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6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8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6,284</w:t>
            </w:r>
          </w:p>
        </w:tc>
        <w:tc>
          <w:tcPr>
            <w:tcW w:w="300" w:type="dxa"/>
            <w:vAlign w:val="bottom"/>
            <w:shd w:val="clear" w:color="auto" w:fill="C0FFFF"/>
          </w:tcPr>
          <w:p>
            <w:pPr>
              <w:spacing w:after="0"/>
              <w:rPr>
                <w:sz w:val="16"/>
                <w:szCs w:val="16"/>
                <w:color w:val="auto"/>
              </w:rPr>
            </w:pPr>
          </w:p>
        </w:tc>
        <w:tc>
          <w:tcPr>
            <w:tcW w:w="10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360" w:type="dxa"/>
            <w:vAlign w:val="bottom"/>
            <w:tcBorders>
              <w:top w:val="single" w:sz="8" w:color="C0FFFF"/>
            </w:tcBorders>
          </w:tcPr>
          <w:p>
            <w:pPr>
              <w:spacing w:after="0"/>
              <w:rPr>
                <w:sz w:val="16"/>
                <w:szCs w:val="16"/>
                <w:color w:val="auto"/>
              </w:rPr>
            </w:pPr>
          </w:p>
        </w:tc>
        <w:tc>
          <w:tcPr>
            <w:tcW w:w="112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3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Deferred provision-</w:t>
            </w:r>
          </w:p>
        </w:tc>
        <w:tc>
          <w:tcPr>
            <w:tcW w:w="112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6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27,495</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60" w:type="dxa"/>
            <w:vAlign w:val="bottom"/>
            <w:shd w:val="clear" w:color="auto" w:fill="C0FFFF"/>
          </w:tcPr>
          <w:p>
            <w:pPr>
              <w:ind w:left="120"/>
              <w:spacing w:after="0"/>
              <w:rPr>
                <w:sz w:val="20"/>
                <w:szCs w:val="20"/>
                <w:color w:val="auto"/>
              </w:rPr>
            </w:pPr>
            <w:r>
              <w:rPr>
                <w:rFonts w:ascii="Times New Roman" w:cs="Times New Roman" w:eastAsia="Times New Roman" w:hAnsi="Times New Roman"/>
                <w:sz w:val="16"/>
                <w:szCs w:val="16"/>
                <w:color w:val="auto"/>
              </w:rPr>
              <w:t>State</w:t>
            </w:r>
          </w:p>
        </w:tc>
        <w:tc>
          <w:tcPr>
            <w:tcW w:w="112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8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1,185</w:t>
            </w:r>
          </w:p>
        </w:tc>
        <w:tc>
          <w:tcPr>
            <w:tcW w:w="30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60" w:type="dxa"/>
            <w:vAlign w:val="bottom"/>
            <w:tcBorders>
              <w:top w:val="single" w:sz="8" w:color="C0FFFF"/>
            </w:tcBorders>
          </w:tcPr>
          <w:p>
            <w:pPr>
              <w:spacing w:after="0"/>
              <w:rPr>
                <w:sz w:val="16"/>
                <w:szCs w:val="16"/>
                <w:color w:val="auto"/>
              </w:rPr>
            </w:pPr>
          </w:p>
        </w:tc>
        <w:tc>
          <w:tcPr>
            <w:tcW w:w="112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6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28,164</w:t>
            </w:r>
          </w:p>
        </w:tc>
        <w:tc>
          <w:tcPr>
            <w:tcW w:w="18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28,680</w:t>
            </w:r>
          </w:p>
        </w:tc>
        <w:tc>
          <w:tcPr>
            <w:tcW w:w="30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10,215</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360" w:type="dxa"/>
            <w:vAlign w:val="bottom"/>
            <w:tcBorders>
              <w:top w:val="single" w:sz="8" w:color="C0FFFF"/>
            </w:tcBorders>
          </w:tcPr>
          <w:p>
            <w:pPr>
              <w:spacing w:after="0"/>
              <w:rPr>
                <w:sz w:val="16"/>
                <w:szCs w:val="16"/>
                <w:color w:val="auto"/>
              </w:rPr>
            </w:pPr>
          </w:p>
        </w:tc>
        <w:tc>
          <w:tcPr>
            <w:tcW w:w="112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3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120" w:type="dxa"/>
            <w:vAlign w:val="bottom"/>
            <w:shd w:val="clear" w:color="auto" w:fill="C0FFFF"/>
          </w:tcPr>
          <w:p>
            <w:pPr>
              <w:spacing w:after="0"/>
              <w:rPr>
                <w:sz w:val="17"/>
                <w:szCs w:val="17"/>
                <w:color w:val="auto"/>
              </w:rPr>
            </w:pP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38,728</w:t>
            </w:r>
          </w:p>
        </w:tc>
        <w:tc>
          <w:tcPr>
            <w:tcW w:w="4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34,964</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16,030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0FFFF"/>
            </w:tcBorders>
            <w:shd w:val="clear" w:color="auto" w:fill="C0FFFF"/>
          </w:tcPr>
          <w:p>
            <w:pPr>
              <w:spacing w:after="0" w:line="20" w:lineRule="exact"/>
              <w:rPr>
                <w:sz w:val="1"/>
                <w:szCs w:val="1"/>
                <w:color w:val="auto"/>
              </w:rPr>
            </w:pPr>
          </w:p>
        </w:tc>
        <w:tc>
          <w:tcPr>
            <w:tcW w:w="112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 reconciliation of taxes based on the federal statutory rates and the provisions (benefits) for income taxes are summarized as follows (in thousands):</w:t>
      </w:r>
    </w:p>
    <w:p>
      <w:pPr>
        <w:spacing w:after="0" w:line="236" w:lineRule="exact"/>
        <w:rPr>
          <w:sz w:val="20"/>
          <w:szCs w:val="20"/>
          <w:color w:val="auto"/>
        </w:rPr>
      </w:pPr>
    </w:p>
    <w:tbl>
      <w:tblPr>
        <w:tblLayout w:type="fixed"/>
        <w:tblInd w:w="847"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5"/>
              </w:rPr>
              <w:t>Year Ended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2011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5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taxes at the federal statutory rate</w:t>
            </w:r>
          </w:p>
        </w:tc>
        <w:tc>
          <w:tcPr>
            <w:tcW w:w="1880" w:type="dxa"/>
            <w:vAlign w:val="bottom"/>
            <w:gridSpan w:val="2"/>
            <w:shd w:val="clear" w:color="auto" w:fill="C0FF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35,414</w:t>
            </w:r>
          </w:p>
        </w:tc>
        <w:tc>
          <w:tcPr>
            <w:tcW w:w="4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31,562</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16,559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taxes, net of federal benefit</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2,795</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Tax effect of permanent differences</w:t>
            </w:r>
          </w:p>
        </w:tc>
        <w:tc>
          <w:tcPr>
            <w:tcW w:w="98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4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8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621</w:t>
            </w:r>
          </w:p>
        </w:tc>
        <w:tc>
          <w:tcPr>
            <w:tcW w:w="30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Alternative fuel tax credits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62"/>
              <w:spacing w:after="0"/>
              <w:rPr>
                <w:sz w:val="20"/>
                <w:szCs w:val="20"/>
                <w:color w:val="auto"/>
              </w:rPr>
            </w:pPr>
            <w:r>
              <w:rPr>
                <w:rFonts w:ascii="Times New Roman" w:cs="Times New Roman" w:eastAsia="Times New Roman" w:hAnsi="Times New Roman"/>
                <w:sz w:val="16"/>
                <w:szCs w:val="16"/>
                <w:color w:val="auto"/>
              </w:rPr>
              <w:t>(205)</w:t>
            </w:r>
          </w:p>
        </w:tc>
        <w:tc>
          <w:tcPr>
            <w:tcW w:w="30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500" w:type="dxa"/>
            <w:vAlign w:val="bottom"/>
            <w:tcBorders>
              <w:top w:val="single" w:sz="8" w:color="C0FFFF"/>
            </w:tcBorders>
          </w:tcPr>
          <w:p>
            <w:pPr>
              <w:spacing w:after="0"/>
              <w:rPr>
                <w:sz w:val="16"/>
                <w:szCs w:val="16"/>
                <w:color w:val="auto"/>
              </w:rPr>
            </w:pPr>
          </w:p>
        </w:tc>
        <w:tc>
          <w:tcPr>
            <w:tcW w:w="980" w:type="dxa"/>
            <w:vAlign w:val="bottom"/>
            <w:tcBorders>
              <w:top w:val="single" w:sz="8" w:color="C0FF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5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shd w:val="clear" w:color="auto" w:fill="C0FFFF"/>
          </w:tcPr>
          <w:p>
            <w:pPr>
              <w:spacing w:after="0"/>
              <w:rPr>
                <w:sz w:val="17"/>
                <w:szCs w:val="17"/>
                <w:color w:val="auto"/>
              </w:rPr>
            </w:pPr>
          </w:p>
        </w:tc>
        <w:tc>
          <w:tcPr>
            <w:tcW w:w="900" w:type="dxa"/>
            <w:vAlign w:val="bottom"/>
            <w:shd w:val="clear" w:color="auto" w:fill="C0FFFF"/>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38,728</w:t>
            </w:r>
          </w:p>
        </w:tc>
        <w:tc>
          <w:tcPr>
            <w:tcW w:w="48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0FFFF"/>
          </w:tcPr>
          <w:p>
            <w:pPr>
              <w:jc w:val="right"/>
              <w:ind w:right="160"/>
              <w:spacing w:after="0"/>
              <w:rPr>
                <w:sz w:val="20"/>
                <w:szCs w:val="20"/>
                <w:color w:val="auto"/>
              </w:rPr>
            </w:pPr>
            <w:r>
              <w:rPr>
                <w:rFonts w:ascii="Times New Roman" w:cs="Times New Roman" w:eastAsia="Times New Roman" w:hAnsi="Times New Roman"/>
                <w:sz w:val="16"/>
                <w:szCs w:val="16"/>
                <w:color w:val="auto"/>
              </w:rPr>
              <w:t>34,964</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16,030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Following is a summary of the Company’s income tax provision for the years ended December 31, 2012, 2011 and 2010 (in thousands):</w:t>
      </w:r>
    </w:p>
    <w:p>
      <w:pPr>
        <w:spacing w:after="0" w:line="236" w:lineRule="exact"/>
        <w:rPr>
          <w:sz w:val="20"/>
          <w:szCs w:val="20"/>
          <w:color w:val="auto"/>
        </w:rPr>
      </w:pPr>
    </w:p>
    <w:tbl>
      <w:tblPr>
        <w:tblLayout w:type="fixed"/>
        <w:tblInd w:w="567"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r>
      <w:tr>
        <w:trPr>
          <w:trHeight w:val="187"/>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2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 tax provision on continuing operations</w:t>
            </w:r>
          </w:p>
        </w:tc>
        <w:tc>
          <w:tcPr>
            <w:tcW w:w="900" w:type="dxa"/>
            <w:vAlign w:val="bottom"/>
            <w:shd w:val="clear" w:color="auto" w:fill="C0FFFF"/>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38,728</w:t>
            </w:r>
          </w:p>
        </w:tc>
        <w:tc>
          <w:tcPr>
            <w:tcW w:w="180" w:type="dxa"/>
            <w:vAlign w:val="bottom"/>
            <w:shd w:val="clear" w:color="auto" w:fill="C0FFFF"/>
          </w:tcPr>
          <w:p>
            <w:pPr>
              <w:spacing w:after="0"/>
              <w:rPr>
                <w:sz w:val="16"/>
                <w:szCs w:val="16"/>
                <w:color w:val="auto"/>
              </w:rPr>
            </w:pPr>
          </w:p>
        </w:tc>
        <w:tc>
          <w:tcPr>
            <w:tcW w:w="900" w:type="dxa"/>
            <w:vAlign w:val="bottom"/>
            <w:shd w:val="clear" w:color="auto" w:fill="C0FFFF"/>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34,964</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11,737</w:t>
            </w:r>
          </w:p>
        </w:tc>
        <w:tc>
          <w:tcPr>
            <w:tcW w:w="100" w:type="dxa"/>
            <w:vAlign w:val="bottom"/>
            <w:shd w:val="clear" w:color="auto" w:fill="C0FFFF"/>
          </w:tcPr>
          <w:p>
            <w:pPr>
              <w:spacing w:after="0"/>
              <w:rPr>
                <w:sz w:val="16"/>
                <w:szCs w:val="16"/>
                <w:color w:val="auto"/>
              </w:rPr>
            </w:pPr>
          </w:p>
        </w:tc>
      </w:tr>
      <w:tr>
        <w:trPr>
          <w:trHeight w:val="190"/>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from discontinued operations</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4,293</w:t>
            </w:r>
          </w:p>
        </w:tc>
      </w:tr>
      <w:tr>
        <w:trPr>
          <w:trHeight w:val="187"/>
        </w:trPr>
        <w:tc>
          <w:tcPr>
            <w:tcW w:w="5200" w:type="dxa"/>
            <w:vAlign w:val="bottom"/>
            <w:shd w:val="clear" w:color="auto" w:fill="C0FFFF"/>
          </w:tcPr>
          <w:p>
            <w:pPr>
              <w:spacing w:after="0"/>
              <w:rPr>
                <w:sz w:val="16"/>
                <w:szCs w:val="16"/>
                <w:color w:val="auto"/>
              </w:rPr>
            </w:pPr>
          </w:p>
        </w:tc>
        <w:tc>
          <w:tcPr>
            <w:tcW w:w="900" w:type="dxa"/>
            <w:vAlign w:val="bottom"/>
            <w:tcBorders>
              <w:top w:val="single" w:sz="8" w:color="auto"/>
            </w:tcBorders>
            <w:shd w:val="clear" w:color="auto" w:fill="C0FFFF"/>
          </w:tcPr>
          <w:p>
            <w:pPr>
              <w:spacing w:after="0"/>
              <w:rPr>
                <w:sz w:val="16"/>
                <w:szCs w:val="16"/>
                <w:color w:val="auto"/>
              </w:rPr>
            </w:pPr>
          </w:p>
        </w:tc>
        <w:tc>
          <w:tcPr>
            <w:tcW w:w="480" w:type="dxa"/>
            <w:vAlign w:val="bottom"/>
            <w:tcBorders>
              <w:top w:val="single" w:sz="8" w:color="auto"/>
            </w:tcBorders>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900" w:type="dxa"/>
            <w:vAlign w:val="bottom"/>
            <w:tcBorders>
              <w:top w:val="single" w:sz="8" w:color="auto"/>
            </w:tcBorders>
            <w:shd w:val="clear" w:color="auto" w:fill="C0FFFF"/>
          </w:tcPr>
          <w:p>
            <w:pPr>
              <w:spacing w:after="0"/>
              <w:rPr>
                <w:sz w:val="16"/>
                <w:szCs w:val="16"/>
                <w:color w:val="auto"/>
              </w:rPr>
            </w:pPr>
          </w:p>
        </w:tc>
        <w:tc>
          <w:tcPr>
            <w:tcW w:w="480" w:type="dxa"/>
            <w:vAlign w:val="bottom"/>
            <w:tcBorders>
              <w:top w:val="single" w:sz="8" w:color="auto"/>
            </w:tcBorders>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00" w:type="dxa"/>
            <w:vAlign w:val="bottom"/>
            <w:tcBorders>
              <w:top w:val="single" w:sz="8" w:color="auto"/>
            </w:tcBorders>
            <w:shd w:val="clear" w:color="auto" w:fill="C0FFFF"/>
          </w:tcPr>
          <w:p>
            <w:pPr>
              <w:spacing w:after="0"/>
              <w:rPr>
                <w:sz w:val="16"/>
                <w:szCs w:val="16"/>
                <w:color w:val="auto"/>
              </w:rPr>
            </w:pPr>
          </w:p>
        </w:tc>
        <w:tc>
          <w:tcPr>
            <w:tcW w:w="106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r>
      <w:tr>
        <w:trPr>
          <w:trHeight w:val="18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38,728</w:t>
            </w:r>
          </w:p>
        </w:tc>
        <w:tc>
          <w:tcPr>
            <w:tcW w:w="180" w:type="dxa"/>
            <w:vAlign w:val="bottom"/>
          </w:tcPr>
          <w:p>
            <w:pPr>
              <w:spacing w:after="0"/>
              <w:rPr>
                <w:sz w:val="16"/>
                <w:szCs w:val="16"/>
                <w:color w:val="auto"/>
              </w:rPr>
            </w:pP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34,964</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16,030</w:t>
            </w:r>
          </w:p>
        </w:tc>
      </w:tr>
      <w:tr>
        <w:trPr>
          <w:trHeight w:val="20"/>
        </w:trPr>
        <w:tc>
          <w:tcPr>
            <w:tcW w:w="5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components of income taxes for other than continuing operations consisted of the following (in thousands):</w:t>
      </w:r>
    </w:p>
    <w:p>
      <w:pPr>
        <w:spacing w:after="0" w:line="236" w:lineRule="exact"/>
        <w:rPr>
          <w:sz w:val="20"/>
          <w:szCs w:val="20"/>
          <w:color w:val="auto"/>
        </w:rPr>
      </w:pPr>
    </w:p>
    <w:tbl>
      <w:tblPr>
        <w:tblLayout w:type="fixed"/>
        <w:tblInd w:w="7" w:type="dxa"/>
        <w:tblCellMar>
          <w:top w:w="0" w:type="dxa"/>
          <w:left w:w="0" w:type="dxa"/>
          <w:bottom w:w="0" w:type="dxa"/>
          <w:right w:w="0" w:type="dxa"/>
        </w:tblCellMar>
      </w:tblPr>
      <w:tr>
        <w:trPr>
          <w:trHeight w:val="206"/>
        </w:trPr>
        <w:tc>
          <w:tcPr>
            <w:tcW w:w="5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2012</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2011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0"/>
        </w:trPr>
        <w:tc>
          <w:tcPr>
            <w:tcW w:w="560" w:type="dxa"/>
            <w:vAlign w:val="bottom"/>
          </w:tcPr>
          <w:p>
            <w:pPr>
              <w:spacing w:after="0"/>
              <w:rPr>
                <w:sz w:val="14"/>
                <w:szCs w:val="14"/>
                <w:color w:val="auto"/>
              </w:rPr>
            </w:pPr>
          </w:p>
        </w:tc>
        <w:tc>
          <w:tcPr>
            <w:tcW w:w="4900" w:type="dxa"/>
            <w:vAlign w:val="bottom"/>
            <w:shd w:val="clear" w:color="auto" w:fill="C0FFFF"/>
          </w:tcPr>
          <w:p>
            <w:pPr>
              <w:spacing w:after="0" w:line="170" w:lineRule="exact"/>
              <w:rPr>
                <w:sz w:val="20"/>
                <w:szCs w:val="20"/>
                <w:color w:val="auto"/>
              </w:rPr>
            </w:pPr>
            <w:r>
              <w:rPr>
                <w:rFonts w:ascii="Times New Roman" w:cs="Times New Roman" w:eastAsia="Times New Roman" w:hAnsi="Times New Roman"/>
                <w:sz w:val="16"/>
                <w:szCs w:val="16"/>
                <w:color w:val="auto"/>
              </w:rPr>
              <w:t>Income tax expense (benefit) related to components of other comprehensive</w:t>
            </w:r>
          </w:p>
        </w:tc>
        <w:tc>
          <w:tcPr>
            <w:tcW w:w="300" w:type="dxa"/>
            <w:vAlign w:val="bottom"/>
            <w:shd w:val="clear" w:color="auto" w:fill="C0FFFF"/>
          </w:tcPr>
          <w:p>
            <w:pPr>
              <w:spacing w:after="0"/>
              <w:rPr>
                <w:sz w:val="14"/>
                <w:szCs w:val="14"/>
                <w:color w:val="auto"/>
              </w:rPr>
            </w:pPr>
          </w:p>
        </w:tc>
        <w:tc>
          <w:tcPr>
            <w:tcW w:w="900" w:type="dxa"/>
            <w:vAlign w:val="bottom"/>
            <w:tcBorders>
              <w:top w:val="single" w:sz="8" w:color="auto"/>
            </w:tcBorders>
            <w:shd w:val="clear" w:color="auto" w:fill="C0FFFF"/>
          </w:tcPr>
          <w:p>
            <w:pPr>
              <w:spacing w:after="0"/>
              <w:rPr>
                <w:sz w:val="14"/>
                <w:szCs w:val="14"/>
                <w:color w:val="auto"/>
              </w:rPr>
            </w:pPr>
          </w:p>
        </w:tc>
        <w:tc>
          <w:tcPr>
            <w:tcW w:w="480" w:type="dxa"/>
            <w:vAlign w:val="bottom"/>
            <w:tcBorders>
              <w:top w:val="single" w:sz="8" w:color="auto"/>
            </w:tcBorders>
            <w:shd w:val="clear" w:color="auto" w:fill="C0FFFF"/>
          </w:tcPr>
          <w:p>
            <w:pPr>
              <w:spacing w:after="0"/>
              <w:rPr>
                <w:sz w:val="14"/>
                <w:szCs w:val="14"/>
                <w:color w:val="auto"/>
              </w:rPr>
            </w:pPr>
          </w:p>
        </w:tc>
        <w:tc>
          <w:tcPr>
            <w:tcW w:w="180" w:type="dxa"/>
            <w:vAlign w:val="bottom"/>
            <w:shd w:val="clear" w:color="auto" w:fill="C0FFFF"/>
          </w:tcPr>
          <w:p>
            <w:pPr>
              <w:spacing w:after="0"/>
              <w:rPr>
                <w:sz w:val="14"/>
                <w:szCs w:val="14"/>
                <w:color w:val="auto"/>
              </w:rPr>
            </w:pPr>
          </w:p>
        </w:tc>
        <w:tc>
          <w:tcPr>
            <w:tcW w:w="300" w:type="dxa"/>
            <w:vAlign w:val="bottom"/>
            <w:tcBorders>
              <w:top w:val="single" w:sz="8" w:color="auto"/>
            </w:tcBorders>
            <w:shd w:val="clear" w:color="auto" w:fill="C0FFFF"/>
          </w:tcPr>
          <w:p>
            <w:pPr>
              <w:spacing w:after="0"/>
              <w:rPr>
                <w:sz w:val="14"/>
                <w:szCs w:val="14"/>
                <w:color w:val="auto"/>
              </w:rPr>
            </w:pPr>
          </w:p>
        </w:tc>
        <w:tc>
          <w:tcPr>
            <w:tcW w:w="1080" w:type="dxa"/>
            <w:vAlign w:val="bottom"/>
            <w:tcBorders>
              <w:top w:val="single" w:sz="8" w:color="auto"/>
            </w:tcBorders>
            <w:shd w:val="clear" w:color="auto" w:fill="C0FFFF"/>
          </w:tcPr>
          <w:p>
            <w:pPr>
              <w:spacing w:after="0"/>
              <w:rPr>
                <w:sz w:val="14"/>
                <w:szCs w:val="14"/>
                <w:color w:val="auto"/>
              </w:rPr>
            </w:pPr>
          </w:p>
        </w:tc>
        <w:tc>
          <w:tcPr>
            <w:tcW w:w="180" w:type="dxa"/>
            <w:vAlign w:val="bottom"/>
            <w:shd w:val="clear" w:color="auto" w:fill="C0FFFF"/>
          </w:tcPr>
          <w:p>
            <w:pPr>
              <w:spacing w:after="0"/>
              <w:rPr>
                <w:sz w:val="14"/>
                <w:szCs w:val="14"/>
                <w:color w:val="auto"/>
              </w:rPr>
            </w:pPr>
          </w:p>
        </w:tc>
        <w:tc>
          <w:tcPr>
            <w:tcW w:w="300" w:type="dxa"/>
            <w:vAlign w:val="bottom"/>
            <w:tcBorders>
              <w:top w:val="single" w:sz="8" w:color="auto"/>
            </w:tcBorders>
            <w:shd w:val="clear" w:color="auto" w:fill="C0FFFF"/>
          </w:tcPr>
          <w:p>
            <w:pPr>
              <w:spacing w:after="0"/>
              <w:rPr>
                <w:sz w:val="14"/>
                <w:szCs w:val="14"/>
                <w:color w:val="auto"/>
              </w:rPr>
            </w:pPr>
          </w:p>
        </w:tc>
        <w:tc>
          <w:tcPr>
            <w:tcW w:w="1060" w:type="dxa"/>
            <w:vAlign w:val="bottom"/>
            <w:tcBorders>
              <w:top w:val="single" w:sz="8" w:color="auto"/>
            </w:tcBorders>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560" w:type="dxa"/>
            <w:vAlign w:val="bottom"/>
          </w:tcPr>
          <w:p>
            <w:pPr>
              <w:spacing w:after="0"/>
              <w:rPr>
                <w:sz w:val="17"/>
                <w:szCs w:val="17"/>
                <w:color w:val="auto"/>
              </w:rPr>
            </w:pPr>
          </w:p>
        </w:tc>
        <w:tc>
          <w:tcPr>
            <w:tcW w:w="49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income:</w:t>
            </w:r>
          </w:p>
        </w:tc>
        <w:tc>
          <w:tcPr>
            <w:tcW w:w="300" w:type="dxa"/>
            <w:vAlign w:val="bottom"/>
            <w:shd w:val="clear" w:color="auto" w:fill="C0FFFF"/>
          </w:tcPr>
          <w:p>
            <w:pPr>
              <w:spacing w:after="0"/>
              <w:rPr>
                <w:sz w:val="17"/>
                <w:szCs w:val="17"/>
                <w:color w:val="auto"/>
              </w:rPr>
            </w:pPr>
          </w:p>
        </w:tc>
        <w:tc>
          <w:tcPr>
            <w:tcW w:w="900" w:type="dxa"/>
            <w:vAlign w:val="bottom"/>
            <w:shd w:val="clear" w:color="auto" w:fill="C0FFFF"/>
          </w:tcPr>
          <w:p>
            <w:pPr>
              <w:spacing w:after="0"/>
              <w:rPr>
                <w:sz w:val="17"/>
                <w:szCs w:val="17"/>
                <w:color w:val="auto"/>
              </w:rPr>
            </w:pPr>
          </w:p>
        </w:tc>
        <w:tc>
          <w:tcPr>
            <w:tcW w:w="4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300" w:type="dxa"/>
            <w:vAlign w:val="bottom"/>
            <w:shd w:val="clear" w:color="auto" w:fill="C0FFFF"/>
          </w:tcPr>
          <w:p>
            <w:pPr>
              <w:spacing w:after="0"/>
              <w:rPr>
                <w:sz w:val="17"/>
                <w:szCs w:val="17"/>
                <w:color w:val="auto"/>
              </w:rPr>
            </w:pPr>
          </w:p>
        </w:tc>
        <w:tc>
          <w:tcPr>
            <w:tcW w:w="10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30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100" w:type="dxa"/>
            <w:vAlign w:val="bottom"/>
          </w:tcPr>
          <w:p>
            <w:pPr>
              <w:spacing w:after="0"/>
              <w:rPr>
                <w:sz w:val="17"/>
                <w:szCs w:val="17"/>
                <w:color w:val="auto"/>
              </w:rPr>
            </w:pPr>
          </w:p>
        </w:tc>
      </w:tr>
      <w:tr>
        <w:trPr>
          <w:trHeight w:val="187"/>
        </w:trPr>
        <w:tc>
          <w:tcPr>
            <w:tcW w:w="560" w:type="dxa"/>
            <w:vAlign w:val="bottom"/>
          </w:tcPr>
          <w:p>
            <w:pPr>
              <w:spacing w:after="0"/>
              <w:rPr>
                <w:sz w:val="16"/>
                <w:szCs w:val="16"/>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cash flow swaps</w:t>
            </w:r>
          </w:p>
        </w:tc>
        <w:tc>
          <w:tcPr>
            <w:tcW w:w="12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133</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(728)</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90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Change in fair value of available-for-sale securities</w:t>
            </w:r>
          </w:p>
        </w:tc>
        <w:tc>
          <w:tcPr>
            <w:tcW w:w="30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6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(360)</w:t>
            </w:r>
          </w:p>
        </w:tc>
        <w:tc>
          <w:tcPr>
            <w:tcW w:w="3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4900" w:type="dxa"/>
            <w:vAlign w:val="bottom"/>
            <w:shd w:val="clear" w:color="auto" w:fill="C0FFFF"/>
          </w:tcPr>
          <w:p>
            <w:pPr>
              <w:spacing w:after="0"/>
              <w:rPr>
                <w:sz w:val="2"/>
                <w:szCs w:val="2"/>
                <w:color w:val="auto"/>
              </w:rPr>
            </w:pPr>
          </w:p>
        </w:tc>
        <w:tc>
          <w:tcPr>
            <w:tcW w:w="300" w:type="dxa"/>
            <w:vAlign w:val="bottom"/>
            <w:shd w:val="clear" w:color="auto" w:fill="C0FF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6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124</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(1,088)</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9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900" w:type="dxa"/>
            <w:vAlign w:val="bottom"/>
            <w:tcBorders>
              <w:top w:val="single" w:sz="8" w:color="auto"/>
            </w:tcBorders>
            <w:shd w:val="clear" w:color="auto" w:fill="C0FFFF"/>
          </w:tcPr>
          <w:p>
            <w:pPr>
              <w:spacing w:after="0"/>
              <w:rPr>
                <w:sz w:val="16"/>
                <w:szCs w:val="16"/>
                <w:color w:val="auto"/>
              </w:rPr>
            </w:pPr>
          </w:p>
        </w:tc>
        <w:tc>
          <w:tcPr>
            <w:tcW w:w="480" w:type="dxa"/>
            <w:vAlign w:val="bottom"/>
            <w:tcBorders>
              <w:top w:val="single" w:sz="8" w:color="auto"/>
            </w:tcBorders>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00" w:type="dxa"/>
            <w:vAlign w:val="bottom"/>
            <w:tcBorders>
              <w:top w:val="single" w:sz="8" w:color="auto"/>
            </w:tcBorders>
            <w:shd w:val="clear" w:color="auto" w:fill="C0FFFF"/>
          </w:tcPr>
          <w:p>
            <w:pPr>
              <w:spacing w:after="0"/>
              <w:rPr>
                <w:sz w:val="16"/>
                <w:szCs w:val="16"/>
                <w:color w:val="auto"/>
              </w:rPr>
            </w:pPr>
          </w:p>
        </w:tc>
        <w:tc>
          <w:tcPr>
            <w:tcW w:w="1080" w:type="dxa"/>
            <w:vAlign w:val="bottom"/>
            <w:tcBorders>
              <w:top w:val="single" w:sz="8" w:color="auto"/>
            </w:tcBorders>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00" w:type="dxa"/>
            <w:vAlign w:val="bottom"/>
            <w:tcBorders>
              <w:top w:val="single" w:sz="8" w:color="auto"/>
            </w:tcBorders>
            <w:shd w:val="clear" w:color="auto" w:fill="C0FFFF"/>
          </w:tcPr>
          <w:p>
            <w:pPr>
              <w:spacing w:after="0"/>
              <w:rPr>
                <w:sz w:val="16"/>
                <w:szCs w:val="16"/>
                <w:color w:val="auto"/>
              </w:rPr>
            </w:pPr>
          </w:p>
        </w:tc>
        <w:tc>
          <w:tcPr>
            <w:tcW w:w="1060" w:type="dxa"/>
            <w:vAlign w:val="bottom"/>
            <w:tcBorders>
              <w:top w:val="single" w:sz="8" w:color="auto"/>
            </w:tcBorders>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Paid in capital – stock based compensation</w:t>
            </w:r>
          </w:p>
        </w:tc>
        <w:tc>
          <w:tcPr>
            <w:tcW w:w="12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(1,668)</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(1,993)</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(885)</w:t>
            </w:r>
          </w:p>
        </w:tc>
        <w:tc>
          <w:tcPr>
            <w:tcW w:w="110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524"/>
        </w:trPr>
        <w:tc>
          <w:tcPr>
            <w:tcW w:w="5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65</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560" w:type="dxa"/>
            <w:vAlign w:val="bottom"/>
            <w:tcBorders>
              <w:bottom w:val="single" w:sz="8" w:color="808080"/>
            </w:tcBorders>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-13335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438" w:right="2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color w:val="auto"/>
        </w:rPr>
        <w:t>The following summarizes the components of deferred tax assets and liabilities included in the balance sheet (in thousands):</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4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2012</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Pr>
          <w:p>
            <w:pPr>
              <w:spacing w:after="0"/>
              <w:rPr>
                <w:sz w:val="16"/>
                <w:szCs w:val="16"/>
                <w:color w:val="auto"/>
              </w:rPr>
            </w:pPr>
          </w:p>
        </w:tc>
      </w:tr>
      <w:tr>
        <w:trPr>
          <w:trHeight w:val="187"/>
        </w:trPr>
        <w:tc>
          <w:tcPr>
            <w:tcW w:w="47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Current:</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4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r>
      <w:tr>
        <w:trPr>
          <w:trHeight w:val="187"/>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76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230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4,424</w:t>
            </w:r>
          </w:p>
        </w:tc>
        <w:tc>
          <w:tcPr>
            <w:tcW w:w="440" w:type="dxa"/>
            <w:vAlign w:val="bottom"/>
            <w:shd w:val="clear" w:color="auto" w:fill="C0FF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2,944</w:t>
            </w:r>
          </w:p>
        </w:tc>
      </w:tr>
      <w:tr>
        <w:trPr>
          <w:trHeight w:val="187"/>
        </w:trPr>
        <w:tc>
          <w:tcPr>
            <w:tcW w:w="4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w:t>
            </w:r>
          </w:p>
        </w:tc>
        <w:tc>
          <w:tcPr>
            <w:tcW w:w="4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178</w:t>
            </w:r>
          </w:p>
        </w:tc>
      </w:tr>
      <w:tr>
        <w:trPr>
          <w:trHeight w:val="187"/>
        </w:trPr>
        <w:tc>
          <w:tcPr>
            <w:tcW w:w="476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4,604</w:t>
            </w:r>
          </w:p>
        </w:tc>
        <w:tc>
          <w:tcPr>
            <w:tcW w:w="4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4,217</w:t>
            </w:r>
          </w:p>
        </w:tc>
      </w:tr>
      <w:tr>
        <w:trPr>
          <w:trHeight w:val="187"/>
        </w:trPr>
        <w:tc>
          <w:tcPr>
            <w:tcW w:w="4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Stock options</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1,409</w:t>
            </w:r>
          </w:p>
        </w:tc>
        <w:tc>
          <w:tcPr>
            <w:tcW w:w="4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1,145</w:t>
            </w:r>
          </w:p>
        </w:tc>
      </w:tr>
      <w:tr>
        <w:trPr>
          <w:trHeight w:val="187"/>
        </w:trPr>
        <w:tc>
          <w:tcPr>
            <w:tcW w:w="476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Accrued liabilities</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2,337</w:t>
            </w:r>
          </w:p>
        </w:tc>
        <w:tc>
          <w:tcPr>
            <w:tcW w:w="4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2,453</w:t>
            </w:r>
          </w:p>
        </w:tc>
      </w:tr>
      <w:tr>
        <w:trPr>
          <w:trHeight w:val="187"/>
        </w:trPr>
        <w:tc>
          <w:tcPr>
            <w:tcW w:w="4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State net operating loss carry forward</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905</w:t>
            </w:r>
          </w:p>
        </w:tc>
        <w:tc>
          <w:tcPr>
            <w:tcW w:w="4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393</w:t>
            </w:r>
          </w:p>
        </w:tc>
      </w:tr>
      <w:tr>
        <w:trPr>
          <w:trHeight w:val="187"/>
        </w:trPr>
        <w:tc>
          <w:tcPr>
            <w:tcW w:w="476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State tax credit</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477</w:t>
            </w:r>
          </w:p>
        </w:tc>
        <w:tc>
          <w:tcPr>
            <w:tcW w:w="4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527</w:t>
            </w:r>
          </w:p>
        </w:tc>
      </w:tr>
      <w:tr>
        <w:trPr>
          <w:trHeight w:val="187"/>
        </w:trPr>
        <w:tc>
          <w:tcPr>
            <w:tcW w:w="4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r>
      <w:tr>
        <w:trPr>
          <w:trHeight w:val="23"/>
        </w:trPr>
        <w:tc>
          <w:tcPr>
            <w:tcW w:w="4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7"/>
        </w:trPr>
        <w:tc>
          <w:tcPr>
            <w:tcW w:w="47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Current deferred tax asset</w:t>
            </w:r>
          </w:p>
        </w:tc>
        <w:tc>
          <w:tcPr>
            <w:tcW w:w="230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14,630</w:t>
            </w:r>
          </w:p>
        </w:tc>
        <w:tc>
          <w:tcPr>
            <w:tcW w:w="440" w:type="dxa"/>
            <w:vAlign w:val="bottom"/>
            <w:shd w:val="clear" w:color="auto" w:fill="C0FF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12,286</w:t>
            </w:r>
          </w:p>
        </w:tc>
      </w:tr>
      <w:tr>
        <w:trPr>
          <w:trHeight w:val="173"/>
        </w:trPr>
        <w:tc>
          <w:tcPr>
            <w:tcW w:w="4760" w:type="dxa"/>
            <w:vAlign w:val="bottom"/>
            <w:tcBorders>
              <w:top w:val="single" w:sz="8" w:color="C0FFFF"/>
            </w:tcBorders>
          </w:tcPr>
          <w:p>
            <w:pPr>
              <w:spacing w:after="0"/>
              <w:rPr>
                <w:sz w:val="15"/>
                <w:szCs w:val="15"/>
                <w:color w:val="auto"/>
              </w:rPr>
            </w:pPr>
          </w:p>
        </w:tc>
        <w:tc>
          <w:tcPr>
            <w:tcW w:w="2000" w:type="dxa"/>
            <w:vAlign w:val="bottom"/>
            <w:tcBorders>
              <w:top w:val="single" w:sz="8" w:color="C0FF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Borders>
              <w:top w:val="single" w:sz="8" w:color="C0FF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r>
      <w:tr>
        <w:trPr>
          <w:trHeight w:val="187"/>
        </w:trPr>
        <w:tc>
          <w:tcPr>
            <w:tcW w:w="47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4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r>
      <w:tr>
        <w:trPr>
          <w:trHeight w:val="187"/>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76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230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13,811</w:t>
            </w:r>
          </w:p>
        </w:tc>
        <w:tc>
          <w:tcPr>
            <w:tcW w:w="440" w:type="dxa"/>
            <w:vAlign w:val="bottom"/>
            <w:shd w:val="clear" w:color="auto" w:fill="C0FF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12,651</w:t>
            </w:r>
          </w:p>
        </w:tc>
      </w:tr>
      <w:tr>
        <w:trPr>
          <w:trHeight w:val="187"/>
        </w:trPr>
        <w:tc>
          <w:tcPr>
            <w:tcW w:w="4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Stock options</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5,635</w:t>
            </w:r>
          </w:p>
        </w:tc>
        <w:tc>
          <w:tcPr>
            <w:tcW w:w="4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4,579</w:t>
            </w:r>
          </w:p>
        </w:tc>
      </w:tr>
      <w:tr>
        <w:trPr>
          <w:trHeight w:val="187"/>
        </w:trPr>
        <w:tc>
          <w:tcPr>
            <w:tcW w:w="476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Other</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80" w:type="dxa"/>
            <w:vAlign w:val="bottom"/>
            <w:shd w:val="clear" w:color="auto" w:fill="C0FFFF"/>
          </w:tcPr>
          <w:p>
            <w:pPr>
              <w:spacing w:after="0"/>
              <w:rPr>
                <w:sz w:val="16"/>
                <w:szCs w:val="16"/>
                <w:color w:val="auto"/>
              </w:rPr>
            </w:pPr>
          </w:p>
        </w:tc>
        <w:tc>
          <w:tcPr>
            <w:tcW w:w="4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1,231</w:t>
            </w:r>
          </w:p>
        </w:tc>
      </w:tr>
      <w:tr>
        <w:trPr>
          <w:trHeight w:val="23"/>
        </w:trPr>
        <w:tc>
          <w:tcPr>
            <w:tcW w:w="4760" w:type="dxa"/>
            <w:vAlign w:val="bottom"/>
            <w:shd w:val="clear" w:color="auto" w:fill="C0FFFF"/>
          </w:tcPr>
          <w:p>
            <w:pPr>
              <w:spacing w:after="0"/>
              <w:rPr>
                <w:sz w:val="2"/>
                <w:szCs w:val="2"/>
                <w:color w:val="auto"/>
              </w:rPr>
            </w:pPr>
          </w:p>
        </w:tc>
        <w:tc>
          <w:tcPr>
            <w:tcW w:w="200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187"/>
        </w:trPr>
        <w:tc>
          <w:tcPr>
            <w:tcW w:w="4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21,125</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18,461</w:t>
            </w:r>
          </w:p>
        </w:tc>
      </w:tr>
      <w:tr>
        <w:trPr>
          <w:trHeight w:val="187"/>
        </w:trPr>
        <w:tc>
          <w:tcPr>
            <w:tcW w:w="4760" w:type="dxa"/>
            <w:vAlign w:val="bottom"/>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08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4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r>
      <w:tr>
        <w:trPr>
          <w:trHeight w:val="187"/>
        </w:trPr>
        <w:tc>
          <w:tcPr>
            <w:tcW w:w="4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Difference between book and tax basis-</w:t>
            </w: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760" w:type="dxa"/>
            <w:vAlign w:val="bottom"/>
            <w:shd w:val="clear" w:color="auto" w:fill="C0FFFF"/>
          </w:tcPr>
          <w:p>
            <w:pPr>
              <w:ind w:left="420"/>
              <w:spacing w:after="0"/>
              <w:rPr>
                <w:sz w:val="20"/>
                <w:szCs w:val="20"/>
                <w:color w:val="auto"/>
              </w:rPr>
            </w:pPr>
            <w:r>
              <w:rPr>
                <w:rFonts w:ascii="Times New Roman" w:cs="Times New Roman" w:eastAsia="Times New Roman" w:hAnsi="Times New Roman"/>
                <w:sz w:val="16"/>
                <w:szCs w:val="16"/>
                <w:color w:val="auto"/>
              </w:rPr>
              <w:t>Depreciation</w:t>
            </w:r>
          </w:p>
        </w:tc>
        <w:tc>
          <w:tcPr>
            <w:tcW w:w="20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(144,881)</w:t>
            </w:r>
          </w:p>
        </w:tc>
        <w:tc>
          <w:tcPr>
            <w:tcW w:w="44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(111,584)</w:t>
            </w:r>
          </w:p>
        </w:tc>
      </w:tr>
      <w:tr>
        <w:trPr>
          <w:trHeight w:val="187"/>
        </w:trPr>
        <w:tc>
          <w:tcPr>
            <w:tcW w:w="4760" w:type="dxa"/>
            <w:vAlign w:val="bottom"/>
            <w:tcBorders>
              <w:top w:val="single" w:sz="8" w:color="C0FFFF"/>
            </w:tcBorders>
          </w:tcPr>
          <w:p>
            <w:pPr>
              <w:spacing w:after="0"/>
              <w:rPr>
                <w:sz w:val="16"/>
                <w:szCs w:val="16"/>
                <w:color w:val="auto"/>
              </w:rPr>
            </w:pPr>
          </w:p>
        </w:tc>
        <w:tc>
          <w:tcPr>
            <w:tcW w:w="2000" w:type="dxa"/>
            <w:vAlign w:val="bottom"/>
            <w:tcBorders>
              <w:top w:val="single" w:sz="8" w:color="C0FF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r>
      <w:tr>
        <w:trPr>
          <w:trHeight w:val="207"/>
        </w:trPr>
        <w:tc>
          <w:tcPr>
            <w:tcW w:w="47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non-current tax liability</w:t>
            </w:r>
          </w:p>
        </w:tc>
        <w:tc>
          <w:tcPr>
            <w:tcW w:w="2300" w:type="dxa"/>
            <w:vAlign w:val="bottom"/>
            <w:gridSpan w:val="2"/>
            <w:shd w:val="clear" w:color="auto" w:fill="C0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(123,756)</w:t>
            </w:r>
          </w:p>
        </w:tc>
        <w:tc>
          <w:tcPr>
            <w:tcW w:w="440" w:type="dxa"/>
            <w:vAlign w:val="bottom"/>
            <w:shd w:val="clear" w:color="auto" w:fill="C0FF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(93,123)</w:t>
            </w:r>
          </w:p>
        </w:tc>
      </w:tr>
      <w:tr>
        <w:trPr>
          <w:trHeight w:val="20"/>
        </w:trPr>
        <w:tc>
          <w:tcPr>
            <w:tcW w:w="4760" w:type="dxa"/>
            <w:vAlign w:val="bottom"/>
            <w:tcBorders>
              <w:top w:val="single" w:sz="8" w:color="C0FFFF"/>
            </w:tcBorders>
            <w:shd w:val="clear" w:color="auto" w:fill="C0FFFF"/>
          </w:tcPr>
          <w:p>
            <w:pPr>
              <w:spacing w:after="0" w:line="20" w:lineRule="exact"/>
              <w:rPr>
                <w:sz w:val="1"/>
                <w:szCs w:val="1"/>
                <w:color w:val="auto"/>
              </w:rPr>
            </w:pPr>
          </w:p>
        </w:tc>
        <w:tc>
          <w:tcPr>
            <w:tcW w:w="200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various state net operating loss carry forwards expire from 2014 through 2024.</w:t>
      </w: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included accruals for unrecognized income tax benefits totaling $1.4 million as a component of accrued liabilities as of December 31, 2012, and $1.3 million as of December 31, 2011. The unrecognized tax benefits of $1.0 million at December 31, 2012, and $1.3 million as of December 31, 2011, if recognized, would impact the Company’s effective tax rate. An unfavorable settlement would require a charge to income tax expense and a favorable resolution would be recognized as a reduction to income tax expense. The Company records interest and penalties related to unrecognized income tax benefits in income tax expense. The Company had accrued interest of $49,000 at December 31, 2012 and $51,000 at December 31, 2011 related to unrecognized tax benefits. During the years 2012, 2011 and 2010, the Company recognized approximately ($2,294), ($78,748), and ($4,348) in interest. No amounts were accrued for penalties.</w:t>
      </w:r>
    </w:p>
    <w:p>
      <w:pPr>
        <w:spacing w:after="0" w:line="212"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14"/>
          <w:szCs w:val="14"/>
          <w:color w:val="auto"/>
        </w:rPr>
        <w:t>The Company does not anticipate a significant change in the amount of unrecognized tax benefits in the next 12 months. As of December 31, 2012, the tax years ended December 31, 2009 through 2012 remained subject to audit by federal tax authorities and the tax years ended December 31, 2008 through 2012, remained subject to audit by state tax authorities.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change in the unrecognized tax benefits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2012</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2011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7"/>
        </w:trPr>
        <w:tc>
          <w:tcPr>
            <w:tcW w:w="560" w:type="dxa"/>
            <w:vAlign w:val="bottom"/>
          </w:tcPr>
          <w:p>
            <w:pPr>
              <w:spacing w:after="0"/>
              <w:rPr>
                <w:sz w:val="16"/>
                <w:szCs w:val="16"/>
                <w:color w:val="auto"/>
              </w:rPr>
            </w:pPr>
          </w:p>
        </w:tc>
        <w:tc>
          <w:tcPr>
            <w:tcW w:w="4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Unrecognized tax benefits at beginning of period</w:t>
            </w:r>
          </w:p>
        </w:tc>
        <w:tc>
          <w:tcPr>
            <w:tcW w:w="2080" w:type="dxa"/>
            <w:vAlign w:val="bottom"/>
            <w:gridSpan w:val="2"/>
            <w:shd w:val="clear" w:color="auto" w:fill="C0FF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1,337</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1,466</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1,761</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Gross increases – tax positions in current year</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358</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290</w:t>
            </w:r>
          </w:p>
        </w:tc>
        <w:tc>
          <w:tcPr>
            <w:tcW w:w="3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Gross increases – tax positions in a prior year</w:t>
            </w:r>
          </w:p>
        </w:tc>
        <w:tc>
          <w:tcPr>
            <w:tcW w:w="1140" w:type="dxa"/>
            <w:vAlign w:val="bottom"/>
            <w:shd w:val="clear" w:color="auto" w:fill="C0FFFF"/>
          </w:tcPr>
          <w:p>
            <w:pPr>
              <w:spacing w:after="0"/>
              <w:rPr>
                <w:sz w:val="16"/>
                <w:szCs w:val="16"/>
                <w:color w:val="auto"/>
              </w:rPr>
            </w:pPr>
          </w:p>
        </w:tc>
        <w:tc>
          <w:tcPr>
            <w:tcW w:w="940" w:type="dxa"/>
            <w:vAlign w:val="bottom"/>
            <w:shd w:val="clear" w:color="auto" w:fill="C0FFFF"/>
          </w:tcPr>
          <w:p>
            <w:pPr>
              <w:spacing w:after="0"/>
              <w:rPr>
                <w:sz w:val="16"/>
                <w:szCs w:val="16"/>
                <w:color w:val="auto"/>
              </w:rPr>
            </w:pPr>
          </w:p>
        </w:tc>
        <w:tc>
          <w:tcPr>
            <w:tcW w:w="6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267</w:t>
            </w:r>
          </w:p>
        </w:tc>
        <w:tc>
          <w:tcPr>
            <w:tcW w:w="300" w:type="dxa"/>
            <w:vAlign w:val="bottom"/>
            <w:shd w:val="clear" w:color="auto" w:fill="C0FFFF"/>
          </w:tcPr>
          <w:p>
            <w:pPr>
              <w:spacing w:after="0"/>
              <w:rPr>
                <w:sz w:val="16"/>
                <w:szCs w:val="16"/>
                <w:color w:val="auto"/>
              </w:rPr>
            </w:pP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119</w:t>
            </w:r>
          </w:p>
        </w:tc>
        <w:tc>
          <w:tcPr>
            <w:tcW w:w="3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6"/>
                <w:szCs w:val="16"/>
                <w:color w:val="auto"/>
              </w:rPr>
            </w:pPr>
          </w:p>
        </w:tc>
      </w:tr>
      <w:tr>
        <w:trPr>
          <w:trHeight w:val="187"/>
        </w:trPr>
        <w:tc>
          <w:tcPr>
            <w:tcW w:w="56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Reductions due to lapse of statute of limitations</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(553)</w:t>
            </w:r>
          </w:p>
        </w:tc>
        <w:tc>
          <w:tcPr>
            <w:tcW w:w="3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(538)</w:t>
            </w:r>
          </w:p>
        </w:tc>
        <w:tc>
          <w:tcPr>
            <w:tcW w:w="30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(472)</w:t>
            </w:r>
          </w:p>
        </w:tc>
        <w:tc>
          <w:tcPr>
            <w:tcW w:w="110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40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Unrecognized tax benefits at end of period</w:t>
            </w:r>
          </w:p>
        </w:tc>
        <w:tc>
          <w:tcPr>
            <w:tcW w:w="2080" w:type="dxa"/>
            <w:vAlign w:val="bottom"/>
            <w:gridSpan w:val="2"/>
            <w:shd w:val="clear" w:color="auto" w:fill="C0FF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1,409</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1,337</w:t>
            </w:r>
          </w:p>
        </w:tc>
        <w:tc>
          <w:tcPr>
            <w:tcW w:w="300" w:type="dxa"/>
            <w:vAlign w:val="bottom"/>
            <w:shd w:val="clear" w:color="auto" w:fill="C0FF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1,466</w:t>
            </w:r>
          </w:p>
        </w:tc>
        <w:tc>
          <w:tcPr>
            <w:tcW w:w="110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4060" w:type="dxa"/>
            <w:vAlign w:val="bottom"/>
            <w:shd w:val="clear" w:color="auto" w:fill="C0FFFF"/>
          </w:tcPr>
          <w:p>
            <w:pPr>
              <w:spacing w:after="0"/>
              <w:rPr>
                <w:sz w:val="2"/>
                <w:szCs w:val="2"/>
                <w:color w:val="auto"/>
              </w:rPr>
            </w:pPr>
          </w:p>
        </w:tc>
        <w:tc>
          <w:tcPr>
            <w:tcW w:w="114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100" w:type="dxa"/>
            <w:vAlign w:val="bottom"/>
          </w:tcPr>
          <w:p>
            <w:pPr>
              <w:spacing w:after="0"/>
              <w:rPr>
                <w:sz w:val="2"/>
                <w:szCs w:val="2"/>
                <w:color w:val="auto"/>
              </w:rPr>
            </w:pPr>
          </w:p>
        </w:tc>
      </w:tr>
      <w:tr>
        <w:trPr>
          <w:trHeight w:val="524"/>
        </w:trPr>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80" w:type="dxa"/>
            <w:vAlign w:val="bottom"/>
            <w:gridSpan w:val="2"/>
          </w:tcPr>
          <w:p>
            <w:pPr>
              <w:jc w:val="right"/>
              <w:ind w:right="822"/>
              <w:spacing w:after="0"/>
              <w:rPr>
                <w:sz w:val="20"/>
                <w:szCs w:val="20"/>
                <w:color w:val="auto"/>
              </w:rPr>
            </w:pPr>
            <w:r>
              <w:rPr>
                <w:rFonts w:ascii="Times New Roman" w:cs="Times New Roman" w:eastAsia="Times New Roman" w:hAnsi="Times New Roman"/>
                <w:sz w:val="16"/>
                <w:szCs w:val="16"/>
                <w:color w:val="auto"/>
              </w:rPr>
              <w:t>66</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560" w:type="dxa"/>
            <w:vAlign w:val="bottom"/>
            <w:tcBorders>
              <w:bottom w:val="single" w:sz="8" w:color="808080"/>
            </w:tcBorders>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69" w:name="page70"/>
    <w:bookmarkEnd w:id="69"/>
    <w:p>
      <w:pPr>
        <w:ind w:left="787" w:hanging="787"/>
        <w:spacing w:after="0"/>
        <w:tabs>
          <w:tab w:leader="none" w:pos="7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COMMITMENTS AND CONTINGENCIES</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10" w:lineRule="exact"/>
        <w:rPr>
          <w:sz w:val="20"/>
          <w:szCs w:val="20"/>
          <w:color w:val="auto"/>
        </w:rPr>
      </w:pPr>
    </w:p>
    <w:p>
      <w:pPr>
        <w:ind w:left="787" w:hanging="787"/>
        <w:spacing w:after="0"/>
        <w:tabs>
          <w:tab w:leader="none" w:pos="7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ACQUISITIONS</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97"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On December 31, 2012, the Company acquired certain assets of MVI Group, which operated commercial truck and bus dealerships in Ohio under the names of Miami Valley International, Center City International, CCI North Coast and Buckeye Truck Centers. The acquisition included International, IC Bus, and Isuzu franchise locations in Akron, Cincinnati, Cleveland, Columbus, Dayton, Findlay and Lima, Ohio. These dealerships now operate as Rush Truck Centers. Rush Truck Leasing now operates Idealease truck rental and leasing franchises in Cincinnati, Cleveland, Columbus, Dayton and Lima, Ohio. The transaction, including real estate, was valued at approximately $104.5 million. The purchase price for the assets of the business was financed under the Company’s floor plan and lease and rental truck financing arrangements with the remainder paid in cash.</w:t>
      </w:r>
    </w:p>
    <w:p>
      <w:pPr>
        <w:spacing w:after="0" w:line="392" w:lineRule="exact"/>
        <w:rPr>
          <w:sz w:val="20"/>
          <w:szCs w:val="20"/>
          <w:color w:val="auto"/>
        </w:rPr>
      </w:pPr>
    </w:p>
    <w:tbl>
      <w:tblPr>
        <w:tblLayout w:type="fixed"/>
        <w:tblInd w:w="1547" w:type="dxa"/>
        <w:tblCellMar>
          <w:top w:w="0" w:type="dxa"/>
          <w:left w:w="0" w:type="dxa"/>
          <w:bottom w:w="0" w:type="dxa"/>
          <w:right w:w="0" w:type="dxa"/>
        </w:tblCellMar>
      </w:tblP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Property and equipment, including real estate</w:t>
            </w:r>
          </w:p>
        </w:tc>
        <w:tc>
          <w:tcPr>
            <w:tcW w:w="420" w:type="dxa"/>
            <w:vAlign w:val="bottom"/>
            <w:shd w:val="clear" w:color="auto" w:fill="C0FF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29,768</w:t>
            </w: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4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51,501</w:t>
            </w: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0FFFF"/>
          </w:tcPr>
          <w:p>
            <w:pPr>
              <w:spacing w:after="0"/>
              <w:rPr>
                <w:sz w:val="16"/>
                <w:szCs w:val="16"/>
                <w:color w:val="auto"/>
              </w:rPr>
            </w:pPr>
          </w:p>
        </w:tc>
        <w:tc>
          <w:tcPr>
            <w:tcW w:w="84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4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488</w:t>
            </w: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shd w:val="clear" w:color="auto" w:fill="C0FFFF"/>
          </w:tcPr>
          <w:p>
            <w:pPr>
              <w:spacing w:after="0"/>
              <w:rPr>
                <w:sz w:val="16"/>
                <w:szCs w:val="16"/>
                <w:color w:val="auto"/>
              </w:rPr>
            </w:pPr>
          </w:p>
        </w:tc>
        <w:tc>
          <w:tcPr>
            <w:tcW w:w="92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r>
      <w:tr>
        <w:trPr>
          <w:trHeight w:val="190"/>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17,340</w:t>
            </w:r>
          </w:p>
        </w:tc>
      </w:tr>
      <w:tr>
        <w:trPr>
          <w:trHeight w:val="187"/>
        </w:trPr>
        <w:tc>
          <w:tcPr>
            <w:tcW w:w="6580" w:type="dxa"/>
            <w:vAlign w:val="bottom"/>
            <w:shd w:val="clear" w:color="auto" w:fill="C0FFFF"/>
          </w:tcPr>
          <w:p>
            <w:pPr>
              <w:spacing w:after="0"/>
              <w:rPr>
                <w:sz w:val="16"/>
                <w:szCs w:val="16"/>
                <w:color w:val="auto"/>
              </w:rPr>
            </w:pPr>
          </w:p>
        </w:tc>
        <w:tc>
          <w:tcPr>
            <w:tcW w:w="420" w:type="dxa"/>
            <w:vAlign w:val="bottom"/>
            <w:tcBorders>
              <w:top w:val="single" w:sz="8" w:color="auto"/>
            </w:tcBorders>
            <w:shd w:val="clear" w:color="auto" w:fill="C0FFFF"/>
          </w:tcPr>
          <w:p>
            <w:pPr>
              <w:spacing w:after="0"/>
              <w:rPr>
                <w:sz w:val="16"/>
                <w:szCs w:val="16"/>
                <w:color w:val="auto"/>
              </w:rPr>
            </w:pPr>
          </w:p>
        </w:tc>
        <w:tc>
          <w:tcPr>
            <w:tcW w:w="840" w:type="dxa"/>
            <w:vAlign w:val="bottom"/>
            <w:tcBorders>
              <w:top w:val="single" w:sz="8" w:color="auto"/>
            </w:tcBorders>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104,535</w:t>
            </w:r>
          </w:p>
        </w:tc>
        <w:tc>
          <w:tcPr>
            <w:tcW w:w="80" w:type="dxa"/>
            <w:vAlign w:val="bottom"/>
          </w:tcPr>
          <w:p>
            <w:pPr>
              <w:spacing w:after="0"/>
              <w:rPr>
                <w:sz w:val="16"/>
                <w:szCs w:val="16"/>
                <w:color w:val="auto"/>
              </w:rPr>
            </w:pPr>
          </w:p>
        </w:tc>
      </w:tr>
      <w:tr>
        <w:trPr>
          <w:trHeight w:val="20"/>
        </w:trPr>
        <w:tc>
          <w:tcPr>
            <w:tcW w:w="6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As the values of these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All of the goodwill acquired in the MVI Group acquisition will be amortized over 15 years for tax purposes.</w:t>
      </w:r>
    </w:p>
    <w:p>
      <w:pPr>
        <w:spacing w:after="0" w:line="207"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On December 5, 2011, the Company acquired certain assets of West Texas Peterbilt, which consisted of dealerships in Amarillo, Lubbock and Odessa, Texas that offer Peterbilt trucks, parts, service, financing and insurance, a parts and service facility in Dalhart, Texas and a parts facility in Hereford, Texas. These dealerships now operate as Rush Truck Centers. Rush Truck Leasing operates a PacLease truck rental and leasing franchise in Lubbock, Texas. The transaction was valued at approximately $24.6 million, with the purchase price paid in cash. The operations of West Texas Peterbilt are included in the accompanying consolidated financial statements from the date of the acquisition. The purchase price was allocated based on the fair values of the assets at the date of acquisition as follows (in thousands):</w:t>
      </w:r>
    </w:p>
    <w:p>
      <w:pPr>
        <w:spacing w:after="0" w:line="228"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1540" w:type="dxa"/>
            <w:vAlign w:val="bottom"/>
          </w:tcPr>
          <w:p>
            <w:pPr>
              <w:spacing w:after="0"/>
              <w:rPr>
                <w:sz w:val="16"/>
                <w:szCs w:val="16"/>
                <w:color w:val="auto"/>
              </w:rPr>
            </w:pPr>
          </w:p>
        </w:tc>
        <w:tc>
          <w:tcPr>
            <w:tcW w:w="36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Property and equipment, including real estate</w:t>
            </w:r>
          </w:p>
        </w:tc>
        <w:tc>
          <w:tcPr>
            <w:tcW w:w="3380" w:type="dxa"/>
            <w:vAlign w:val="bottom"/>
            <w:gridSpan w:val="2"/>
            <w:shd w:val="clear" w:color="auto" w:fill="C0FF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80" w:type="dxa"/>
            <w:vAlign w:val="bottom"/>
            <w:shd w:val="clear" w:color="auto" w:fill="C0FF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6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9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80" w:type="dxa"/>
            <w:vAlign w:val="bottom"/>
            <w:shd w:val="clear" w:color="auto" w:fill="C0FF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(357)</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66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Franchise rights</w:t>
            </w:r>
          </w:p>
        </w:tc>
        <w:tc>
          <w:tcPr>
            <w:tcW w:w="29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shd w:val="clear" w:color="auto" w:fill="C0FF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9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660" w:type="dxa"/>
            <w:vAlign w:val="bottom"/>
            <w:shd w:val="clear" w:color="auto" w:fill="C0FFFF"/>
          </w:tcPr>
          <w:p>
            <w:pPr>
              <w:spacing w:after="0"/>
              <w:rPr>
                <w:sz w:val="16"/>
                <w:szCs w:val="16"/>
                <w:color w:val="auto"/>
              </w:rPr>
            </w:pPr>
          </w:p>
        </w:tc>
        <w:tc>
          <w:tcPr>
            <w:tcW w:w="292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66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Total</w:t>
            </w:r>
          </w:p>
        </w:tc>
        <w:tc>
          <w:tcPr>
            <w:tcW w:w="3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24,619</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20" w:type="dxa"/>
            <w:vAlign w:val="bottom"/>
            <w:vMerge w:val="restart"/>
          </w:tcPr>
          <w:p>
            <w:pPr>
              <w:jc w:val="right"/>
              <w:ind w:right="2242"/>
              <w:spacing w:after="0"/>
              <w:rPr>
                <w:sz w:val="20"/>
                <w:szCs w:val="20"/>
                <w:color w:val="auto"/>
              </w:rPr>
            </w:pPr>
            <w:r>
              <w:rPr>
                <w:rFonts w:ascii="Times New Roman" w:cs="Times New Roman" w:eastAsia="Times New Roman" w:hAnsi="Times New Roman"/>
                <w:sz w:val="16"/>
                <w:szCs w:val="16"/>
                <w:color w:val="auto"/>
              </w:rPr>
              <w:t>67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54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-13335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485" w:right="219" w:bottom="1440" w:gutter="0" w:footer="0" w:header="0"/>
        </w:sectPr>
      </w:pPr>
    </w:p>
    <w:bookmarkStart w:id="70" w:name="page71"/>
    <w:bookmarkEnd w:id="70"/>
    <w:p>
      <w:pPr>
        <w:jc w:val="both"/>
        <w:spacing w:after="0" w:line="267" w:lineRule="auto"/>
        <w:rPr>
          <w:sz w:val="20"/>
          <w:szCs w:val="20"/>
          <w:color w:val="auto"/>
        </w:rPr>
      </w:pPr>
      <w:r>
        <w:rPr>
          <w:rFonts w:ascii="Times New Roman" w:cs="Times New Roman" w:eastAsia="Times New Roman" w:hAnsi="Times New Roman"/>
          <w:sz w:val="16"/>
          <w:szCs w:val="16"/>
          <w:color w:val="auto"/>
        </w:rPr>
        <w:t>The final purchase price allocation reflects an adjustment of $1.7 million from the purchase allocation due to the finalization of the franchise rights valuation. All of the goodwill acquired in the West Texas Peterbilt acquisition will be amortized over 15 years for tax purposes.</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November 5, 2011, the Company acquired certain assets of Peck Road Ford, which consisted of a Ford and Isuzu commercial vehicle dealership in Whittier, California. The Company is operating the facility as a full-service Rush Truck Center offering Ford and Isuzu trucks, parts, service, financing and insurance. The transaction was valued at approximately $10.0 million, with the purchase price paid in cash. The operations of Peck Road Ford are included in the accompanying consolidated financial statements from the date of the acquisition. The purchase price was allocated based on the fair values of the assets at the date of acquisition as follows (in thousands):</w:t>
      </w:r>
    </w:p>
    <w:p>
      <w:pPr>
        <w:spacing w:after="0" w:line="227"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Property and equipment, including real estate</w:t>
            </w:r>
          </w:p>
        </w:tc>
        <w:tc>
          <w:tcPr>
            <w:tcW w:w="500" w:type="dxa"/>
            <w:vAlign w:val="bottom"/>
            <w:shd w:val="clear" w:color="auto" w:fill="C0FF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80" w:type="dxa"/>
            <w:vAlign w:val="bottom"/>
          </w:tcPr>
          <w:p>
            <w:pPr>
              <w:spacing w:after="0"/>
              <w:rPr>
                <w:sz w:val="16"/>
                <w:szCs w:val="16"/>
                <w:color w:val="auto"/>
              </w:rPr>
            </w:pP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500" w:type="dxa"/>
            <w:vAlign w:val="bottom"/>
            <w:shd w:val="clear" w:color="auto" w:fill="C0FFFF"/>
          </w:tcPr>
          <w:p>
            <w:pPr>
              <w:spacing w:after="0"/>
              <w:rPr>
                <w:sz w:val="16"/>
                <w:szCs w:val="16"/>
                <w:color w:val="auto"/>
              </w:rPr>
            </w:pPr>
          </w:p>
        </w:tc>
        <w:tc>
          <w:tcPr>
            <w:tcW w:w="8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771</w:t>
            </w: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00" w:type="dxa"/>
            <w:vAlign w:val="bottom"/>
            <w:shd w:val="clear" w:color="auto" w:fill="C0FFFF"/>
          </w:tcPr>
          <w:p>
            <w:pPr>
              <w:spacing w:after="0"/>
              <w:rPr>
                <w:sz w:val="16"/>
                <w:szCs w:val="16"/>
                <w:color w:val="auto"/>
              </w:rPr>
            </w:pPr>
          </w:p>
        </w:tc>
        <w:tc>
          <w:tcPr>
            <w:tcW w:w="84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r>
      <w:tr>
        <w:trPr>
          <w:trHeight w:val="190"/>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6"/>
                <w:szCs w:val="16"/>
                <w:color w:val="auto"/>
              </w:rPr>
            </w:pPr>
          </w:p>
        </w:tc>
      </w:tr>
      <w:tr>
        <w:trPr>
          <w:trHeight w:val="187"/>
        </w:trPr>
        <w:tc>
          <w:tcPr>
            <w:tcW w:w="6580" w:type="dxa"/>
            <w:vAlign w:val="bottom"/>
            <w:shd w:val="clear" w:color="auto" w:fill="C0FFFF"/>
          </w:tcPr>
          <w:p>
            <w:pPr>
              <w:spacing w:after="0"/>
              <w:rPr>
                <w:sz w:val="16"/>
                <w:szCs w:val="16"/>
                <w:color w:val="auto"/>
              </w:rPr>
            </w:pPr>
          </w:p>
        </w:tc>
        <w:tc>
          <w:tcPr>
            <w:tcW w:w="50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80" w:type="dxa"/>
            <w:vAlign w:val="bottom"/>
          </w:tcPr>
          <w:p>
            <w:pPr>
              <w:spacing w:after="0"/>
              <w:rPr>
                <w:sz w:val="16"/>
                <w:szCs w:val="16"/>
                <w:color w:val="auto"/>
              </w:rPr>
            </w:pPr>
          </w:p>
        </w:tc>
      </w:tr>
      <w:tr>
        <w:trPr>
          <w:trHeight w:val="20"/>
        </w:trPr>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of the goodwill acquired in the Peck Road Ford acquisition will be amortized over 15 years for tax purposes.</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March 14, 2011, the Company acquired certain assets of Asbury Automotive Atlanta L.L.C., a subsidiary of Asbury Automotive Group, Inc., which operated commercial truck and bus dealerships in the metro Atlanta area under the "Nalley Motor Trucks" name. The acquisition included dealership locations in Atlanta and Doraville and a collision center in Atlanta. These locations are now operating as Rush Truck Centers. The transaction was valued at approximately $55.3 million, with the purchase price paid in cash. The operations of Nalley Motor Trucks are included in the accompanying consolidated financial statements from the date of the acquisition. The purchase price was allocated based on the fair values of the assets at the date of acquisition as follows (in thousands):</w:t>
      </w:r>
    </w:p>
    <w:p>
      <w:pPr>
        <w:spacing w:after="0" w:line="228"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Inventory</w:t>
            </w:r>
          </w:p>
        </w:tc>
        <w:tc>
          <w:tcPr>
            <w:tcW w:w="460" w:type="dxa"/>
            <w:vAlign w:val="bottom"/>
            <w:shd w:val="clear" w:color="auto" w:fill="C0FF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21,004</w:t>
            </w: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80" w:type="dxa"/>
            <w:vAlign w:val="bottom"/>
          </w:tcPr>
          <w:p>
            <w:pPr>
              <w:spacing w:after="0"/>
              <w:rPr>
                <w:sz w:val="16"/>
                <w:szCs w:val="16"/>
                <w:color w:val="auto"/>
              </w:rPr>
            </w:pP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(453)</w:t>
            </w: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Franchise rights</w:t>
            </w: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80" w:type="dxa"/>
            <w:vAlign w:val="bottom"/>
            <w:shd w:val="clear" w:color="auto" w:fill="C0FFFF"/>
          </w:tcPr>
          <w:p>
            <w:pPr>
              <w:spacing w:after="0"/>
              <w:rPr>
                <w:sz w:val="16"/>
                <w:szCs w:val="16"/>
                <w:color w:val="auto"/>
              </w:rPr>
            </w:pPr>
          </w:p>
        </w:tc>
      </w:tr>
      <w:tr>
        <w:trPr>
          <w:trHeight w:val="190"/>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22,022</w:t>
            </w:r>
          </w:p>
        </w:tc>
        <w:tc>
          <w:tcPr>
            <w:tcW w:w="80" w:type="dxa"/>
            <w:vAlign w:val="bottom"/>
          </w:tcPr>
          <w:p>
            <w:pPr>
              <w:spacing w:after="0"/>
              <w:rPr>
                <w:sz w:val="16"/>
                <w:szCs w:val="16"/>
                <w:color w:val="auto"/>
              </w:rPr>
            </w:pPr>
          </w:p>
        </w:tc>
      </w:tr>
      <w:tr>
        <w:trPr>
          <w:trHeight w:val="187"/>
        </w:trPr>
        <w:tc>
          <w:tcPr>
            <w:tcW w:w="6580" w:type="dxa"/>
            <w:vAlign w:val="bottom"/>
            <w:shd w:val="clear" w:color="auto" w:fill="C0FFFF"/>
          </w:tcPr>
          <w:p>
            <w:pPr>
              <w:spacing w:after="0"/>
              <w:rPr>
                <w:sz w:val="16"/>
                <w:szCs w:val="16"/>
                <w:color w:val="auto"/>
              </w:rPr>
            </w:pPr>
          </w:p>
        </w:tc>
        <w:tc>
          <w:tcPr>
            <w:tcW w:w="46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55,287</w:t>
            </w:r>
          </w:p>
        </w:tc>
        <w:tc>
          <w:tcPr>
            <w:tcW w:w="80" w:type="dxa"/>
            <w:vAlign w:val="bottom"/>
          </w:tcPr>
          <w:p>
            <w:pPr>
              <w:spacing w:after="0"/>
              <w:rPr>
                <w:sz w:val="16"/>
                <w:szCs w:val="16"/>
                <w:color w:val="auto"/>
              </w:rPr>
            </w:pPr>
          </w:p>
        </w:tc>
      </w:tr>
      <w:tr>
        <w:trPr>
          <w:trHeight w:val="20"/>
        </w:trPr>
        <w:tc>
          <w:tcPr>
            <w:tcW w:w="6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final purchase price allocation reflects an adjustment of $2.8 million from the preliminary purchase allocation due to the finalization of the franchise rights valuation and $1.97 million due to the completion of real estate appraisals for property acquired. All of the goodwill acquired in the Nalley Motor Trucks acquisition will be amortized over 15 years for tax purposes.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718" w:right="219" w:bottom="1440" w:gutter="0" w:footer="0" w:header="0"/>
        </w:sectPr>
      </w:pPr>
    </w:p>
    <w:bookmarkStart w:id="71" w:name="page72"/>
    <w:bookmarkEnd w:id="71"/>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On February 21, 2011, the Company acquired certain assets of Heintzelman’s Truck Center, which consisted of a Ford commercial vehicle dealership in Orlando, Florida. The Company now operates the facility as a full-service Rush Truck Center offering Ford trucks, parts, service, leasing, financing and insurance. The transaction was valued at approximately $4.7 million, with the purchase price paid in cash. The operations of Heintzelman’s Truck Center are included in the accompanying consolidated financial statements from the date of the acquisition. The purchase price was allocated based on the fair values of the assets at the date of acquisition as follows (in thousands):</w:t>
      </w:r>
    </w:p>
    <w:p>
      <w:pPr>
        <w:spacing w:after="0" w:line="227"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Inventory</w:t>
            </w:r>
          </w:p>
        </w:tc>
        <w:tc>
          <w:tcPr>
            <w:tcW w:w="500" w:type="dxa"/>
            <w:vAlign w:val="bottom"/>
            <w:shd w:val="clear" w:color="auto" w:fill="C0FF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5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264</w:t>
            </w: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500" w:type="dxa"/>
            <w:vAlign w:val="bottom"/>
            <w:shd w:val="clear" w:color="auto" w:fill="C0FFFF"/>
          </w:tcPr>
          <w:p>
            <w:pPr>
              <w:spacing w:after="0"/>
              <w:rPr>
                <w:sz w:val="16"/>
                <w:szCs w:val="16"/>
                <w:color w:val="auto"/>
              </w:rPr>
            </w:pPr>
          </w:p>
        </w:tc>
        <w:tc>
          <w:tcPr>
            <w:tcW w:w="84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221</w:t>
            </w: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5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00" w:type="dxa"/>
            <w:vAlign w:val="bottom"/>
            <w:shd w:val="clear" w:color="auto" w:fill="C0FFFF"/>
          </w:tcPr>
          <w:p>
            <w:pPr>
              <w:spacing w:after="0"/>
              <w:rPr>
                <w:sz w:val="16"/>
                <w:szCs w:val="16"/>
                <w:color w:val="auto"/>
              </w:rPr>
            </w:pPr>
          </w:p>
        </w:tc>
        <w:tc>
          <w:tcPr>
            <w:tcW w:w="84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190"/>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Pr>
          <w:p>
            <w:pPr>
              <w:spacing w:after="0"/>
              <w:rPr>
                <w:sz w:val="16"/>
                <w:szCs w:val="16"/>
                <w:color w:val="auto"/>
              </w:rPr>
            </w:pPr>
          </w:p>
        </w:tc>
      </w:tr>
      <w:tr>
        <w:trPr>
          <w:trHeight w:val="187"/>
        </w:trPr>
        <w:tc>
          <w:tcPr>
            <w:tcW w:w="6580" w:type="dxa"/>
            <w:vAlign w:val="bottom"/>
            <w:shd w:val="clear" w:color="auto" w:fill="C0FFFF"/>
          </w:tcPr>
          <w:p>
            <w:pPr>
              <w:spacing w:after="0"/>
              <w:rPr>
                <w:sz w:val="16"/>
                <w:szCs w:val="16"/>
                <w:color w:val="auto"/>
              </w:rPr>
            </w:pPr>
          </w:p>
        </w:tc>
        <w:tc>
          <w:tcPr>
            <w:tcW w:w="500" w:type="dxa"/>
            <w:vAlign w:val="bottom"/>
            <w:shd w:val="clear" w:color="auto" w:fill="C0FFFF"/>
          </w:tcPr>
          <w:p>
            <w:pPr>
              <w:spacing w:after="0"/>
              <w:rPr>
                <w:sz w:val="16"/>
                <w:szCs w:val="16"/>
                <w:color w:val="auto"/>
              </w:rPr>
            </w:pPr>
          </w:p>
        </w:tc>
        <w:tc>
          <w:tcPr>
            <w:tcW w:w="76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ind w:left="292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80" w:type="dxa"/>
            <w:vAlign w:val="bottom"/>
          </w:tcPr>
          <w:p>
            <w:pPr>
              <w:spacing w:after="0"/>
              <w:rPr>
                <w:sz w:val="16"/>
                <w:szCs w:val="16"/>
                <w:color w:val="auto"/>
              </w:rPr>
            </w:pPr>
          </w:p>
        </w:tc>
      </w:tr>
      <w:tr>
        <w:trPr>
          <w:trHeight w:val="20"/>
        </w:trPr>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of the goodwill acquired in the Heintzelman’s Truck Center acquisition will be amortized over 15 years for tax purposes.</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October 12, 2010, the Company acquired certain assets of Metro Ford Truck Sales, Inc., which consisted of a Ford and Isuzu commercial vehicle dealership in Dallas, Texas. The Company now operates the facility as a full-service Rush Medium-Duty Truck Center offering Ford and Isuzu medium-duty trucks, parts, service, financing and insurance. The transaction was valued at approximately $5.6 million, with the purchase price paid in cash. The operations of Metro Ford Truck Sales, Inc. are included in the accompanying consolidated financial statements from the date of the acquisition. The purchase price was allocated based on the fair values of the assets at the date of acquisition as follows (in thousands):</w:t>
      </w:r>
    </w:p>
    <w:p>
      <w:pPr>
        <w:spacing w:after="0" w:line="228"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Property and equipment, including real estate</w:t>
            </w:r>
          </w:p>
        </w:tc>
        <w:tc>
          <w:tcPr>
            <w:tcW w:w="500" w:type="dxa"/>
            <w:vAlign w:val="bottom"/>
            <w:shd w:val="clear" w:color="auto" w:fill="C0FF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5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974</w:t>
            </w:r>
          </w:p>
        </w:tc>
      </w:tr>
      <w:tr>
        <w:trPr>
          <w:trHeight w:val="187"/>
        </w:trPr>
        <w:tc>
          <w:tcPr>
            <w:tcW w:w="65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500" w:type="dxa"/>
            <w:vAlign w:val="bottom"/>
            <w:shd w:val="clear" w:color="auto" w:fill="C0FFFF"/>
          </w:tcPr>
          <w:p>
            <w:pPr>
              <w:spacing w:after="0"/>
              <w:rPr>
                <w:sz w:val="16"/>
                <w:szCs w:val="16"/>
                <w:color w:val="auto"/>
              </w:rPr>
            </w:pPr>
          </w:p>
        </w:tc>
        <w:tc>
          <w:tcPr>
            <w:tcW w:w="7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0FFFF"/>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190"/>
        </w:trPr>
        <w:tc>
          <w:tcPr>
            <w:tcW w:w="658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Borders>
              <w:bottom w:val="single" w:sz="8" w:color="auto"/>
            </w:tcBorders>
            <w:shd w:val="clear" w:color="auto" w:fill="C0FFFF"/>
          </w:tcPr>
          <w:p>
            <w:pPr>
              <w:spacing w:after="0"/>
              <w:rPr>
                <w:sz w:val="16"/>
                <w:szCs w:val="16"/>
                <w:color w:val="auto"/>
              </w:rPr>
            </w:pPr>
          </w:p>
        </w:tc>
        <w:tc>
          <w:tcPr>
            <w:tcW w:w="76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80" w:type="dxa"/>
            <w:vAlign w:val="bottom"/>
            <w:tcBorders>
              <w:bottom w:val="single" w:sz="8" w:color="C0FFFF"/>
            </w:tcBorders>
            <w:shd w:val="clear" w:color="auto" w:fill="C0FFFF"/>
          </w:tcPr>
          <w:p>
            <w:pPr>
              <w:spacing w:after="0"/>
              <w:rPr>
                <w:sz w:val="16"/>
                <w:szCs w:val="16"/>
                <w:color w:val="auto"/>
              </w:rPr>
            </w:pPr>
          </w:p>
        </w:tc>
      </w:tr>
      <w:tr>
        <w:trPr>
          <w:trHeight w:val="187"/>
        </w:trPr>
        <w:tc>
          <w:tcPr>
            <w:tcW w:w="6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6580" w:type="dxa"/>
            <w:vAlign w:val="bottom"/>
            <w:tcBorders>
              <w:bottom w:val="single" w:sz="8" w:color="C0FFFF"/>
            </w:tcBorders>
            <w:shd w:val="clear" w:color="auto" w:fill="C0FFFF"/>
          </w:tcPr>
          <w:p>
            <w:pPr>
              <w:ind w:left="292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tcBorders>
              <w:bottom w:val="single" w:sz="8" w:color="auto"/>
            </w:tcBorders>
            <w:shd w:val="clear" w:color="auto" w:fill="C0FF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80" w:type="dxa"/>
            <w:vAlign w:val="bottom"/>
            <w:tcBorders>
              <w:bottom w:val="single" w:sz="8" w:color="C0FFFF"/>
            </w:tcBorders>
            <w:shd w:val="clear" w:color="auto" w:fill="C0FFFF"/>
          </w:tcPr>
          <w:p>
            <w:pPr>
              <w:spacing w:after="0"/>
              <w:rPr>
                <w:sz w:val="19"/>
                <w:szCs w:val="19"/>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of the goodwill acquired in the Metro Ford Truck Sales, Inc. acquisition will be amortized over 15 years for tax purposes.</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July 12, 2010, the Company acquired certain assets of Joe Cooper Truck Center, LLC, which consisted of a Ford franchise in Oklahoma City, Oklahoma. The newly acquired Ford franchise was added to the Company’s existing dealership in Oklahoma City, Oklahoma. The transaction was valued at approximately $1.2 million, with the purchase price paid in cash, and $1.1 million of the purchase price was allocated to goodwill based on the fair value of the assets at the date of acquisition. The operations of Joe Cooper Truck Center, LLC are included in the accompanying consolidated financial statements from the date of the acquisition. All of the goodwill acquired in the Joe Cooper Truck Center, LLC acquisition will be amortized over 15 years for tax purposes.</w:t>
      </w: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The newly acquired dealerships include five locations in Utah, five locations in Idaho and one location in Oregon. These locations are now operating as Rush Truck Centers. Rush Truck Leasing operates Idealease truck rental and leasing franchises at existing locations in Salt Lake City, Utah, and Boise, Idaho. The transaction, including the real estate, was valued at approximately $71.0 million. The purchase price for the assets of the business was paid in cash and the purchase price for the real estate was partially paid in cash with the remainder financed with long-term debt.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5" w:right="219" w:bottom="1440" w:gutter="0" w:footer="0" w:header="0"/>
        </w:sectPr>
      </w:pPr>
    </w:p>
    <w:bookmarkStart w:id="72" w:name="page73"/>
    <w:bookmarkEnd w:id="72"/>
    <w:p>
      <w:pPr>
        <w:jc w:val="both"/>
        <w:ind w:left="7" w:right="20"/>
        <w:spacing w:after="0" w:line="267" w:lineRule="auto"/>
        <w:rPr>
          <w:sz w:val="20"/>
          <w:szCs w:val="20"/>
          <w:color w:val="auto"/>
        </w:rPr>
      </w:pPr>
      <w:r>
        <w:rPr>
          <w:rFonts w:ascii="Times New Roman" w:cs="Times New Roman" w:eastAsia="Times New Roman" w:hAnsi="Times New Roman"/>
          <w:sz w:val="16"/>
          <w:szCs w:val="16"/>
          <w:color w:val="auto"/>
        </w:rPr>
        <w:t>The operations of Lake City International are included in the accompanying consolidated financial statements from the date of the acquisition. The purchase price has been allocated based on the fair values of the assets at the date of acquisition as follows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1407"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6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480" w:type="dxa"/>
            <w:vAlign w:val="bottom"/>
            <w:shd w:val="clear" w:color="auto" w:fill="C0FFFF"/>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Accounts and notes receivable</w:t>
            </w:r>
          </w:p>
        </w:tc>
        <w:tc>
          <w:tcPr>
            <w:tcW w:w="4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10,722</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including real estate</w:t>
            </w:r>
          </w:p>
        </w:tc>
        <w:tc>
          <w:tcPr>
            <w:tcW w:w="4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80" w:type="dxa"/>
            <w:vAlign w:val="bottom"/>
            <w:shd w:val="clear" w:color="auto" w:fill="C0FFFF"/>
          </w:tcPr>
          <w:p>
            <w:pPr>
              <w:spacing w:after="0"/>
              <w:rPr>
                <w:sz w:val="16"/>
                <w:szCs w:val="16"/>
                <w:color w:val="auto"/>
              </w:rPr>
            </w:pPr>
          </w:p>
        </w:tc>
        <w:tc>
          <w:tcPr>
            <w:tcW w:w="8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480" w:type="dxa"/>
            <w:vAlign w:val="bottom"/>
            <w:shd w:val="clear" w:color="auto" w:fill="C0FFFF"/>
          </w:tcPr>
          <w:p>
            <w:pPr>
              <w:spacing w:after="0"/>
              <w:rPr>
                <w:sz w:val="16"/>
                <w:szCs w:val="16"/>
                <w:color w:val="auto"/>
              </w:rPr>
            </w:pPr>
          </w:p>
        </w:tc>
        <w:tc>
          <w:tcPr>
            <w:tcW w:w="88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Floor plan notes payable</w:t>
            </w:r>
          </w:p>
        </w:tc>
        <w:tc>
          <w:tcPr>
            <w:tcW w:w="4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480" w:type="dxa"/>
            <w:vAlign w:val="bottom"/>
            <w:shd w:val="clear" w:color="auto" w:fill="C0FFFF"/>
          </w:tcPr>
          <w:p>
            <w:pPr>
              <w:spacing w:after="0"/>
              <w:rPr>
                <w:sz w:val="16"/>
                <w:szCs w:val="16"/>
                <w:color w:val="auto"/>
              </w:rPr>
            </w:pPr>
          </w:p>
        </w:tc>
        <w:tc>
          <w:tcPr>
            <w:tcW w:w="880" w:type="dxa"/>
            <w:vAlign w:val="bottom"/>
            <w:gridSpan w:val="2"/>
            <w:shd w:val="clear" w:color="auto" w:fill="C0FFFF"/>
          </w:tcPr>
          <w:p>
            <w:pPr>
              <w:jc w:val="right"/>
              <w:ind w:right="2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640" w:type="dxa"/>
            <w:vAlign w:val="bottom"/>
            <w:shd w:val="clear" w:color="auto" w:fill="C0FFFF"/>
          </w:tcPr>
          <w:p>
            <w:pPr>
              <w:spacing w:after="0"/>
              <w:rPr>
                <w:sz w:val="16"/>
                <w:szCs w:val="16"/>
                <w:color w:val="auto"/>
              </w:rPr>
            </w:pPr>
          </w:p>
        </w:tc>
        <w:tc>
          <w:tcPr>
            <w:tcW w:w="48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The Company financed approximately $37.5 million of the purchase price under its floor plan, accounts receivable, lease and rental truck financing arrangements and a real estate loan. As part of the Lake City International acquisition, the Company assumed certain contingent liabilities for notes initiated on behalf of Lake City International related to the sale of commercial vehicles. The contingent liability had an estimated fair value of $2.0 million and was recorded as an accrued liability. For federal tax purposes the goodwill will be amortized over 15 years.</w:t>
      </w:r>
    </w:p>
    <w:p>
      <w:pPr>
        <w:spacing w:after="0" w:line="210" w:lineRule="exact"/>
        <w:rPr>
          <w:sz w:val="20"/>
          <w:szCs w:val="20"/>
          <w:color w:val="auto"/>
        </w:rPr>
      </w:pPr>
    </w:p>
    <w:p>
      <w:pPr>
        <w:ind w:left="787" w:hanging="787"/>
        <w:spacing w:after="0"/>
        <w:tabs>
          <w:tab w:leader="none" w:pos="7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DISCONTINUED OPERATIONS</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On September 9, 2010, the Company sold the assets of its John Deere construction equipment business, including its Rush Equipment Centers in Houston and Beaumont, Texas, to Doggett Heavy Machinery Services, LLC. The total purchase price for the Rush Equipment Centers was $31.0 million. The Company received cash of $26.2 million at closing and a $4.8 million note receivable to be paid over four years. Before closing, the Company paid liabilities, related to the assets sold, of approximately $14.6 million. The Company recorded a gain on the transaction of $10.1 million. The Construction Equipment segment will no longer be reported as a separate business segment.</w:t>
      </w:r>
    </w:p>
    <w:p>
      <w:pPr>
        <w:spacing w:after="0" w:line="210"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6"/>
          <w:szCs w:val="16"/>
          <w:color w:val="auto"/>
        </w:rPr>
        <w:t>At closing, Doggett Heavy Machinery Services, LLC entered into a lease agreement to lease the facility where Rush Equipment Center, Houston was located from an affiliate of the Company. The lease provides for an initial three year term with the option for the lessee to terminate the lease with 30 days notice. The Company’s continuing involvement in the operations of the construction equipment business is not significant and will be limited to the facility lease agreement.</w:t>
      </w:r>
    </w:p>
    <w:p>
      <w:pPr>
        <w:spacing w:after="0" w:line="207"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The results of operations of the construction equipment business have been classified as discontinued operations in the Company’s consolidated statements of operations for all periods presented, and excluded from business segment information.</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Net sales and earnings before income taxes related to the discontinued business were as follows (in thousands):</w:t>
      </w:r>
    </w:p>
    <w:p>
      <w:pPr>
        <w:spacing w:after="0" w:line="236" w:lineRule="exact"/>
        <w:rPr>
          <w:sz w:val="20"/>
          <w:szCs w:val="20"/>
          <w:color w:val="auto"/>
        </w:rPr>
      </w:pPr>
    </w:p>
    <w:tbl>
      <w:tblPr>
        <w:tblLayout w:type="fixed"/>
        <w:tblInd w:w="7" w:type="dxa"/>
        <w:tblCellMar>
          <w:top w:w="0" w:type="dxa"/>
          <w:left w:w="0" w:type="dxa"/>
          <w:bottom w:w="0" w:type="dxa"/>
          <w:right w:w="0" w:type="dxa"/>
        </w:tblCellMar>
      </w:tblPr>
      <w:tr>
        <w:trPr>
          <w:trHeight w:val="206"/>
        </w:trPr>
        <w:tc>
          <w:tcPr>
            <w:tcW w:w="7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2012</w:t>
            </w:r>
          </w:p>
        </w:tc>
        <w:tc>
          <w:tcPr>
            <w:tcW w:w="3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2011</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vMerge w:val="continue"/>
          </w:tcPr>
          <w:p>
            <w:pPr>
              <w:spacing w:after="0"/>
              <w:rPr>
                <w:sz w:val="16"/>
                <w:szCs w:val="16"/>
                <w:color w:val="auto"/>
              </w:rPr>
            </w:pPr>
          </w:p>
        </w:tc>
        <w:tc>
          <w:tcPr>
            <w:tcW w:w="47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40" w:type="dxa"/>
            <w:vAlign w:val="bottom"/>
            <w:gridSpan w:val="2"/>
            <w:shd w:val="clear" w:color="auto" w:fill="C0FFFF"/>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0FF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25,819</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16"/>
                <w:szCs w:val="16"/>
                <w:color w:val="auto"/>
              </w:rPr>
            </w:pPr>
          </w:p>
        </w:tc>
        <w:tc>
          <w:tcPr>
            <w:tcW w:w="4720" w:type="dxa"/>
            <w:vAlign w:val="bottom"/>
            <w:tcBorders>
              <w:top w:val="single" w:sz="8" w:color="C0FFFF"/>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vMerge w:val="continue"/>
          </w:tcPr>
          <w:p>
            <w:pPr>
              <w:spacing w:after="0"/>
              <w:rPr>
                <w:sz w:val="16"/>
                <w:szCs w:val="16"/>
                <w:color w:val="auto"/>
              </w:rPr>
            </w:pPr>
          </w:p>
        </w:tc>
        <w:tc>
          <w:tcPr>
            <w:tcW w:w="47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4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Results of operations from discontinued operations before income taxes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917</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7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Gain on disposition</w:t>
            </w:r>
          </w:p>
        </w:tc>
        <w:tc>
          <w:tcPr>
            <w:tcW w:w="1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4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12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10,091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(4,293)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00" w:type="dxa"/>
            <w:vAlign w:val="bottom"/>
            <w:vMerge w:val="continue"/>
          </w:tcPr>
          <w:p>
            <w:pPr>
              <w:spacing w:after="0"/>
              <w:rPr>
                <w:sz w:val="19"/>
                <w:szCs w:val="19"/>
                <w:color w:val="auto"/>
              </w:rPr>
            </w:pPr>
          </w:p>
        </w:tc>
        <w:tc>
          <w:tcPr>
            <w:tcW w:w="47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income from discontinued operations</w:t>
            </w:r>
          </w:p>
        </w:tc>
        <w:tc>
          <w:tcPr>
            <w:tcW w:w="1240" w:type="dxa"/>
            <w:vAlign w:val="bottom"/>
            <w:gridSpan w:val="2"/>
            <w:shd w:val="clear" w:color="auto" w:fill="C0FFFF"/>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0FF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6,715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15"/>
                <w:szCs w:val="15"/>
                <w:color w:val="auto"/>
              </w:rPr>
            </w:pPr>
          </w:p>
        </w:tc>
        <w:tc>
          <w:tcPr>
            <w:tcW w:w="4720" w:type="dxa"/>
            <w:vAlign w:val="bottom"/>
            <w:tcBorders>
              <w:top w:val="single" w:sz="8" w:color="C0FFFF"/>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 w:type="dxa"/>
            <w:vAlign w:val="bottom"/>
            <w:tcBorders>
              <w:top w:val="single" w:sz="8" w:color="C0FFFF"/>
            </w:tcBorders>
          </w:tcPr>
          <w:p>
            <w:pPr>
              <w:spacing w:after="0"/>
              <w:rPr>
                <w:sz w:val="15"/>
                <w:szCs w:val="15"/>
                <w:color w:val="auto"/>
              </w:rPr>
            </w:pPr>
          </w:p>
        </w:tc>
        <w:tc>
          <w:tcPr>
            <w:tcW w:w="16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00" w:type="dxa"/>
            <w:vAlign w:val="bottom"/>
            <w:vMerge w:val="continue"/>
          </w:tcPr>
          <w:p>
            <w:pPr>
              <w:spacing w:after="0"/>
              <w:rPr>
                <w:sz w:val="16"/>
                <w:szCs w:val="16"/>
                <w:color w:val="auto"/>
              </w:rPr>
            </w:pPr>
          </w:p>
        </w:tc>
        <w:tc>
          <w:tcPr>
            <w:tcW w:w="472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w w:val="98"/>
              </w:rPr>
              <w:t>Basic earnings per common share from discontinued operations, net of tax</w:t>
            </w:r>
          </w:p>
        </w:tc>
        <w:tc>
          <w:tcPr>
            <w:tcW w:w="1240" w:type="dxa"/>
            <w:vAlign w:val="bottom"/>
            <w:gridSpan w:val="2"/>
            <w:shd w:val="clear" w:color="auto" w:fill="C0FFFF"/>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0FF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0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0.18</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Diluted earnings per common share and common share equivalents from</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discontinued operations, net of tax</w:t>
            </w:r>
          </w:p>
        </w:tc>
        <w:tc>
          <w:tcPr>
            <w:tcW w:w="1240" w:type="dxa"/>
            <w:vAlign w:val="bottom"/>
            <w:gridSpan w:val="2"/>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40" w:type="dxa"/>
            <w:vAlign w:val="bottom"/>
            <w:gridSpan w:val="2"/>
          </w:tcPr>
          <w:p>
            <w:pPr>
              <w:jc w:val="right"/>
              <w:ind w:right="782"/>
              <w:spacing w:after="0"/>
              <w:rPr>
                <w:sz w:val="20"/>
                <w:szCs w:val="20"/>
                <w:color w:val="auto"/>
              </w:rPr>
            </w:pPr>
            <w:r>
              <w:rPr>
                <w:rFonts w:ascii="Times New Roman" w:cs="Times New Roman" w:eastAsia="Times New Roman" w:hAnsi="Times New Roman"/>
                <w:sz w:val="16"/>
                <w:szCs w:val="16"/>
                <w:color w:val="auto"/>
              </w:rPr>
              <w:t>70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00" w:type="dxa"/>
            <w:vAlign w:val="bottom"/>
            <w:tcBorders>
              <w:bottom w:val="single" w:sz="8" w:color="808080"/>
            </w:tcBorders>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485" w:right="219" w:bottom="1440" w:gutter="0" w:footer="0" w:header="0"/>
        </w:sectPr>
      </w:pPr>
    </w:p>
    <w:bookmarkStart w:id="73" w:name="page74"/>
    <w:bookmarkEnd w:id="73"/>
    <w:p>
      <w:pPr>
        <w:ind w:left="787" w:hanging="787"/>
        <w:spacing w:after="0"/>
        <w:tabs>
          <w:tab w:leader="none" w:pos="7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ACCUMULATED OTHER COMPREHENSIVE (LOSS)</w:t>
      </w: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following table shows the components of accumulated other comprehensive (loss) (in thousands):</w:t>
      </w:r>
    </w:p>
    <w:p>
      <w:pPr>
        <w:spacing w:after="0" w:line="236" w:lineRule="exact"/>
        <w:rPr>
          <w:sz w:val="20"/>
          <w:szCs w:val="20"/>
          <w:color w:val="auto"/>
        </w:rPr>
      </w:pPr>
    </w:p>
    <w:tbl>
      <w:tblPr>
        <w:tblLayout w:type="fixed"/>
        <w:tblInd w:w="707"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97"/>
              </w:rPr>
              <w:t>Available for Sale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Cash Flow Swaps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Balance at January 1, 2011</w:t>
            </w:r>
          </w:p>
        </w:tc>
        <w:tc>
          <w:tcPr>
            <w:tcW w:w="16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c>
          <w:tcPr>
            <w:tcW w:w="2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value</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(947)</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tcBorders>
              <w:bottom w:val="single" w:sz="8" w:color="C0FFFF"/>
            </w:tcBorders>
            <w:shd w:val="clear" w:color="auto" w:fill="C0FFFF"/>
          </w:tcPr>
          <w:p>
            <w:pPr>
              <w:spacing w:after="0"/>
              <w:rPr>
                <w:sz w:val="20"/>
                <w:szCs w:val="20"/>
                <w:color w:val="auto"/>
              </w:rPr>
            </w:pPr>
            <w:r>
              <w:rPr>
                <w:rFonts w:ascii="Times New Roman" w:cs="Times New Roman" w:eastAsia="Times New Roman" w:hAnsi="Times New Roman"/>
                <w:sz w:val="16"/>
                <w:szCs w:val="16"/>
                <w:color w:val="auto"/>
              </w:rPr>
              <w:t>Tax effect</w:t>
            </w:r>
          </w:p>
        </w:tc>
        <w:tc>
          <w:tcPr>
            <w:tcW w:w="1480" w:type="dxa"/>
            <w:vAlign w:val="bottom"/>
            <w:tcBorders>
              <w:bottom w:val="single" w:sz="8" w:color="C0FFFF"/>
            </w:tcBorders>
            <w:shd w:val="clear" w:color="auto" w:fill="C0FFFF"/>
          </w:tcPr>
          <w:p>
            <w:pPr>
              <w:spacing w:after="0"/>
              <w:rPr>
                <w:sz w:val="16"/>
                <w:szCs w:val="16"/>
                <w:color w:val="auto"/>
              </w:rPr>
            </w:pPr>
          </w:p>
        </w:tc>
        <w:tc>
          <w:tcPr>
            <w:tcW w:w="120" w:type="dxa"/>
            <w:vAlign w:val="bottom"/>
            <w:tcBorders>
              <w:bottom w:val="single" w:sz="8" w:color="auto"/>
            </w:tcBorders>
            <w:shd w:val="clear" w:color="auto" w:fill="C0FFFF"/>
          </w:tcPr>
          <w:p>
            <w:pPr>
              <w:spacing w:after="0"/>
              <w:rPr>
                <w:sz w:val="16"/>
                <w:szCs w:val="16"/>
                <w:color w:val="auto"/>
              </w:rPr>
            </w:pPr>
          </w:p>
        </w:tc>
        <w:tc>
          <w:tcPr>
            <w:tcW w:w="134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tcBorders>
              <w:bottom w:val="single" w:sz="8" w:color="C0FFFF"/>
            </w:tcBorders>
            <w:shd w:val="clear" w:color="auto" w:fill="C0FFFF"/>
          </w:tcPr>
          <w:p>
            <w:pPr>
              <w:spacing w:after="0"/>
              <w:rPr>
                <w:sz w:val="16"/>
                <w:szCs w:val="16"/>
                <w:color w:val="auto"/>
              </w:rPr>
            </w:pPr>
          </w:p>
        </w:tc>
        <w:tc>
          <w:tcPr>
            <w:tcW w:w="80" w:type="dxa"/>
            <w:vAlign w:val="bottom"/>
            <w:tcBorders>
              <w:bottom w:val="single" w:sz="8" w:color="C0FFFF"/>
            </w:tcBorders>
            <w:shd w:val="clear" w:color="auto" w:fill="C0FFFF"/>
          </w:tcPr>
          <w:p>
            <w:pPr>
              <w:spacing w:after="0"/>
              <w:rPr>
                <w:sz w:val="16"/>
                <w:szCs w:val="16"/>
                <w:color w:val="auto"/>
              </w:rPr>
            </w:pPr>
          </w:p>
        </w:tc>
        <w:tc>
          <w:tcPr>
            <w:tcW w:w="120" w:type="dxa"/>
            <w:vAlign w:val="bottom"/>
            <w:tcBorders>
              <w:bottom w:val="single" w:sz="8" w:color="auto"/>
            </w:tcBorders>
            <w:shd w:val="clear" w:color="auto" w:fill="C0FFFF"/>
          </w:tcPr>
          <w:p>
            <w:pPr>
              <w:spacing w:after="0"/>
              <w:rPr>
                <w:sz w:val="16"/>
                <w:szCs w:val="16"/>
                <w:color w:val="auto"/>
              </w:rPr>
            </w:pPr>
          </w:p>
        </w:tc>
        <w:tc>
          <w:tcPr>
            <w:tcW w:w="13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80" w:type="dxa"/>
            <w:vAlign w:val="bottom"/>
            <w:tcBorders>
              <w:bottom w:val="single" w:sz="8" w:color="C0FFFF"/>
            </w:tcBorders>
            <w:shd w:val="clear" w:color="auto" w:fill="C0FFFF"/>
          </w:tcPr>
          <w:p>
            <w:pPr>
              <w:spacing w:after="0"/>
              <w:rPr>
                <w:sz w:val="16"/>
                <w:szCs w:val="16"/>
                <w:color w:val="auto"/>
              </w:rPr>
            </w:pPr>
          </w:p>
        </w:tc>
        <w:tc>
          <w:tcPr>
            <w:tcW w:w="320" w:type="dxa"/>
            <w:vAlign w:val="bottom"/>
            <w:tcBorders>
              <w:bottom w:val="single" w:sz="8" w:color="auto"/>
            </w:tcBorders>
            <w:shd w:val="clear" w:color="auto" w:fill="C0FFFF"/>
          </w:tcPr>
          <w:p>
            <w:pPr>
              <w:spacing w:after="0"/>
              <w:rPr>
                <w:sz w:val="16"/>
                <w:szCs w:val="16"/>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Borders>
              <w:bottom w:val="single" w:sz="8" w:color="C0FFFF"/>
            </w:tcBorders>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2011</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(587)</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Changes in value</w:t>
            </w:r>
          </w:p>
        </w:tc>
        <w:tc>
          <w:tcPr>
            <w:tcW w:w="14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46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32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2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Tax effect</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3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Balance at December 31, 2012</w:t>
            </w:r>
          </w:p>
        </w:tc>
        <w:tc>
          <w:tcPr>
            <w:tcW w:w="16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(1,178)</w:t>
            </w:r>
          </w:p>
        </w:tc>
        <w:tc>
          <w:tcPr>
            <w:tcW w:w="200" w:type="dxa"/>
            <w:vAlign w:val="bottom"/>
            <w:gridSpan w:val="2"/>
            <w:shd w:val="clear" w:color="auto" w:fill="C0FF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0FFFF"/>
          </w:tcPr>
          <w:p>
            <w:pPr>
              <w:jc w:val="right"/>
              <w:ind w:right="140"/>
              <w:spacing w:after="0"/>
              <w:rPr>
                <w:sz w:val="20"/>
                <w:szCs w:val="20"/>
                <w:color w:val="auto"/>
              </w:rPr>
            </w:pPr>
            <w:r>
              <w:rPr>
                <w:rFonts w:ascii="Times New Roman" w:cs="Times New Roman" w:eastAsia="Times New Roman" w:hAnsi="Times New Roman"/>
                <w:sz w:val="16"/>
                <w:szCs w:val="16"/>
                <w:color w:val="auto"/>
              </w:rPr>
              <w:t>(578)</w:t>
            </w:r>
          </w:p>
        </w:tc>
        <w:tc>
          <w:tcPr>
            <w:tcW w:w="320" w:type="dxa"/>
            <w:vAlign w:val="bottom"/>
            <w:shd w:val="clear" w:color="auto" w:fill="C0FF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0FFFF"/>
          </w:tcPr>
          <w:p>
            <w:pPr>
              <w:jc w:val="right"/>
              <w:ind w:right="60"/>
              <w:spacing w:after="0"/>
              <w:rPr>
                <w:sz w:val="20"/>
                <w:szCs w:val="20"/>
                <w:color w:val="auto"/>
              </w:rPr>
            </w:pPr>
            <w:r>
              <w:rPr>
                <w:rFonts w:ascii="Times New Roman" w:cs="Times New Roman" w:eastAsia="Times New Roman" w:hAnsi="Times New Roman"/>
                <w:sz w:val="16"/>
                <w:szCs w:val="16"/>
                <w:color w:val="auto"/>
              </w:rPr>
              <w:t>(1,756)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847" w:right="7440" w:hanging="847"/>
        <w:spacing w:after="0" w:line="624" w:lineRule="auto"/>
        <w:tabs>
          <w:tab w:leader="none" w:pos="78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UNAUDITED QUARTERLY FINANCIAL DATA</w:t>
      </w:r>
      <w:r>
        <w:rPr>
          <w:rFonts w:ascii="Times New Roman" w:cs="Times New Roman" w:eastAsia="Times New Roman" w:hAnsi="Times New Roman"/>
          <w:sz w:val="14"/>
          <w:szCs w:val="14"/>
          <w:color w:val="auto"/>
        </w:rPr>
        <w:t>: (In thousands, except per share amounts.)</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First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Third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Quarter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Quarter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Quarter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2012</w:t>
            </w:r>
          </w:p>
        </w:tc>
        <w:tc>
          <w:tcPr>
            <w:tcW w:w="820" w:type="dxa"/>
            <w:vAlign w:val="bottom"/>
            <w:shd w:val="clear" w:color="auto" w:fill="C0FFFF"/>
          </w:tcPr>
          <w:p>
            <w:pPr>
              <w:spacing w:after="0"/>
              <w:rPr>
                <w:sz w:val="14"/>
                <w:szCs w:val="14"/>
                <w:color w:val="auto"/>
              </w:rPr>
            </w:pPr>
          </w:p>
        </w:tc>
        <w:tc>
          <w:tcPr>
            <w:tcW w:w="2160" w:type="dxa"/>
            <w:vAlign w:val="bottom"/>
            <w:shd w:val="clear" w:color="auto" w:fill="C0FFFF"/>
          </w:tcPr>
          <w:p>
            <w:pPr>
              <w:spacing w:after="0"/>
              <w:rPr>
                <w:sz w:val="14"/>
                <w:szCs w:val="14"/>
                <w:color w:val="auto"/>
              </w:rPr>
            </w:pPr>
          </w:p>
        </w:tc>
        <w:tc>
          <w:tcPr>
            <w:tcW w:w="1940" w:type="dxa"/>
            <w:vAlign w:val="bottom"/>
            <w:shd w:val="clear" w:color="auto" w:fill="C0FFFF"/>
          </w:tcPr>
          <w:p>
            <w:pPr>
              <w:spacing w:after="0"/>
              <w:rPr>
                <w:sz w:val="14"/>
                <w:szCs w:val="14"/>
                <w:color w:val="auto"/>
              </w:rPr>
            </w:pPr>
          </w:p>
        </w:tc>
        <w:tc>
          <w:tcPr>
            <w:tcW w:w="180" w:type="dxa"/>
            <w:vAlign w:val="bottom"/>
            <w:tcBorders>
              <w:top w:val="single" w:sz="8" w:color="auto"/>
            </w:tcBorders>
            <w:shd w:val="clear" w:color="auto" w:fill="C0FFFF"/>
          </w:tcPr>
          <w:p>
            <w:pPr>
              <w:spacing w:after="0"/>
              <w:rPr>
                <w:sz w:val="14"/>
                <w:szCs w:val="14"/>
                <w:color w:val="auto"/>
              </w:rPr>
            </w:pPr>
          </w:p>
        </w:tc>
        <w:tc>
          <w:tcPr>
            <w:tcW w:w="900" w:type="dxa"/>
            <w:vAlign w:val="bottom"/>
            <w:tcBorders>
              <w:top w:val="single" w:sz="8" w:color="auto"/>
            </w:tcBorders>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60" w:type="dxa"/>
            <w:vAlign w:val="bottom"/>
            <w:tcBorders>
              <w:top w:val="single" w:sz="8" w:color="auto"/>
            </w:tcBorders>
            <w:shd w:val="clear" w:color="auto" w:fill="C0FFFF"/>
          </w:tcPr>
          <w:p>
            <w:pPr>
              <w:spacing w:after="0"/>
              <w:rPr>
                <w:sz w:val="14"/>
                <w:szCs w:val="14"/>
                <w:color w:val="auto"/>
              </w:rPr>
            </w:pPr>
          </w:p>
        </w:tc>
        <w:tc>
          <w:tcPr>
            <w:tcW w:w="900" w:type="dxa"/>
            <w:vAlign w:val="bottom"/>
            <w:tcBorders>
              <w:top w:val="single" w:sz="8" w:color="auto"/>
            </w:tcBorders>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60" w:type="dxa"/>
            <w:vAlign w:val="bottom"/>
            <w:tcBorders>
              <w:top w:val="single" w:sz="8" w:color="auto"/>
            </w:tcBorders>
            <w:shd w:val="clear" w:color="auto" w:fill="C0FFFF"/>
          </w:tcPr>
          <w:p>
            <w:pPr>
              <w:spacing w:after="0"/>
              <w:rPr>
                <w:sz w:val="14"/>
                <w:szCs w:val="14"/>
                <w:color w:val="auto"/>
              </w:rPr>
            </w:pPr>
          </w:p>
        </w:tc>
        <w:tc>
          <w:tcPr>
            <w:tcW w:w="900" w:type="dxa"/>
            <w:vAlign w:val="bottom"/>
            <w:tcBorders>
              <w:top w:val="single" w:sz="8" w:color="auto"/>
            </w:tcBorders>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60" w:type="dxa"/>
            <w:vAlign w:val="bottom"/>
            <w:tcBorders>
              <w:top w:val="single" w:sz="8" w:color="auto"/>
            </w:tcBorders>
            <w:shd w:val="clear" w:color="auto" w:fill="C0FFFF"/>
          </w:tcPr>
          <w:p>
            <w:pPr>
              <w:spacing w:after="0"/>
              <w:rPr>
                <w:sz w:val="14"/>
                <w:szCs w:val="14"/>
                <w:color w:val="auto"/>
              </w:rPr>
            </w:pPr>
          </w:p>
        </w:tc>
        <w:tc>
          <w:tcPr>
            <w:tcW w:w="880" w:type="dxa"/>
            <w:vAlign w:val="bottom"/>
            <w:tcBorders>
              <w:top w:val="single" w:sz="8" w:color="auto"/>
            </w:tcBorders>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0" w:type="dxa"/>
            <w:vAlign w:val="bottom"/>
            <w:tcBorders>
              <w:top w:val="single" w:sz="8" w:color="C0FFFF"/>
            </w:tcBorders>
          </w:tcPr>
          <w:p>
            <w:pPr>
              <w:spacing w:after="0"/>
              <w:rPr>
                <w:sz w:val="16"/>
                <w:szCs w:val="16"/>
                <w:color w:val="auto"/>
              </w:rPr>
            </w:pPr>
          </w:p>
        </w:tc>
        <w:tc>
          <w:tcPr>
            <w:tcW w:w="820" w:type="dxa"/>
            <w:vAlign w:val="bottom"/>
            <w:tcBorders>
              <w:top w:val="single" w:sz="8" w:color="C0FFFF"/>
            </w:tcBorders>
          </w:tcPr>
          <w:p>
            <w:pPr>
              <w:spacing w:after="0"/>
              <w:rPr>
                <w:sz w:val="16"/>
                <w:szCs w:val="16"/>
                <w:color w:val="auto"/>
              </w:rPr>
            </w:pPr>
          </w:p>
        </w:tc>
        <w:tc>
          <w:tcPr>
            <w:tcW w:w="2160" w:type="dxa"/>
            <w:vAlign w:val="bottom"/>
            <w:tcBorders>
              <w:top w:val="single" w:sz="8" w:color="C0FFFF"/>
            </w:tcBorders>
          </w:tcPr>
          <w:p>
            <w:pPr>
              <w:spacing w:after="0"/>
              <w:rPr>
                <w:sz w:val="16"/>
                <w:szCs w:val="16"/>
                <w:color w:val="auto"/>
              </w:rPr>
            </w:pPr>
          </w:p>
        </w:tc>
        <w:tc>
          <w:tcPr>
            <w:tcW w:w="1940" w:type="dxa"/>
            <w:vAlign w:val="bottom"/>
            <w:tcBorders>
              <w:top w:val="single" w:sz="8" w:color="C0FFFF"/>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900" w:type="dxa"/>
            <w:vAlign w:val="bottom"/>
            <w:tcBorders>
              <w:top w:val="single" w:sz="8" w:color="C0FFFF"/>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9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9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880" w:type="dxa"/>
            <w:vAlign w:val="bottom"/>
            <w:tcBorders>
              <w:top w:val="single" w:sz="8" w:color="C0FFFF"/>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2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777,329</w:t>
            </w:r>
          </w:p>
        </w:tc>
        <w:tc>
          <w:tcPr>
            <w:tcW w:w="120" w:type="dxa"/>
            <w:vAlign w:val="bottom"/>
            <w:shd w:val="clear" w:color="auto" w:fill="C0FFFF"/>
          </w:tcPr>
          <w:p>
            <w:pPr>
              <w:spacing w:after="0"/>
              <w:rPr>
                <w:sz w:val="16"/>
                <w:szCs w:val="16"/>
                <w:color w:val="auto"/>
              </w:rPr>
            </w:pP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835,844</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745,133</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732,261</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129,636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117,700</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9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29,380</w:t>
            </w: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31,966</w:t>
            </w: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27,627</w:t>
            </w: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25,227</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28,559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24,244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22,304</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15,906</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17,422</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14,909</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14,218</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9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0.40</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0.44</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0.38</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300" w:type="dxa"/>
            <w:vAlign w:val="bottom"/>
            <w:tcBorders>
              <w:bottom w:val="single" w:sz="8" w:color="auto"/>
            </w:tcBorders>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87"/>
              </w:rPr>
              <w:t>2011</w:t>
            </w:r>
          </w:p>
        </w:tc>
        <w:tc>
          <w:tcPr>
            <w:tcW w:w="400" w:type="dxa"/>
            <w:vAlign w:val="bottom"/>
            <w:tcBorders>
              <w:bottom w:val="single" w:sz="8" w:color="C0FFFF"/>
            </w:tcBorders>
            <w:shd w:val="clear" w:color="auto" w:fill="C0FFFF"/>
          </w:tcPr>
          <w:p>
            <w:pPr>
              <w:spacing w:after="0"/>
              <w:rPr>
                <w:sz w:val="14"/>
                <w:szCs w:val="14"/>
                <w:color w:val="auto"/>
              </w:rPr>
            </w:pPr>
          </w:p>
        </w:tc>
        <w:tc>
          <w:tcPr>
            <w:tcW w:w="820" w:type="dxa"/>
            <w:vAlign w:val="bottom"/>
            <w:tcBorders>
              <w:bottom w:val="single" w:sz="8" w:color="C0FFFF"/>
            </w:tcBorders>
            <w:shd w:val="clear" w:color="auto" w:fill="C0FFFF"/>
          </w:tcPr>
          <w:p>
            <w:pPr>
              <w:spacing w:after="0"/>
              <w:rPr>
                <w:sz w:val="14"/>
                <w:szCs w:val="14"/>
                <w:color w:val="auto"/>
              </w:rPr>
            </w:pPr>
          </w:p>
        </w:tc>
        <w:tc>
          <w:tcPr>
            <w:tcW w:w="2160" w:type="dxa"/>
            <w:vAlign w:val="bottom"/>
            <w:tcBorders>
              <w:bottom w:val="single" w:sz="8" w:color="C0FFFF"/>
            </w:tcBorders>
            <w:shd w:val="clear" w:color="auto" w:fill="C0FFFF"/>
          </w:tcPr>
          <w:p>
            <w:pPr>
              <w:spacing w:after="0"/>
              <w:rPr>
                <w:sz w:val="14"/>
                <w:szCs w:val="14"/>
                <w:color w:val="auto"/>
              </w:rPr>
            </w:pPr>
          </w:p>
        </w:tc>
        <w:tc>
          <w:tcPr>
            <w:tcW w:w="1940" w:type="dxa"/>
            <w:vAlign w:val="bottom"/>
            <w:tcBorders>
              <w:bottom w:val="single" w:sz="8" w:color="C0FFFF"/>
            </w:tcBorders>
            <w:shd w:val="clear" w:color="auto" w:fill="C0FFFF"/>
          </w:tcPr>
          <w:p>
            <w:pPr>
              <w:spacing w:after="0"/>
              <w:rPr>
                <w:sz w:val="14"/>
                <w:szCs w:val="14"/>
                <w:color w:val="auto"/>
              </w:rPr>
            </w:pPr>
          </w:p>
        </w:tc>
        <w:tc>
          <w:tcPr>
            <w:tcW w:w="180" w:type="dxa"/>
            <w:vAlign w:val="bottom"/>
            <w:tcBorders>
              <w:bottom w:val="single" w:sz="8" w:color="C0FFFF"/>
            </w:tcBorders>
            <w:shd w:val="clear" w:color="auto" w:fill="C0FFFF"/>
          </w:tcPr>
          <w:p>
            <w:pPr>
              <w:spacing w:after="0"/>
              <w:rPr>
                <w:sz w:val="14"/>
                <w:szCs w:val="14"/>
                <w:color w:val="auto"/>
              </w:rPr>
            </w:pPr>
          </w:p>
        </w:tc>
        <w:tc>
          <w:tcPr>
            <w:tcW w:w="900" w:type="dxa"/>
            <w:vAlign w:val="bottom"/>
            <w:tcBorders>
              <w:bottom w:val="single" w:sz="8" w:color="C0FFFF"/>
            </w:tcBorders>
            <w:shd w:val="clear" w:color="auto" w:fill="C0FFFF"/>
          </w:tcPr>
          <w:p>
            <w:pPr>
              <w:spacing w:after="0"/>
              <w:rPr>
                <w:sz w:val="14"/>
                <w:szCs w:val="14"/>
                <w:color w:val="auto"/>
              </w:rPr>
            </w:pPr>
          </w:p>
        </w:tc>
        <w:tc>
          <w:tcPr>
            <w:tcW w:w="12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160" w:type="dxa"/>
            <w:vAlign w:val="bottom"/>
            <w:tcBorders>
              <w:bottom w:val="single" w:sz="8" w:color="C0FFFF"/>
            </w:tcBorders>
            <w:shd w:val="clear" w:color="auto" w:fill="C0FFFF"/>
          </w:tcPr>
          <w:p>
            <w:pPr>
              <w:spacing w:after="0"/>
              <w:rPr>
                <w:sz w:val="14"/>
                <w:szCs w:val="14"/>
                <w:color w:val="auto"/>
              </w:rPr>
            </w:pPr>
          </w:p>
        </w:tc>
        <w:tc>
          <w:tcPr>
            <w:tcW w:w="90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160" w:type="dxa"/>
            <w:vAlign w:val="bottom"/>
            <w:tcBorders>
              <w:bottom w:val="single" w:sz="8" w:color="C0FFFF"/>
            </w:tcBorders>
            <w:shd w:val="clear" w:color="auto" w:fill="C0FFFF"/>
          </w:tcPr>
          <w:p>
            <w:pPr>
              <w:spacing w:after="0"/>
              <w:rPr>
                <w:sz w:val="14"/>
                <w:szCs w:val="14"/>
                <w:color w:val="auto"/>
              </w:rPr>
            </w:pPr>
          </w:p>
        </w:tc>
        <w:tc>
          <w:tcPr>
            <w:tcW w:w="90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160" w:type="dxa"/>
            <w:vAlign w:val="bottom"/>
            <w:tcBorders>
              <w:bottom w:val="single" w:sz="8" w:color="C0FFFF"/>
            </w:tcBorders>
            <w:shd w:val="clear" w:color="auto" w:fill="C0FFFF"/>
          </w:tcPr>
          <w:p>
            <w:pPr>
              <w:spacing w:after="0"/>
              <w:rPr>
                <w:sz w:val="14"/>
                <w:szCs w:val="14"/>
                <w:color w:val="auto"/>
              </w:rPr>
            </w:pPr>
          </w:p>
        </w:tc>
        <w:tc>
          <w:tcPr>
            <w:tcW w:w="880" w:type="dxa"/>
            <w:vAlign w:val="bottom"/>
            <w:tcBorders>
              <w:bottom w:val="single" w:sz="8" w:color="C0FFFF"/>
            </w:tcBorders>
            <w:shd w:val="clear" w:color="auto" w:fill="C0FFFF"/>
          </w:tcPr>
          <w:p>
            <w:pPr>
              <w:spacing w:after="0"/>
              <w:rPr>
                <w:sz w:val="14"/>
                <w:szCs w:val="14"/>
                <w:color w:val="auto"/>
              </w:rPr>
            </w:pPr>
          </w:p>
        </w:tc>
        <w:tc>
          <w:tcPr>
            <w:tcW w:w="120" w:type="dxa"/>
            <w:vAlign w:val="bottom"/>
            <w:tcBorders>
              <w:bottom w:val="single" w:sz="8" w:color="C0FFFF"/>
            </w:tcBorders>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2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446,104</w:t>
            </w:r>
          </w:p>
        </w:tc>
        <w:tc>
          <w:tcPr>
            <w:tcW w:w="120" w:type="dxa"/>
            <w:vAlign w:val="bottom"/>
            <w:shd w:val="clear" w:color="auto" w:fill="C0FFFF"/>
          </w:tcPr>
          <w:p>
            <w:pPr>
              <w:spacing w:after="0"/>
              <w:rPr>
                <w:sz w:val="16"/>
                <w:szCs w:val="16"/>
                <w:color w:val="auto"/>
              </w:rPr>
            </w:pP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661,982</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696,445</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776,080</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82,390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105,510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113,788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121,589</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9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12,821</w:t>
            </w: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21,789</w:t>
            </w: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28,328</w:t>
            </w: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34,400</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26,434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31,933</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7,267</w:t>
            </w:r>
          </w:p>
        </w:tc>
        <w:tc>
          <w:tcPr>
            <w:tcW w:w="120" w:type="dxa"/>
            <w:vAlign w:val="bottom"/>
            <w:shd w:val="clear" w:color="auto" w:fill="C0FFFF"/>
          </w:tcPr>
          <w:p>
            <w:pPr>
              <w:spacing w:after="0"/>
              <w:rPr>
                <w:sz w:val="16"/>
                <w:szCs w:val="16"/>
                <w:color w:val="auto"/>
              </w:rPr>
            </w:pP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12,518</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16,045</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19,383</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3680" w:type="dxa"/>
            <w:vAlign w:val="bottom"/>
            <w:gridSpan w:val="4"/>
            <w:shd w:val="clear" w:color="auto" w:fill="C0FFFF"/>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940" w:type="dxa"/>
            <w:vAlign w:val="bottom"/>
            <w:shd w:val="clear" w:color="auto" w:fill="C0FFFF"/>
          </w:tcPr>
          <w:p>
            <w:pPr>
              <w:spacing w:after="0"/>
              <w:rPr>
                <w:sz w:val="16"/>
                <w:szCs w:val="16"/>
                <w:color w:val="auto"/>
              </w:rPr>
            </w:pPr>
          </w:p>
        </w:tc>
        <w:tc>
          <w:tcPr>
            <w:tcW w:w="18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9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8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gridSpan w:val="4"/>
            <w:shd w:val="clear" w:color="auto" w:fill="C0FF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12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0FFFF"/>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0.32</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0.41</w:t>
            </w:r>
          </w:p>
        </w:tc>
        <w:tc>
          <w:tcPr>
            <w:tcW w:w="260" w:type="dxa"/>
            <w:vAlign w:val="bottom"/>
            <w:gridSpan w:val="2"/>
            <w:shd w:val="clear" w:color="auto" w:fill="C0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385"/>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9"/>
              </w:rPr>
              <w:t>19.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SEGMENTS:</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212"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6"/>
          <w:szCs w:val="16"/>
          <w:color w:val="auto"/>
        </w:rPr>
        <w:t>The Construction Equipment segment is no longer reported as a separate business segment due to the sale of Company’s construction equipment business. See Note 16 for further discussion of the sale of the construction equipment business.</w:t>
      </w:r>
    </w:p>
    <w:p>
      <w:pPr>
        <w:spacing w:after="0" w:line="3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7075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485" w:right="219" w:bottom="1440" w:gutter="0" w:footer="0" w:header="0"/>
        </w:sectPr>
      </w:pPr>
    </w:p>
    <w:bookmarkStart w:id="74" w:name="page75"/>
    <w:bookmarkEnd w:id="74"/>
    <w:p>
      <w:pPr>
        <w:jc w:val="both"/>
        <w:spacing w:after="0" w:line="267" w:lineRule="auto"/>
        <w:rPr>
          <w:sz w:val="20"/>
          <w:szCs w:val="20"/>
          <w:color w:val="auto"/>
        </w:rPr>
      </w:pPr>
      <w:r>
        <w:rPr>
          <w:rFonts w:ascii="Times New Roman" w:cs="Times New Roman" w:eastAsia="Times New Roman" w:hAnsi="Times New Roman"/>
          <w:sz w:val="16"/>
          <w:szCs w:val="16"/>
          <w:color w:val="auto"/>
        </w:rPr>
        <w:t>The accounting policies of the segments are the same as those described in the summary of significant accounting policies. The Company evaluates performance based on income from continuing operations before income taxes not including extraordinary items.</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accounts for intersegment sales and transfers as if the sales or transfers were to third parties, that is, at current market prices. There were no material intersegment sales during the years ended December 31, 2012, 2011 and 2010.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contains summarized information about reportable segment revenue, segment income or loss from continuing operations and segment assets for the periods ended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2012, 2011 and 2010 (in thousands):</w:t>
      </w:r>
    </w:p>
    <w:p>
      <w:pPr>
        <w:spacing w:after="0" w:line="218"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Truck</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All</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Segment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60" w:type="dxa"/>
            <w:vAlign w:val="bottom"/>
            <w:gridSpan w:val="2"/>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2012</w:t>
            </w:r>
          </w:p>
        </w:tc>
        <w:tc>
          <w:tcPr>
            <w:tcW w:w="460" w:type="dxa"/>
            <w:vAlign w:val="bottom"/>
            <w:shd w:val="clear" w:color="auto" w:fill="C0FFFF"/>
          </w:tcPr>
          <w:p>
            <w:pPr>
              <w:spacing w:after="0"/>
              <w:rPr>
                <w:sz w:val="13"/>
                <w:szCs w:val="13"/>
                <w:color w:val="auto"/>
              </w:rPr>
            </w:pPr>
          </w:p>
        </w:tc>
        <w:tc>
          <w:tcPr>
            <w:tcW w:w="260" w:type="dxa"/>
            <w:vAlign w:val="bottom"/>
            <w:tcBorders>
              <w:top w:val="single" w:sz="8" w:color="auto"/>
            </w:tcBorders>
            <w:shd w:val="clear" w:color="auto" w:fill="C0FFFF"/>
          </w:tcPr>
          <w:p>
            <w:pPr>
              <w:spacing w:after="0"/>
              <w:rPr>
                <w:sz w:val="13"/>
                <w:szCs w:val="13"/>
                <w:color w:val="auto"/>
              </w:rPr>
            </w:pPr>
          </w:p>
        </w:tc>
        <w:tc>
          <w:tcPr>
            <w:tcW w:w="1200" w:type="dxa"/>
            <w:vAlign w:val="bottom"/>
            <w:tcBorders>
              <w:top w:val="single" w:sz="8" w:color="auto"/>
            </w:tcBorders>
            <w:shd w:val="clear" w:color="auto" w:fill="C0FFFF"/>
          </w:tcPr>
          <w:p>
            <w:pPr>
              <w:spacing w:after="0"/>
              <w:rPr>
                <w:sz w:val="13"/>
                <w:szCs w:val="13"/>
                <w:color w:val="auto"/>
              </w:rPr>
            </w:pPr>
          </w:p>
        </w:tc>
        <w:tc>
          <w:tcPr>
            <w:tcW w:w="100" w:type="dxa"/>
            <w:vAlign w:val="bottom"/>
            <w:shd w:val="clear" w:color="auto" w:fill="C0FFFF"/>
          </w:tcPr>
          <w:p>
            <w:pPr>
              <w:spacing w:after="0"/>
              <w:rPr>
                <w:sz w:val="13"/>
                <w:szCs w:val="13"/>
                <w:color w:val="auto"/>
              </w:rPr>
            </w:pPr>
          </w:p>
        </w:tc>
        <w:tc>
          <w:tcPr>
            <w:tcW w:w="100" w:type="dxa"/>
            <w:vAlign w:val="bottom"/>
            <w:shd w:val="clear" w:color="auto" w:fill="C0FFFF"/>
          </w:tcPr>
          <w:p>
            <w:pPr>
              <w:spacing w:after="0"/>
              <w:rPr>
                <w:sz w:val="13"/>
                <w:szCs w:val="13"/>
                <w:color w:val="auto"/>
              </w:rPr>
            </w:pPr>
          </w:p>
        </w:tc>
        <w:tc>
          <w:tcPr>
            <w:tcW w:w="300" w:type="dxa"/>
            <w:vAlign w:val="bottom"/>
            <w:tcBorders>
              <w:top w:val="single" w:sz="8" w:color="auto"/>
            </w:tcBorders>
            <w:shd w:val="clear" w:color="auto" w:fill="C0FFFF"/>
          </w:tcPr>
          <w:p>
            <w:pPr>
              <w:spacing w:after="0"/>
              <w:rPr>
                <w:sz w:val="13"/>
                <w:szCs w:val="13"/>
                <w:color w:val="auto"/>
              </w:rPr>
            </w:pPr>
          </w:p>
        </w:tc>
        <w:tc>
          <w:tcPr>
            <w:tcW w:w="1140" w:type="dxa"/>
            <w:vAlign w:val="bottom"/>
            <w:tcBorders>
              <w:top w:val="single" w:sz="8" w:color="auto"/>
            </w:tcBorders>
            <w:shd w:val="clear" w:color="auto" w:fill="C0FFFF"/>
          </w:tcPr>
          <w:p>
            <w:pPr>
              <w:spacing w:after="0"/>
              <w:rPr>
                <w:sz w:val="13"/>
                <w:szCs w:val="13"/>
                <w:color w:val="auto"/>
              </w:rPr>
            </w:pPr>
          </w:p>
        </w:tc>
        <w:tc>
          <w:tcPr>
            <w:tcW w:w="180" w:type="dxa"/>
            <w:vAlign w:val="bottom"/>
            <w:shd w:val="clear" w:color="auto" w:fill="C0FFFF"/>
          </w:tcPr>
          <w:p>
            <w:pPr>
              <w:spacing w:after="0"/>
              <w:rPr>
                <w:sz w:val="13"/>
                <w:szCs w:val="13"/>
                <w:color w:val="auto"/>
              </w:rPr>
            </w:pPr>
          </w:p>
        </w:tc>
        <w:tc>
          <w:tcPr>
            <w:tcW w:w="300" w:type="dxa"/>
            <w:vAlign w:val="bottom"/>
            <w:tcBorders>
              <w:top w:val="single" w:sz="8" w:color="auto"/>
            </w:tcBorders>
            <w:shd w:val="clear" w:color="auto" w:fill="C0FFFF"/>
          </w:tcPr>
          <w:p>
            <w:pPr>
              <w:spacing w:after="0"/>
              <w:rPr>
                <w:sz w:val="13"/>
                <w:szCs w:val="13"/>
                <w:color w:val="auto"/>
              </w:rPr>
            </w:pPr>
          </w:p>
        </w:tc>
        <w:tc>
          <w:tcPr>
            <w:tcW w:w="1140" w:type="dxa"/>
            <w:vAlign w:val="bottom"/>
            <w:tcBorders>
              <w:top w:val="single" w:sz="8" w:color="auto"/>
            </w:tcBorders>
            <w:shd w:val="clear" w:color="auto" w:fill="C0FFFF"/>
          </w:tcPr>
          <w:p>
            <w:pPr>
              <w:spacing w:after="0"/>
              <w:rPr>
                <w:sz w:val="13"/>
                <w:szCs w:val="13"/>
                <w:color w:val="auto"/>
              </w:rPr>
            </w:pPr>
          </w:p>
        </w:tc>
        <w:tc>
          <w:tcPr>
            <w:tcW w:w="100" w:type="dxa"/>
            <w:vAlign w:val="bottom"/>
            <w:shd w:val="clear" w:color="auto" w:fill="C0FFFF"/>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080" w:type="dxa"/>
            <w:vAlign w:val="bottom"/>
            <w:shd w:val="clear" w:color="auto" w:fill="C0FFFF"/>
          </w:tcPr>
          <w:p>
            <w:pPr>
              <w:spacing w:after="0"/>
              <w:rPr>
                <w:sz w:val="3"/>
                <w:szCs w:val="3"/>
                <w:color w:val="auto"/>
              </w:rPr>
            </w:pPr>
          </w:p>
        </w:tc>
        <w:tc>
          <w:tcPr>
            <w:tcW w:w="460" w:type="dxa"/>
            <w:vAlign w:val="bottom"/>
            <w:shd w:val="clear" w:color="auto" w:fill="C0FFFF"/>
          </w:tcPr>
          <w:p>
            <w:pPr>
              <w:spacing w:after="0"/>
              <w:rPr>
                <w:sz w:val="3"/>
                <w:szCs w:val="3"/>
                <w:color w:val="auto"/>
              </w:rPr>
            </w:pPr>
          </w:p>
        </w:tc>
        <w:tc>
          <w:tcPr>
            <w:tcW w:w="260" w:type="dxa"/>
            <w:vAlign w:val="bottom"/>
            <w:shd w:val="clear" w:color="auto" w:fill="C0FFFF"/>
          </w:tcPr>
          <w:p>
            <w:pPr>
              <w:spacing w:after="0"/>
              <w:rPr>
                <w:sz w:val="3"/>
                <w:szCs w:val="3"/>
                <w:color w:val="auto"/>
              </w:rPr>
            </w:pPr>
          </w:p>
        </w:tc>
        <w:tc>
          <w:tcPr>
            <w:tcW w:w="1200" w:type="dxa"/>
            <w:vAlign w:val="bottom"/>
            <w:shd w:val="clear" w:color="auto" w:fill="C0FFFF"/>
          </w:tcPr>
          <w:p>
            <w:pPr>
              <w:spacing w:after="0"/>
              <w:rPr>
                <w:sz w:val="3"/>
                <w:szCs w:val="3"/>
                <w:color w:val="auto"/>
              </w:rPr>
            </w:pPr>
          </w:p>
        </w:tc>
        <w:tc>
          <w:tcPr>
            <w:tcW w:w="100" w:type="dxa"/>
            <w:vAlign w:val="bottom"/>
            <w:shd w:val="clear" w:color="auto" w:fill="C0FFFF"/>
          </w:tcPr>
          <w:p>
            <w:pPr>
              <w:spacing w:after="0"/>
              <w:rPr>
                <w:sz w:val="3"/>
                <w:szCs w:val="3"/>
                <w:color w:val="auto"/>
              </w:rPr>
            </w:pPr>
          </w:p>
        </w:tc>
        <w:tc>
          <w:tcPr>
            <w:tcW w:w="100" w:type="dxa"/>
            <w:vAlign w:val="bottom"/>
            <w:shd w:val="clear" w:color="auto" w:fill="C0FFFF"/>
          </w:tcPr>
          <w:p>
            <w:pPr>
              <w:spacing w:after="0"/>
              <w:rPr>
                <w:sz w:val="3"/>
                <w:szCs w:val="3"/>
                <w:color w:val="auto"/>
              </w:rPr>
            </w:pPr>
          </w:p>
        </w:tc>
        <w:tc>
          <w:tcPr>
            <w:tcW w:w="300" w:type="dxa"/>
            <w:vAlign w:val="bottom"/>
            <w:shd w:val="clear" w:color="auto" w:fill="C0FFFF"/>
          </w:tcPr>
          <w:p>
            <w:pPr>
              <w:spacing w:after="0"/>
              <w:rPr>
                <w:sz w:val="3"/>
                <w:szCs w:val="3"/>
                <w:color w:val="auto"/>
              </w:rPr>
            </w:pPr>
          </w:p>
        </w:tc>
        <w:tc>
          <w:tcPr>
            <w:tcW w:w="1140" w:type="dxa"/>
            <w:vAlign w:val="bottom"/>
            <w:shd w:val="clear" w:color="auto" w:fill="C0FFFF"/>
          </w:tcPr>
          <w:p>
            <w:pPr>
              <w:spacing w:after="0"/>
              <w:rPr>
                <w:sz w:val="3"/>
                <w:szCs w:val="3"/>
                <w:color w:val="auto"/>
              </w:rPr>
            </w:pPr>
          </w:p>
        </w:tc>
        <w:tc>
          <w:tcPr>
            <w:tcW w:w="180" w:type="dxa"/>
            <w:vAlign w:val="bottom"/>
            <w:shd w:val="clear" w:color="auto" w:fill="C0FFFF"/>
          </w:tcPr>
          <w:p>
            <w:pPr>
              <w:spacing w:after="0"/>
              <w:rPr>
                <w:sz w:val="3"/>
                <w:szCs w:val="3"/>
                <w:color w:val="auto"/>
              </w:rPr>
            </w:pPr>
          </w:p>
        </w:tc>
        <w:tc>
          <w:tcPr>
            <w:tcW w:w="300" w:type="dxa"/>
            <w:vAlign w:val="bottom"/>
            <w:shd w:val="clear" w:color="auto" w:fill="C0FFFF"/>
          </w:tcPr>
          <w:p>
            <w:pPr>
              <w:spacing w:after="0"/>
              <w:rPr>
                <w:sz w:val="3"/>
                <w:szCs w:val="3"/>
                <w:color w:val="auto"/>
              </w:rPr>
            </w:pPr>
          </w:p>
        </w:tc>
        <w:tc>
          <w:tcPr>
            <w:tcW w:w="1140" w:type="dxa"/>
            <w:vAlign w:val="bottom"/>
            <w:shd w:val="clear" w:color="auto" w:fill="C0FFFF"/>
          </w:tcPr>
          <w:p>
            <w:pPr>
              <w:spacing w:after="0"/>
              <w:rPr>
                <w:sz w:val="3"/>
                <w:szCs w:val="3"/>
                <w:color w:val="auto"/>
              </w:rPr>
            </w:pPr>
          </w:p>
        </w:tc>
        <w:tc>
          <w:tcPr>
            <w:tcW w:w="100" w:type="dxa"/>
            <w:vAlign w:val="bottom"/>
            <w:shd w:val="clear" w:color="auto" w:fill="C0FF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3,072,092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18,475</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3,090,567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208</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13,038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24,482</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534</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25,016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income (loss) from continuing operations before taxes</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102,392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(1,209)</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101,183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1,855,431</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26,135</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1,881,566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195,697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2,560</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198,257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Expenditures for segment assets</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170,436</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515</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170,951</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80" w:type="dxa"/>
            <w:vAlign w:val="bottom"/>
            <w:tcBorders>
              <w:bottom w:val="single" w:sz="8" w:color="auto"/>
            </w:tcBorders>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81"/>
              </w:rPr>
              <w:t>2011</w:t>
            </w:r>
          </w:p>
        </w:tc>
        <w:tc>
          <w:tcPr>
            <w:tcW w:w="4080" w:type="dxa"/>
            <w:vAlign w:val="bottom"/>
            <w:tcBorders>
              <w:bottom w:val="single" w:sz="8" w:color="C0FFFF"/>
            </w:tcBorders>
            <w:shd w:val="clear" w:color="auto" w:fill="C0FFFF"/>
          </w:tcPr>
          <w:p>
            <w:pPr>
              <w:spacing w:after="0"/>
              <w:rPr>
                <w:sz w:val="14"/>
                <w:szCs w:val="14"/>
                <w:color w:val="auto"/>
              </w:rPr>
            </w:pPr>
          </w:p>
        </w:tc>
        <w:tc>
          <w:tcPr>
            <w:tcW w:w="460" w:type="dxa"/>
            <w:vAlign w:val="bottom"/>
            <w:tcBorders>
              <w:bottom w:val="single" w:sz="8" w:color="C0FFFF"/>
            </w:tcBorders>
            <w:shd w:val="clear" w:color="auto" w:fill="C0FFFF"/>
          </w:tcPr>
          <w:p>
            <w:pPr>
              <w:spacing w:after="0"/>
              <w:rPr>
                <w:sz w:val="14"/>
                <w:szCs w:val="14"/>
                <w:color w:val="auto"/>
              </w:rPr>
            </w:pPr>
          </w:p>
        </w:tc>
        <w:tc>
          <w:tcPr>
            <w:tcW w:w="260" w:type="dxa"/>
            <w:vAlign w:val="bottom"/>
            <w:tcBorders>
              <w:bottom w:val="single" w:sz="8" w:color="C0FFFF"/>
            </w:tcBorders>
            <w:shd w:val="clear" w:color="auto" w:fill="C0FFFF"/>
          </w:tcPr>
          <w:p>
            <w:pPr>
              <w:spacing w:after="0"/>
              <w:rPr>
                <w:sz w:val="14"/>
                <w:szCs w:val="14"/>
                <w:color w:val="auto"/>
              </w:rPr>
            </w:pPr>
          </w:p>
        </w:tc>
        <w:tc>
          <w:tcPr>
            <w:tcW w:w="120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300" w:type="dxa"/>
            <w:vAlign w:val="bottom"/>
            <w:tcBorders>
              <w:bottom w:val="single" w:sz="8" w:color="C0FFFF"/>
            </w:tcBorders>
            <w:shd w:val="clear" w:color="auto" w:fill="C0FFFF"/>
          </w:tcPr>
          <w:p>
            <w:pPr>
              <w:spacing w:after="0"/>
              <w:rPr>
                <w:sz w:val="14"/>
                <w:szCs w:val="14"/>
                <w:color w:val="auto"/>
              </w:rPr>
            </w:pPr>
          </w:p>
        </w:tc>
        <w:tc>
          <w:tcPr>
            <w:tcW w:w="1140" w:type="dxa"/>
            <w:vAlign w:val="bottom"/>
            <w:tcBorders>
              <w:bottom w:val="single" w:sz="8" w:color="C0FFFF"/>
            </w:tcBorders>
            <w:shd w:val="clear" w:color="auto" w:fill="C0FFFF"/>
          </w:tcPr>
          <w:p>
            <w:pPr>
              <w:spacing w:after="0"/>
              <w:rPr>
                <w:sz w:val="14"/>
                <w:szCs w:val="14"/>
                <w:color w:val="auto"/>
              </w:rPr>
            </w:pPr>
          </w:p>
        </w:tc>
        <w:tc>
          <w:tcPr>
            <w:tcW w:w="180" w:type="dxa"/>
            <w:vAlign w:val="bottom"/>
            <w:tcBorders>
              <w:bottom w:val="single" w:sz="8" w:color="C0FFFF"/>
            </w:tcBorders>
            <w:shd w:val="clear" w:color="auto" w:fill="C0FFFF"/>
          </w:tcPr>
          <w:p>
            <w:pPr>
              <w:spacing w:after="0"/>
              <w:rPr>
                <w:sz w:val="14"/>
                <w:szCs w:val="14"/>
                <w:color w:val="auto"/>
              </w:rPr>
            </w:pPr>
          </w:p>
        </w:tc>
        <w:tc>
          <w:tcPr>
            <w:tcW w:w="300" w:type="dxa"/>
            <w:vAlign w:val="bottom"/>
            <w:tcBorders>
              <w:bottom w:val="single" w:sz="8" w:color="C0FFFF"/>
            </w:tcBorders>
            <w:shd w:val="clear" w:color="auto" w:fill="C0FFFF"/>
          </w:tcPr>
          <w:p>
            <w:pPr>
              <w:spacing w:after="0"/>
              <w:rPr>
                <w:sz w:val="14"/>
                <w:szCs w:val="14"/>
                <w:color w:val="auto"/>
              </w:rPr>
            </w:pPr>
          </w:p>
        </w:tc>
        <w:tc>
          <w:tcPr>
            <w:tcW w:w="1140" w:type="dxa"/>
            <w:vAlign w:val="bottom"/>
            <w:tcBorders>
              <w:bottom w:val="single" w:sz="8" w:color="C0FFFF"/>
            </w:tcBorders>
            <w:shd w:val="clear" w:color="auto" w:fill="C0FFFF"/>
          </w:tcPr>
          <w:p>
            <w:pPr>
              <w:spacing w:after="0"/>
              <w:rPr>
                <w:sz w:val="14"/>
                <w:szCs w:val="14"/>
                <w:color w:val="auto"/>
              </w:rPr>
            </w:pPr>
          </w:p>
        </w:tc>
        <w:tc>
          <w:tcPr>
            <w:tcW w:w="100" w:type="dxa"/>
            <w:vAlign w:val="bottom"/>
            <w:tcBorders>
              <w:bottom w:val="single" w:sz="8" w:color="C0FFFF"/>
            </w:tcBorders>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2,562,740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17,871</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2,580,611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7,181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19,471</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613</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20,084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income (loss) from continuing operations before taxes</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91,820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(1,643)</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90,177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1,691,938</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25,763</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1,717,701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180,052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2,560</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182,612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Expenditures for segment assets</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148,384</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159</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148,543</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360" w:type="dxa"/>
            <w:vAlign w:val="bottom"/>
            <w:gridSpan w:val="2"/>
            <w:shd w:val="clear" w:color="auto" w:fill="C0FFFF"/>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2010</w:t>
            </w:r>
          </w:p>
        </w:tc>
        <w:tc>
          <w:tcPr>
            <w:tcW w:w="460" w:type="dxa"/>
            <w:vAlign w:val="bottom"/>
            <w:shd w:val="clear" w:color="auto" w:fill="C0FFFF"/>
          </w:tcPr>
          <w:p>
            <w:pPr>
              <w:spacing w:after="0"/>
              <w:rPr>
                <w:sz w:val="13"/>
                <w:szCs w:val="13"/>
                <w:color w:val="auto"/>
              </w:rPr>
            </w:pPr>
          </w:p>
        </w:tc>
        <w:tc>
          <w:tcPr>
            <w:tcW w:w="260" w:type="dxa"/>
            <w:vAlign w:val="bottom"/>
            <w:shd w:val="clear" w:color="auto" w:fill="C0FFFF"/>
          </w:tcPr>
          <w:p>
            <w:pPr>
              <w:spacing w:after="0"/>
              <w:rPr>
                <w:sz w:val="13"/>
                <w:szCs w:val="13"/>
                <w:color w:val="auto"/>
              </w:rPr>
            </w:pPr>
          </w:p>
        </w:tc>
        <w:tc>
          <w:tcPr>
            <w:tcW w:w="1200" w:type="dxa"/>
            <w:vAlign w:val="bottom"/>
            <w:shd w:val="clear" w:color="auto" w:fill="C0FFFF"/>
          </w:tcPr>
          <w:p>
            <w:pPr>
              <w:spacing w:after="0"/>
              <w:rPr>
                <w:sz w:val="13"/>
                <w:szCs w:val="13"/>
                <w:color w:val="auto"/>
              </w:rPr>
            </w:pPr>
          </w:p>
        </w:tc>
        <w:tc>
          <w:tcPr>
            <w:tcW w:w="100" w:type="dxa"/>
            <w:vAlign w:val="bottom"/>
            <w:shd w:val="clear" w:color="auto" w:fill="C0FFFF"/>
          </w:tcPr>
          <w:p>
            <w:pPr>
              <w:spacing w:after="0"/>
              <w:rPr>
                <w:sz w:val="13"/>
                <w:szCs w:val="13"/>
                <w:color w:val="auto"/>
              </w:rPr>
            </w:pPr>
          </w:p>
        </w:tc>
        <w:tc>
          <w:tcPr>
            <w:tcW w:w="10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1140" w:type="dxa"/>
            <w:vAlign w:val="bottom"/>
            <w:shd w:val="clear" w:color="auto" w:fill="C0FFFF"/>
          </w:tcPr>
          <w:p>
            <w:pPr>
              <w:spacing w:after="0"/>
              <w:rPr>
                <w:sz w:val="13"/>
                <w:szCs w:val="13"/>
                <w:color w:val="auto"/>
              </w:rPr>
            </w:pPr>
          </w:p>
        </w:tc>
        <w:tc>
          <w:tcPr>
            <w:tcW w:w="18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1140" w:type="dxa"/>
            <w:vAlign w:val="bottom"/>
            <w:shd w:val="clear" w:color="auto" w:fill="C0FFFF"/>
          </w:tcPr>
          <w:p>
            <w:pPr>
              <w:spacing w:after="0"/>
              <w:rPr>
                <w:sz w:val="13"/>
                <w:szCs w:val="13"/>
                <w:color w:val="auto"/>
              </w:rPr>
            </w:pPr>
          </w:p>
        </w:tc>
        <w:tc>
          <w:tcPr>
            <w:tcW w:w="100" w:type="dxa"/>
            <w:vAlign w:val="bottom"/>
            <w:shd w:val="clear" w:color="auto" w:fill="C0FFFF"/>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080" w:type="dxa"/>
            <w:vAlign w:val="bottom"/>
            <w:shd w:val="clear" w:color="auto" w:fill="C0FFFF"/>
          </w:tcPr>
          <w:p>
            <w:pPr>
              <w:spacing w:after="0"/>
              <w:rPr>
                <w:sz w:val="3"/>
                <w:szCs w:val="3"/>
                <w:color w:val="auto"/>
              </w:rPr>
            </w:pPr>
          </w:p>
        </w:tc>
        <w:tc>
          <w:tcPr>
            <w:tcW w:w="460" w:type="dxa"/>
            <w:vAlign w:val="bottom"/>
            <w:shd w:val="clear" w:color="auto" w:fill="C0FFFF"/>
          </w:tcPr>
          <w:p>
            <w:pPr>
              <w:spacing w:after="0"/>
              <w:rPr>
                <w:sz w:val="3"/>
                <w:szCs w:val="3"/>
                <w:color w:val="auto"/>
              </w:rPr>
            </w:pPr>
          </w:p>
        </w:tc>
        <w:tc>
          <w:tcPr>
            <w:tcW w:w="260" w:type="dxa"/>
            <w:vAlign w:val="bottom"/>
            <w:shd w:val="clear" w:color="auto" w:fill="C0FFFF"/>
          </w:tcPr>
          <w:p>
            <w:pPr>
              <w:spacing w:after="0"/>
              <w:rPr>
                <w:sz w:val="3"/>
                <w:szCs w:val="3"/>
                <w:color w:val="auto"/>
              </w:rPr>
            </w:pPr>
          </w:p>
        </w:tc>
        <w:tc>
          <w:tcPr>
            <w:tcW w:w="1200" w:type="dxa"/>
            <w:vAlign w:val="bottom"/>
            <w:shd w:val="clear" w:color="auto" w:fill="C0FFFF"/>
          </w:tcPr>
          <w:p>
            <w:pPr>
              <w:spacing w:after="0"/>
              <w:rPr>
                <w:sz w:val="3"/>
                <w:szCs w:val="3"/>
                <w:color w:val="auto"/>
              </w:rPr>
            </w:pPr>
          </w:p>
        </w:tc>
        <w:tc>
          <w:tcPr>
            <w:tcW w:w="100" w:type="dxa"/>
            <w:vAlign w:val="bottom"/>
            <w:shd w:val="clear" w:color="auto" w:fill="C0FFFF"/>
          </w:tcPr>
          <w:p>
            <w:pPr>
              <w:spacing w:after="0"/>
              <w:rPr>
                <w:sz w:val="3"/>
                <w:szCs w:val="3"/>
                <w:color w:val="auto"/>
              </w:rPr>
            </w:pPr>
          </w:p>
        </w:tc>
        <w:tc>
          <w:tcPr>
            <w:tcW w:w="100" w:type="dxa"/>
            <w:vAlign w:val="bottom"/>
            <w:shd w:val="clear" w:color="auto" w:fill="C0FFFF"/>
          </w:tcPr>
          <w:p>
            <w:pPr>
              <w:spacing w:after="0"/>
              <w:rPr>
                <w:sz w:val="3"/>
                <w:szCs w:val="3"/>
                <w:color w:val="auto"/>
              </w:rPr>
            </w:pPr>
          </w:p>
        </w:tc>
        <w:tc>
          <w:tcPr>
            <w:tcW w:w="300" w:type="dxa"/>
            <w:vAlign w:val="bottom"/>
            <w:shd w:val="clear" w:color="auto" w:fill="C0FFFF"/>
          </w:tcPr>
          <w:p>
            <w:pPr>
              <w:spacing w:after="0"/>
              <w:rPr>
                <w:sz w:val="3"/>
                <w:szCs w:val="3"/>
                <w:color w:val="auto"/>
              </w:rPr>
            </w:pPr>
          </w:p>
        </w:tc>
        <w:tc>
          <w:tcPr>
            <w:tcW w:w="1140" w:type="dxa"/>
            <w:vAlign w:val="bottom"/>
            <w:shd w:val="clear" w:color="auto" w:fill="C0FFFF"/>
          </w:tcPr>
          <w:p>
            <w:pPr>
              <w:spacing w:after="0"/>
              <w:rPr>
                <w:sz w:val="3"/>
                <w:szCs w:val="3"/>
                <w:color w:val="auto"/>
              </w:rPr>
            </w:pPr>
          </w:p>
        </w:tc>
        <w:tc>
          <w:tcPr>
            <w:tcW w:w="180" w:type="dxa"/>
            <w:vAlign w:val="bottom"/>
            <w:shd w:val="clear" w:color="auto" w:fill="C0FFFF"/>
          </w:tcPr>
          <w:p>
            <w:pPr>
              <w:spacing w:after="0"/>
              <w:rPr>
                <w:sz w:val="3"/>
                <w:szCs w:val="3"/>
                <w:color w:val="auto"/>
              </w:rPr>
            </w:pPr>
          </w:p>
        </w:tc>
        <w:tc>
          <w:tcPr>
            <w:tcW w:w="300" w:type="dxa"/>
            <w:vAlign w:val="bottom"/>
            <w:shd w:val="clear" w:color="auto" w:fill="C0FFFF"/>
          </w:tcPr>
          <w:p>
            <w:pPr>
              <w:spacing w:after="0"/>
              <w:rPr>
                <w:sz w:val="3"/>
                <w:szCs w:val="3"/>
                <w:color w:val="auto"/>
              </w:rPr>
            </w:pPr>
          </w:p>
        </w:tc>
        <w:tc>
          <w:tcPr>
            <w:tcW w:w="1140" w:type="dxa"/>
            <w:vAlign w:val="bottom"/>
            <w:shd w:val="clear" w:color="auto" w:fill="C0FFFF"/>
          </w:tcPr>
          <w:p>
            <w:pPr>
              <w:spacing w:after="0"/>
              <w:rPr>
                <w:sz w:val="3"/>
                <w:szCs w:val="3"/>
                <w:color w:val="auto"/>
              </w:rPr>
            </w:pPr>
          </w:p>
        </w:tc>
        <w:tc>
          <w:tcPr>
            <w:tcW w:w="100" w:type="dxa"/>
            <w:vAlign w:val="bottom"/>
            <w:shd w:val="clear" w:color="auto" w:fill="C0FF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1,482,742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15,185</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1,497,927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398</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5,490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15,019</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701</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15,720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income (loss) from continuing operations before taxes</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37,690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(1,386)</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36,304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1,143,385</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24,548</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1,167,933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147,828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2,560</w:t>
            </w:r>
          </w:p>
        </w:tc>
        <w:tc>
          <w:tcPr>
            <w:tcW w:w="3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150,388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gridSpan w:val="2"/>
            <w:shd w:val="clear" w:color="auto" w:fill="C0FFFF"/>
          </w:tcPr>
          <w:p>
            <w:pPr>
              <w:spacing w:after="0"/>
              <w:rPr>
                <w:sz w:val="20"/>
                <w:szCs w:val="20"/>
                <w:color w:val="auto"/>
              </w:rPr>
            </w:pPr>
            <w:r>
              <w:rPr>
                <w:rFonts w:ascii="Times New Roman" w:cs="Times New Roman" w:eastAsia="Times New Roman" w:hAnsi="Times New Roman"/>
                <w:sz w:val="16"/>
                <w:szCs w:val="16"/>
                <w:color w:val="auto"/>
              </w:rPr>
              <w:t>Expenditures for segment assets</w:t>
            </w:r>
          </w:p>
        </w:tc>
        <w:tc>
          <w:tcPr>
            <w:tcW w:w="46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30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83,670</w:t>
            </w:r>
          </w:p>
        </w:tc>
        <w:tc>
          <w:tcPr>
            <w:tcW w:w="100" w:type="dxa"/>
            <w:vAlign w:val="bottom"/>
            <w:shd w:val="clear" w:color="auto" w:fill="C0FFFF"/>
          </w:tcPr>
          <w:p>
            <w:pPr>
              <w:spacing w:after="0"/>
              <w:rPr>
                <w:sz w:val="16"/>
                <w:szCs w:val="16"/>
                <w:color w:val="auto"/>
              </w:rPr>
            </w:pPr>
          </w:p>
        </w:tc>
        <w:tc>
          <w:tcPr>
            <w:tcW w:w="300" w:type="dxa"/>
            <w:vAlign w:val="bottom"/>
            <w:shd w:val="clear" w:color="auto" w:fill="C0FFFF"/>
          </w:tcPr>
          <w:p>
            <w:pPr>
              <w:spacing w:after="0"/>
              <w:rPr>
                <w:sz w:val="16"/>
                <w:szCs w:val="16"/>
                <w:color w:val="auto"/>
              </w:rPr>
            </w:pPr>
          </w:p>
        </w:tc>
        <w:tc>
          <w:tcPr>
            <w:tcW w:w="1320" w:type="dxa"/>
            <w:vAlign w:val="bottom"/>
            <w:gridSpan w:val="2"/>
            <w:shd w:val="clear" w:color="auto" w:fill="C0FFFF"/>
          </w:tcPr>
          <w:p>
            <w:pPr>
              <w:jc w:val="right"/>
              <w:ind w:right="180"/>
              <w:spacing w:after="0"/>
              <w:rPr>
                <w:sz w:val="20"/>
                <w:szCs w:val="20"/>
                <w:color w:val="auto"/>
              </w:rPr>
            </w:pPr>
            <w:r>
              <w:rPr>
                <w:rFonts w:ascii="Times New Roman" w:cs="Times New Roman" w:eastAsia="Times New Roman" w:hAnsi="Times New Roman"/>
                <w:sz w:val="16"/>
                <w:szCs w:val="16"/>
                <w:color w:val="auto"/>
              </w:rPr>
              <w:t>633</w:t>
            </w:r>
          </w:p>
        </w:tc>
        <w:tc>
          <w:tcPr>
            <w:tcW w:w="300" w:type="dxa"/>
            <w:vAlign w:val="bottom"/>
            <w:shd w:val="clear" w:color="auto" w:fill="C0FFFF"/>
          </w:tcPr>
          <w:p>
            <w:pPr>
              <w:spacing w:after="0"/>
              <w:rPr>
                <w:sz w:val="16"/>
                <w:szCs w:val="16"/>
                <w:color w:val="auto"/>
              </w:rPr>
            </w:pPr>
          </w:p>
        </w:tc>
        <w:tc>
          <w:tcPr>
            <w:tcW w:w="1240" w:type="dxa"/>
            <w:vAlign w:val="bottom"/>
            <w:gridSpan w:val="2"/>
            <w:shd w:val="clear" w:color="auto" w:fill="C0FFFF"/>
          </w:tcPr>
          <w:p>
            <w:pPr>
              <w:jc w:val="right"/>
              <w:ind w:right="100"/>
              <w:spacing w:after="0"/>
              <w:rPr>
                <w:sz w:val="20"/>
                <w:szCs w:val="20"/>
                <w:color w:val="auto"/>
              </w:rPr>
            </w:pPr>
            <w:r>
              <w:rPr>
                <w:rFonts w:ascii="Times New Roman" w:cs="Times New Roman" w:eastAsia="Times New Roman" w:hAnsi="Times New Roman"/>
                <w:sz w:val="16"/>
                <w:szCs w:val="16"/>
                <w:color w:val="auto"/>
              </w:rPr>
              <w:t>84,303</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238" w:lineRule="exact"/>
        <w:rPr>
          <w:sz w:val="20"/>
          <w:szCs w:val="20"/>
          <w:color w:val="auto"/>
        </w:rPr>
      </w:pPr>
    </w:p>
    <w:p>
      <w:pPr>
        <w:jc w:val="both"/>
        <w:ind w:firstLine="560"/>
        <w:spacing w:after="0" w:line="248" w:lineRule="auto"/>
        <w:rPr>
          <w:sz w:val="20"/>
          <w:szCs w:val="20"/>
          <w:color w:val="auto"/>
        </w:rPr>
      </w:pPr>
      <w:r>
        <w:rPr>
          <w:rFonts w:ascii="Times New Roman" w:cs="Times New Roman" w:eastAsia="Times New Roman" w:hAnsi="Times New Roman"/>
          <w:sz w:val="16"/>
          <w:szCs w:val="16"/>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2012, to ensure that information required to be disclosed in our reports filed or submitted under the Exchange Act is (1) recorded, processed, summarized and reported within the time periods specified in the Securities and Exchange Commission’s rules and forms and (2) accumulated and communicated to the Company’s management, including our Chief Executive Officer and Chief Financial Officer,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38" w:lineRule="exact"/>
        <w:rPr>
          <w:sz w:val="20"/>
          <w:szCs w:val="20"/>
          <w:color w:val="auto"/>
        </w:rPr>
      </w:pPr>
    </w:p>
    <w:p>
      <w:pPr>
        <w:jc w:val="both"/>
        <w:ind w:right="20" w:firstLine="560"/>
        <w:spacing w:after="0" w:line="251" w:lineRule="auto"/>
        <w:rPr>
          <w:sz w:val="20"/>
          <w:szCs w:val="20"/>
          <w:color w:val="auto"/>
        </w:rPr>
      </w:pPr>
      <w:r>
        <w:rPr>
          <w:rFonts w:ascii="Times New Roman" w:cs="Times New Roman" w:eastAsia="Times New Roman" w:hAnsi="Times New Roman"/>
          <w:sz w:val="16"/>
          <w:szCs w:val="16"/>
          <w:color w:val="auto"/>
        </w:rPr>
        <w:t>During the quarter ended December 31, 2012, the Company continued its implementation of the SAP enterprise software and dealership management system. As appropriate, the Company is modifying the documentation of its internal control processes and procedures relating to this change in dealer management systems to supplement and complement existing internal controls over financial reporting. Other than the above, there were no changes in the Company’s internal control over financial reporting during the quarter ended December 31, 2012 that have materially affected, or are reasonably likely to materially affect,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Management’s Report on Internal Control over Financial Reporting</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210" w:lineRule="exact"/>
        <w:rPr>
          <w:sz w:val="20"/>
          <w:szCs w:val="20"/>
          <w:color w:val="auto"/>
        </w:rPr>
      </w:pPr>
    </w:p>
    <w:p>
      <w:pPr>
        <w:jc w:val="both"/>
        <w:ind w:firstLine="560"/>
        <w:spacing w:after="0" w:line="309" w:lineRule="auto"/>
        <w:rPr>
          <w:sz w:val="20"/>
          <w:szCs w:val="20"/>
          <w:color w:val="auto"/>
        </w:rPr>
      </w:pPr>
      <w:r>
        <w:rPr>
          <w:rFonts w:ascii="Times New Roman" w:cs="Times New Roman" w:eastAsia="Times New Roman" w:hAnsi="Times New Roman"/>
          <w:sz w:val="14"/>
          <w:szCs w:val="14"/>
          <w:color w:val="auto"/>
        </w:rPr>
        <w:t>As of December 31, 2012,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Based on the assessment, management determined that the Company maintained effective internal control over financial reporting as of December 31, 2012, based on those criteria.</w:t>
      </w:r>
    </w:p>
    <w:p>
      <w:pPr>
        <w:spacing w:after="0" w:line="171" w:lineRule="exact"/>
        <w:rPr>
          <w:sz w:val="20"/>
          <w:szCs w:val="20"/>
          <w:color w:val="auto"/>
        </w:rPr>
      </w:pPr>
    </w:p>
    <w:p>
      <w:pPr>
        <w:jc w:val="both"/>
        <w:ind w:firstLine="560"/>
        <w:spacing w:after="0" w:line="251" w:lineRule="auto"/>
        <w:rPr>
          <w:sz w:val="20"/>
          <w:szCs w:val="20"/>
          <w:color w:val="auto"/>
        </w:rPr>
      </w:pPr>
      <w:r>
        <w:rPr>
          <w:rFonts w:ascii="Times New Roman" w:cs="Times New Roman" w:eastAsia="Times New Roman" w:hAnsi="Times New Roman"/>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2012. The report, which expresses an unqualified opinion on the effectiveness of the Company’s internal control over financial reporting as of December 31, 2012, is included in this Item 9A under the heading “Attestation Report of Independent Registered Public Accounting Firm.”</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i w:val="1"/>
          <w:iCs w:val="1"/>
          <w:color w:val="auto"/>
        </w:rPr>
        <w:t>Attestation Report of Independent Registered Public Accounting Firm</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Internal Control over Financial Reporting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 Rush Enterprises, Inc.</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have audited Rush Enterprises, Inc. and subsidiaries’ internal control over financial reporting as of December 31, 2012, based on criteria established in Internal Control − Integrated Framework issued by the Committee of Sponsoring Organizations of the Treadway Commission (the COSO criteria). Rush Enterprises,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our opinion, Rush Enterprises, Inc. and subsidiaries maintained, in all material respects, effective internal control over financial reporting as of December 31, 2012, based on the COSO criteria.</w:t>
      </w:r>
    </w:p>
    <w:p>
      <w:pPr>
        <w:spacing w:after="0" w:line="19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the consolidated balance sheets of Rush Enterprises, Inc. and subsidiaries as of December 31, 2012, and 2011, and the related consolidated statements of income, comprehensive income, shareholders’ equity, and cash flows for each of the three years in the period ended December 31, 2012, of Rush Enterprises, Inc. and subsidiaries and our report dated March 15, 2013, expressed an unqualified opinion thereon.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Antonio, Texas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15, 2013</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62865</wp:posOffset>
            </wp:positionV>
            <wp:extent cx="727075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None.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3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information called for by Item 10 of Form 10-K is incorporated herein by reference to such information included in the Company’s Proxy Statement for the 2013 Annual Meeting of Shareholders.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Code of Ethics</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Times New Roman" w:cs="Times New Roman" w:eastAsia="Times New Roman" w:hAnsi="Times New Roman"/>
          <w:sz w:val="16"/>
          <w:szCs w:val="16"/>
          <w:u w:val="single" w:color="auto"/>
          <w:color w:val="auto"/>
        </w:rPr>
        <w:t>www.rushenterprises.com</w:t>
      </w:r>
      <w:r>
        <w:rPr>
          <w:rFonts w:ascii="Times New Roman" w:cs="Times New Roman" w:eastAsia="Times New Roman" w:hAnsi="Times New Roman"/>
          <w:sz w:val="16"/>
          <w:szCs w:val="16"/>
          <w:color w:val="auto"/>
        </w:rPr>
        <w:t xml:space="preserve"> (This website address is not intended to function as a hyperlink, and the information contained in our website is not incorporated in to this report or otherwise made part of this report). We intend to satisfy the disclosure requirements under Item 5.05 of Form 8-K regarding an amendment to, or waiver from, a provision of this code of ethics, if any, by posting such information on our website set forth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information called for by Item 11 of Form 10-K is incorporated herein by reference to such information included in the Company’s Proxy Statement for the 2013 Annual Meeting of Shareholders.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Shareholder Matters</w:t>
      </w:r>
    </w:p>
    <w:p>
      <w:pPr>
        <w:spacing w:after="0" w:line="23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information called for by Item 12 of Form 10-K, other than the equity compensation plan information set forth below, is incorporated herein by reference to such information included in the Company’s Proxy Statement for the 2013 Annual Meeting of Shareholders.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716" w:right="219" w:bottom="1440" w:gutter="0" w:footer="0" w:header="0"/>
        </w:sectPr>
      </w:pPr>
    </w:p>
    <w:bookmarkStart w:id="78" w:name="page79"/>
    <w:bookmarkEnd w:id="78"/>
    <w:p>
      <w:pPr>
        <w:ind w:left="7"/>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38"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The Equity Compensation Plan Information Table provides information as of December 31, 2012, with respect to shares of Class A and Class B Common Stock that may be issued under our existing equity compensation plans, including the Rush Enterprises, Inc. 2006 Non-Employee Director Stock Plan, the Rush Enterprises, Inc. 2007 Long-Term Incentive Plan, The Rush Enterprises, Inc. Long-Term Incentive Plan, as amended (adopted by the Company’s shareholders in May 1996), and the Rush Enterprises, Inc. 1997 Non-Employee Director Stock Option Plan, as amended.</w:t>
      </w:r>
    </w:p>
    <w:p>
      <w:pPr>
        <w:spacing w:after="0" w:line="208"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404"/>
        </w:trPr>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Number of securities to be</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Number of securities remaining</w:t>
            </w:r>
          </w:p>
        </w:tc>
      </w:tr>
      <w:tr>
        <w:trPr>
          <w:trHeight w:val="187"/>
        </w:trPr>
        <w:tc>
          <w:tcPr>
            <w:tcW w:w="5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issued upon exercise of</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Weighted-average exercise</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available for future issuance</w:t>
            </w:r>
          </w:p>
        </w:tc>
      </w:tr>
      <w:tr>
        <w:trPr>
          <w:trHeight w:val="187"/>
        </w:trPr>
        <w:tc>
          <w:tcPr>
            <w:tcW w:w="5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outstanding options, warrants</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price of outstanding options,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under equity compensation</w:t>
            </w:r>
          </w:p>
        </w:tc>
      </w:tr>
      <w:tr>
        <w:trPr>
          <w:trHeight w:val="187"/>
        </w:trPr>
        <w:tc>
          <w:tcPr>
            <w:tcW w:w="5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and rights as of</w:t>
            </w:r>
          </w:p>
        </w:tc>
        <w:tc>
          <w:tcPr>
            <w:tcW w:w="200" w:type="dxa"/>
            <w:vAlign w:val="bottom"/>
          </w:tcPr>
          <w:p>
            <w:pPr>
              <w:spacing w:after="0"/>
              <w:rPr>
                <w:sz w:val="16"/>
                <w:szCs w:val="16"/>
                <w:color w:val="auto"/>
              </w:rPr>
            </w:pPr>
          </w:p>
        </w:tc>
        <w:tc>
          <w:tcPr>
            <w:tcW w:w="176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warrants and rights as of</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plans as of December 31, 2012 (excluding</w:t>
            </w:r>
          </w:p>
        </w:tc>
      </w:tr>
      <w:tr>
        <w:trPr>
          <w:trHeight w:val="187"/>
        </w:trPr>
        <w:tc>
          <w:tcPr>
            <w:tcW w:w="5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December 31, 2012</w:t>
            </w:r>
          </w:p>
        </w:tc>
        <w:tc>
          <w:tcPr>
            <w:tcW w:w="200" w:type="dxa"/>
            <w:vAlign w:val="bottom"/>
          </w:tcPr>
          <w:p>
            <w:pPr>
              <w:spacing w:after="0"/>
              <w:rPr>
                <w:sz w:val="16"/>
                <w:szCs w:val="16"/>
                <w:color w:val="auto"/>
              </w:rPr>
            </w:pPr>
          </w:p>
        </w:tc>
        <w:tc>
          <w:tcPr>
            <w:tcW w:w="176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8"/>
              </w:rPr>
              <w:t>December 31, 2012</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securities reflected in column (a))</w:t>
            </w:r>
          </w:p>
        </w:tc>
      </w:tr>
      <w:tr>
        <w:trPr>
          <w:trHeight w:val="203"/>
        </w:trPr>
        <w:tc>
          <w:tcPr>
            <w:tcW w:w="560" w:type="dxa"/>
            <w:vAlign w:val="bottom"/>
          </w:tcPr>
          <w:p>
            <w:pPr>
              <w:spacing w:after="0"/>
              <w:rPr>
                <w:sz w:val="17"/>
                <w:szCs w:val="17"/>
                <w:color w:val="auto"/>
              </w:rPr>
            </w:pPr>
          </w:p>
        </w:tc>
        <w:tc>
          <w:tcPr>
            <w:tcW w:w="3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Plan Category</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200" w:type="dxa"/>
            <w:vAlign w:val="bottom"/>
          </w:tcPr>
          <w:p>
            <w:pPr>
              <w:spacing w:after="0"/>
              <w:rPr>
                <w:sz w:val="17"/>
                <w:szCs w:val="17"/>
                <w:color w:val="auto"/>
              </w:rPr>
            </w:pPr>
          </w:p>
        </w:tc>
        <w:tc>
          <w:tcPr>
            <w:tcW w:w="176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rPr>
              <w:t>(b)</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r>
      <w:tr>
        <w:trPr>
          <w:trHeight w:val="187"/>
        </w:trPr>
        <w:tc>
          <w:tcPr>
            <w:tcW w:w="560" w:type="dxa"/>
            <w:vAlign w:val="bottom"/>
          </w:tcPr>
          <w:p>
            <w:pPr>
              <w:spacing w:after="0"/>
              <w:rPr>
                <w:sz w:val="16"/>
                <w:szCs w:val="16"/>
                <w:color w:val="auto"/>
              </w:rPr>
            </w:pPr>
          </w:p>
        </w:tc>
        <w:tc>
          <w:tcPr>
            <w:tcW w:w="36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w w:val="98"/>
              </w:rPr>
              <w:t>Equity compensation plans approved by security holders</w:t>
            </w:r>
          </w:p>
        </w:tc>
        <w:tc>
          <w:tcPr>
            <w:tcW w:w="202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4,196,384</w:t>
            </w:r>
          </w:p>
        </w:tc>
        <w:tc>
          <w:tcPr>
            <w:tcW w:w="20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0FFFF"/>
          </w:tcPr>
          <w:p>
            <w:pPr>
              <w:jc w:val="right"/>
              <w:ind w:right="2"/>
              <w:spacing w:after="0"/>
              <w:rPr>
                <w:sz w:val="20"/>
                <w:szCs w:val="20"/>
                <w:color w:val="auto"/>
              </w:rPr>
            </w:pPr>
            <w:r>
              <w:rPr>
                <w:rFonts w:ascii="Times New Roman" w:cs="Times New Roman" w:eastAsia="Times New Roman" w:hAnsi="Times New Roman"/>
                <w:sz w:val="16"/>
                <w:szCs w:val="16"/>
                <w:color w:val="auto"/>
              </w:rPr>
              <w:t>13.89</w:t>
            </w:r>
          </w:p>
        </w:tc>
        <w:tc>
          <w:tcPr>
            <w:tcW w:w="2860" w:type="dxa"/>
            <w:vAlign w:val="bottom"/>
            <w:shd w:val="clear" w:color="auto" w:fill="C0FFFF"/>
          </w:tcPr>
          <w:p>
            <w:pPr>
              <w:jc w:val="right"/>
              <w:ind w:right="62"/>
              <w:spacing w:after="0"/>
              <w:rPr>
                <w:sz w:val="20"/>
                <w:szCs w:val="20"/>
                <w:color w:val="auto"/>
              </w:rPr>
            </w:pPr>
            <w:r>
              <w:rPr>
                <w:rFonts w:ascii="Times New Roman" w:cs="Times New Roman" w:eastAsia="Times New Roman" w:hAnsi="Times New Roman"/>
                <w:sz w:val="16"/>
                <w:szCs w:val="16"/>
                <w:color w:val="auto"/>
              </w:rPr>
              <w:t>1,384,887</w:t>
            </w:r>
          </w:p>
        </w:tc>
      </w:tr>
      <w:tr>
        <w:trPr>
          <w:trHeight w:val="170"/>
        </w:trPr>
        <w:tc>
          <w:tcPr>
            <w:tcW w:w="560" w:type="dxa"/>
            <w:vAlign w:val="bottom"/>
          </w:tcPr>
          <w:p>
            <w:pPr>
              <w:spacing w:after="0"/>
              <w:rPr>
                <w:sz w:val="14"/>
                <w:szCs w:val="14"/>
                <w:color w:val="auto"/>
              </w:rPr>
            </w:pPr>
          </w:p>
        </w:tc>
        <w:tc>
          <w:tcPr>
            <w:tcW w:w="360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203"/>
        </w:trPr>
        <w:tc>
          <w:tcPr>
            <w:tcW w:w="56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holders</w:t>
            </w:r>
          </w:p>
        </w:tc>
        <w:tc>
          <w:tcPr>
            <w:tcW w:w="2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560" w:type="dxa"/>
            <w:vAlign w:val="bottom"/>
          </w:tcPr>
          <w:p>
            <w:pPr>
              <w:spacing w:after="0"/>
              <w:rPr>
                <w:sz w:val="16"/>
                <w:szCs w:val="16"/>
                <w:color w:val="auto"/>
              </w:rPr>
            </w:pPr>
          </w:p>
        </w:tc>
        <w:tc>
          <w:tcPr>
            <w:tcW w:w="360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w:t>
            </w:r>
          </w:p>
        </w:tc>
        <w:tc>
          <w:tcPr>
            <w:tcW w:w="202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4,196,384</w:t>
            </w:r>
          </w:p>
        </w:tc>
        <w:tc>
          <w:tcPr>
            <w:tcW w:w="200" w:type="dxa"/>
            <w:vAlign w:val="bottom"/>
            <w:shd w:val="clear" w:color="auto" w:fill="C0FFFF"/>
          </w:tcPr>
          <w:p>
            <w:pPr>
              <w:spacing w:after="0"/>
              <w:rPr>
                <w:sz w:val="16"/>
                <w:szCs w:val="16"/>
                <w:color w:val="auto"/>
              </w:rPr>
            </w:pPr>
          </w:p>
        </w:tc>
        <w:tc>
          <w:tcPr>
            <w:tcW w:w="1760" w:type="dxa"/>
            <w:vAlign w:val="bottom"/>
            <w:shd w:val="clear" w:color="auto" w:fill="C0FFFF"/>
          </w:tcPr>
          <w:p>
            <w:pPr>
              <w:spacing w:after="0"/>
              <w:rPr>
                <w:sz w:val="16"/>
                <w:szCs w:val="16"/>
                <w:color w:val="auto"/>
              </w:rPr>
            </w:pPr>
          </w:p>
        </w:tc>
        <w:tc>
          <w:tcPr>
            <w:tcW w:w="286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1,384,887</w:t>
            </w:r>
            <w:r>
              <w:rPr>
                <w:rFonts w:ascii="Times New Roman" w:cs="Times New Roman" w:eastAsia="Times New Roman" w:hAnsi="Times New Roman"/>
                <w:sz w:val="10"/>
                <w:szCs w:val="1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7404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0410" cy="7620"/>
                    </a:xfrm>
                    <a:prstGeom prst="rect">
                      <a:avLst/>
                    </a:prstGeom>
                    <a:noFill/>
                  </pic:spPr>
                </pic:pic>
              </a:graphicData>
            </a:graphic>
          </wp:anchor>
        </w:drawing>
      </w:r>
    </w:p>
    <w:p>
      <w:pPr>
        <w:spacing w:after="0" w:line="395" w:lineRule="exact"/>
        <w:rPr>
          <w:sz w:val="20"/>
          <w:szCs w:val="20"/>
          <w:color w:val="auto"/>
        </w:rPr>
      </w:pPr>
    </w:p>
    <w:p>
      <w:pPr>
        <w:ind w:left="567" w:hanging="567"/>
        <w:spacing w:after="0" w:line="267" w:lineRule="auto"/>
        <w:tabs>
          <w:tab w:leader="none" w:pos="5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1,384,887 shares that may be issued in the form of restricted stock under the Rush Enterprises, Inc. 2006 Non-Employee Director Stock Plan and the Rush Enterprises, Inc. 2007 Long-Term Incentive Plan.</w:t>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Class B Common Stock:</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4"/>
        </w:trPr>
        <w:tc>
          <w:tcPr>
            <w:tcW w:w="4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6"/>
              </w:rPr>
              <w:t>Number of securities to be</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Number of securities remaining</w:t>
            </w:r>
          </w:p>
        </w:tc>
      </w:tr>
      <w:tr>
        <w:trPr>
          <w:trHeight w:val="187"/>
        </w:trPr>
        <w:tc>
          <w:tcPr>
            <w:tcW w:w="4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6"/>
              </w:rPr>
              <w:t>issued upon exercise of</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Weighted-average exercise</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available for future issuance under</w:t>
            </w:r>
          </w:p>
        </w:tc>
      </w:tr>
      <w:tr>
        <w:trPr>
          <w:trHeight w:val="187"/>
        </w:trPr>
        <w:tc>
          <w:tcPr>
            <w:tcW w:w="4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7"/>
              </w:rPr>
              <w:t>outstanding options, warrants</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price of outstanding options,</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equity compensation plans as of</w:t>
            </w:r>
          </w:p>
        </w:tc>
      </w:tr>
      <w:tr>
        <w:trPr>
          <w:trHeight w:val="187"/>
        </w:trPr>
        <w:tc>
          <w:tcPr>
            <w:tcW w:w="4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7"/>
              </w:rPr>
              <w:t>and rights as of</w:t>
            </w:r>
          </w:p>
        </w:tc>
        <w:tc>
          <w:tcPr>
            <w:tcW w:w="220" w:type="dxa"/>
            <w:vAlign w:val="bottom"/>
          </w:tcPr>
          <w:p>
            <w:pPr>
              <w:spacing w:after="0"/>
              <w:rPr>
                <w:sz w:val="16"/>
                <w:szCs w:val="16"/>
                <w:color w:val="auto"/>
              </w:rPr>
            </w:pPr>
          </w:p>
        </w:tc>
        <w:tc>
          <w:tcPr>
            <w:tcW w:w="180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warrants and rights as of</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December 31, 2012 (excluding</w:t>
            </w:r>
          </w:p>
        </w:tc>
      </w:tr>
      <w:tr>
        <w:trPr>
          <w:trHeight w:val="187"/>
        </w:trPr>
        <w:tc>
          <w:tcPr>
            <w:tcW w:w="4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December 31, 2012</w:t>
            </w:r>
          </w:p>
        </w:tc>
        <w:tc>
          <w:tcPr>
            <w:tcW w:w="220" w:type="dxa"/>
            <w:vAlign w:val="bottom"/>
          </w:tcPr>
          <w:p>
            <w:pPr>
              <w:spacing w:after="0"/>
              <w:rPr>
                <w:sz w:val="16"/>
                <w:szCs w:val="16"/>
                <w:color w:val="auto"/>
              </w:rPr>
            </w:pPr>
          </w:p>
        </w:tc>
        <w:tc>
          <w:tcPr>
            <w:tcW w:w="180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December 31, 2012</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securities reflected in column (a))</w:t>
            </w:r>
          </w:p>
        </w:tc>
      </w:tr>
      <w:tr>
        <w:trPr>
          <w:trHeight w:val="203"/>
        </w:trPr>
        <w:tc>
          <w:tcPr>
            <w:tcW w:w="420" w:type="dxa"/>
            <w:vAlign w:val="bottom"/>
          </w:tcPr>
          <w:p>
            <w:pPr>
              <w:spacing w:after="0"/>
              <w:rPr>
                <w:sz w:val="17"/>
                <w:szCs w:val="17"/>
                <w:color w:val="auto"/>
              </w:rPr>
            </w:pPr>
          </w:p>
        </w:tc>
        <w:tc>
          <w:tcPr>
            <w:tcW w:w="404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Plan Category</w:t>
            </w:r>
          </w:p>
        </w:tc>
        <w:tc>
          <w:tcPr>
            <w:tcW w:w="22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89"/>
              </w:rPr>
              <w:t>(a)</w:t>
            </w:r>
          </w:p>
        </w:tc>
        <w:tc>
          <w:tcPr>
            <w:tcW w:w="220" w:type="dxa"/>
            <w:vAlign w:val="bottom"/>
          </w:tcPr>
          <w:p>
            <w:pPr>
              <w:spacing w:after="0"/>
              <w:rPr>
                <w:sz w:val="17"/>
                <w:szCs w:val="17"/>
                <w:color w:val="auto"/>
              </w:rPr>
            </w:pPr>
          </w:p>
        </w:tc>
        <w:tc>
          <w:tcPr>
            <w:tcW w:w="180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(b)</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r>
      <w:tr>
        <w:trPr>
          <w:trHeight w:val="187"/>
        </w:trPr>
        <w:tc>
          <w:tcPr>
            <w:tcW w:w="420" w:type="dxa"/>
            <w:vAlign w:val="bottom"/>
          </w:tcPr>
          <w:p>
            <w:pPr>
              <w:spacing w:after="0"/>
              <w:rPr>
                <w:sz w:val="16"/>
                <w:szCs w:val="16"/>
                <w:color w:val="auto"/>
              </w:rPr>
            </w:pPr>
          </w:p>
        </w:tc>
        <w:tc>
          <w:tcPr>
            <w:tcW w:w="40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24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72,996</w:t>
            </w:r>
          </w:p>
        </w:tc>
        <w:tc>
          <w:tcPr>
            <w:tcW w:w="22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4.73</w:t>
            </w:r>
          </w:p>
        </w:tc>
        <w:tc>
          <w:tcPr>
            <w:tcW w:w="2380" w:type="dxa"/>
            <w:vAlign w:val="bottom"/>
            <w:shd w:val="clear" w:color="auto" w:fill="C0FFFF"/>
          </w:tcPr>
          <w:p>
            <w:pPr>
              <w:jc w:val="right"/>
              <w:ind w:right="62"/>
              <w:spacing w:after="0"/>
              <w:rPr>
                <w:sz w:val="20"/>
                <w:szCs w:val="20"/>
                <w:color w:val="auto"/>
              </w:rPr>
            </w:pPr>
            <w:r>
              <w:rPr>
                <w:rFonts w:ascii="Times New Roman" w:cs="Times New Roman" w:eastAsia="Times New Roman" w:hAnsi="Times New Roman"/>
                <w:sz w:val="16"/>
                <w:szCs w:val="16"/>
                <w:color w:val="auto"/>
              </w:rPr>
              <w:t>450,000</w:t>
            </w:r>
          </w:p>
        </w:tc>
      </w:tr>
      <w:tr>
        <w:trPr>
          <w:trHeight w:val="187"/>
        </w:trPr>
        <w:tc>
          <w:tcPr>
            <w:tcW w:w="4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420" w:type="dxa"/>
            <w:vAlign w:val="bottom"/>
          </w:tcPr>
          <w:p>
            <w:pPr>
              <w:spacing w:after="0"/>
              <w:rPr>
                <w:sz w:val="16"/>
                <w:szCs w:val="16"/>
                <w:color w:val="auto"/>
              </w:rPr>
            </w:pPr>
          </w:p>
        </w:tc>
        <w:tc>
          <w:tcPr>
            <w:tcW w:w="40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Total</w:t>
            </w:r>
          </w:p>
        </w:tc>
        <w:tc>
          <w:tcPr>
            <w:tcW w:w="2240" w:type="dxa"/>
            <w:vAlign w:val="bottom"/>
            <w:shd w:val="clear" w:color="auto" w:fill="C0FFFF"/>
          </w:tcPr>
          <w:p>
            <w:pPr>
              <w:jc w:val="right"/>
              <w:ind w:right="22"/>
              <w:spacing w:after="0"/>
              <w:rPr>
                <w:sz w:val="20"/>
                <w:szCs w:val="20"/>
                <w:color w:val="auto"/>
              </w:rPr>
            </w:pPr>
            <w:r>
              <w:rPr>
                <w:rFonts w:ascii="Times New Roman" w:cs="Times New Roman" w:eastAsia="Times New Roman" w:hAnsi="Times New Roman"/>
                <w:sz w:val="16"/>
                <w:szCs w:val="16"/>
                <w:color w:val="auto"/>
              </w:rPr>
              <w:t>72,996</w:t>
            </w:r>
          </w:p>
        </w:tc>
        <w:tc>
          <w:tcPr>
            <w:tcW w:w="220" w:type="dxa"/>
            <w:vAlign w:val="bottom"/>
            <w:shd w:val="clear" w:color="auto" w:fill="C0FFFF"/>
          </w:tcPr>
          <w:p>
            <w:pPr>
              <w:spacing w:after="0"/>
              <w:rPr>
                <w:sz w:val="16"/>
                <w:szCs w:val="16"/>
                <w:color w:val="auto"/>
              </w:rPr>
            </w:pPr>
          </w:p>
        </w:tc>
        <w:tc>
          <w:tcPr>
            <w:tcW w:w="1800" w:type="dxa"/>
            <w:vAlign w:val="bottom"/>
            <w:shd w:val="clear" w:color="auto" w:fill="C0FFFF"/>
          </w:tcPr>
          <w:p>
            <w:pPr>
              <w:spacing w:after="0"/>
              <w:rPr>
                <w:sz w:val="16"/>
                <w:szCs w:val="16"/>
                <w:color w:val="auto"/>
              </w:rPr>
            </w:pPr>
          </w:p>
        </w:tc>
        <w:tc>
          <w:tcPr>
            <w:tcW w:w="2380" w:type="dxa"/>
            <w:vAlign w:val="bottom"/>
            <w:shd w:val="clear" w:color="auto" w:fill="C0FFFF"/>
          </w:tcPr>
          <w:p>
            <w:pPr>
              <w:jc w:val="right"/>
              <w:spacing w:after="0"/>
              <w:rPr>
                <w:sz w:val="20"/>
                <w:szCs w:val="20"/>
                <w:color w:val="auto"/>
              </w:rPr>
            </w:pPr>
            <w:r>
              <w:rPr>
                <w:rFonts w:ascii="Times New Roman" w:cs="Times New Roman" w:eastAsia="Times New Roman" w:hAnsi="Times New Roman"/>
                <w:sz w:val="16"/>
                <w:szCs w:val="16"/>
                <w:color w:val="auto"/>
              </w:rPr>
              <w:t>450,000</w:t>
            </w:r>
            <w:r>
              <w:rPr>
                <w:rFonts w:ascii="Times New Roman" w:cs="Times New Roman" w:eastAsia="Times New Roman" w:hAnsi="Times New Roman"/>
                <w:sz w:val="10"/>
                <w:szCs w:val="1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404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0410" cy="7620"/>
                    </a:xfrm>
                    <a:prstGeom prst="rect">
                      <a:avLst/>
                    </a:prstGeom>
                    <a:noFill/>
                  </pic:spPr>
                </pic:pic>
              </a:graphicData>
            </a:graphic>
          </wp:anchor>
        </w:drawing>
      </w:r>
    </w:p>
    <w:p>
      <w:pPr>
        <w:spacing w:after="0" w:line="372" w:lineRule="exact"/>
        <w:rPr>
          <w:sz w:val="20"/>
          <w:szCs w:val="20"/>
          <w:color w:val="auto"/>
        </w:rPr>
      </w:pPr>
    </w:p>
    <w:p>
      <w:pPr>
        <w:ind w:left="5647" w:right="2160" w:hanging="5647"/>
        <w:spacing w:after="0" w:line="739" w:lineRule="auto"/>
        <w:tabs>
          <w:tab w:leader="none" w:pos="56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450,000 shares that may be issued in the form of restricted stock under the Rush Enterprises, Inc. 2007 Long-Term Incentive Plan.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27075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7"/>
          </w:cols>
          <w:pgMar w:left="233" w:top="482"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3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information called for by Item 13 of Form 10-K is incorporated herein by reference to such information included in the Company’s Proxy Statement for the 2013 Annual Meeting of Shareholders.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3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information called for by Item 14 of Form 10-K is incorporated herein by reference to such information included in the Company’s Proxy Statement for the 2013 Annual Meeting of Shareholders.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0" w:name="page81"/>
    <w:bookmarkEnd w:id="80"/>
    <w:p>
      <w:pPr>
        <w:ind w:left="5620"/>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(a)(1)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in Item 8 of Part II of this annual report on Form 10-K are the following: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Balance Sheets as of December 31, 2012, and 2011;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Statements of Income for the years ended December 31, 2012, 2011, and 2010;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Statements of Comprehensive Income for the years ended December 31, 2012, 2011, and 2010;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Statements of Shareholders’ Equity for the years ended December 31, 2012, 2011, and 2010;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2012, 2011, and 2010;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(a)(2) Financial Statement Schedules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schedules are omitted as the required information is inapplicable or the information is presented in the consolidated financial statements or related notes.</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727075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(a)(3)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Index to Exhibits:</w:t>
            </w:r>
          </w:p>
        </w:tc>
      </w:tr>
      <w:tr>
        <w:trPr>
          <w:trHeight w:val="386"/>
        </w:trPr>
        <w:tc>
          <w:tcPr>
            <w:tcW w:w="760" w:type="dxa"/>
            <w:vAlign w:val="bottom"/>
            <w:gridSpan w:val="3"/>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46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Identification of Exhibit</w:t>
            </w:r>
          </w:p>
        </w:tc>
      </w:tr>
      <w:tr>
        <w:trPr>
          <w:trHeight w:val="167"/>
        </w:trPr>
        <w:tc>
          <w:tcPr>
            <w:tcW w:w="340" w:type="dxa"/>
            <w:vAlign w:val="bottom"/>
          </w:tcPr>
          <w:p>
            <w:pPr>
              <w:spacing w:after="0"/>
              <w:rPr>
                <w:sz w:val="14"/>
                <w:szCs w:val="14"/>
                <w:color w:val="auto"/>
              </w:rPr>
            </w:pPr>
          </w:p>
        </w:tc>
        <w:tc>
          <w:tcPr>
            <w:tcW w:w="42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6"/>
                <w:szCs w:val="16"/>
                <w:b w:val="1"/>
                <w:bCs w:val="1"/>
                <w:color w:val="auto"/>
                <w:w w:val="93"/>
              </w:rPr>
              <w:t>No.</w:t>
            </w:r>
          </w:p>
        </w:tc>
        <w:tc>
          <w:tcPr>
            <w:tcW w:w="46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4460" w:type="dxa"/>
            <w:vAlign w:val="bottom"/>
          </w:tcPr>
          <w:p>
            <w:pPr>
              <w:spacing w:after="0"/>
              <w:rPr>
                <w:sz w:val="14"/>
                <w:szCs w:val="14"/>
                <w:color w:val="auto"/>
              </w:rPr>
            </w:pPr>
          </w:p>
        </w:tc>
      </w:tr>
      <w:tr>
        <w:trPr>
          <w:trHeight w:val="372"/>
        </w:trPr>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9"/>
              </w:rPr>
              <w:t>2.1</w:t>
            </w: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7"/>
              </w:rPr>
              <w:t>Asset Purchase Agreement, dated March 19, 2010 (incorporated herein by reference to Exhibit 2.1 of the Company’s Current Report on Form 8-K (File No. 000-20797)</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filed March 25, 2010)</w:t>
            </w:r>
          </w:p>
        </w:tc>
      </w:tr>
      <w:tr>
        <w:trPr>
          <w:trHeight w:val="357"/>
        </w:trPr>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9"/>
              </w:rPr>
              <w:t>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Amendment #1, dated as of May 24, 2010, to Asset Purchase Agreement, dated March 19, 2010 (incorporated herein by reference to Exhibit 2.1 of the Company’s</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Current Report on Form 8-K (File No. 000-20797) filed May 26, 2010)</w:t>
            </w:r>
          </w:p>
        </w:tc>
      </w:tr>
      <w:tr>
        <w:trPr>
          <w:trHeight w:val="357"/>
        </w:trPr>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9"/>
              </w:rPr>
              <w:t>3.1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7"/>
              </w:rPr>
              <w:t>Restated Articles of Incorporation of Rush Enterprises, Inc. (incorporated herein by reference to Exhibit 3.1 of the Company’s Quarterly Report on Form 10-Q (File No.</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000-20797) for the quarter ended June 30, 2008)</w:t>
            </w:r>
          </w:p>
        </w:tc>
      </w:tr>
      <w:tr>
        <w:trPr>
          <w:trHeight w:val="357"/>
        </w:trPr>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9"/>
              </w:rPr>
              <w:t>3.2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7"/>
              </w:rPr>
              <w:t>Rush Enterprises, Inc. Amended and Restated Bylaws (incorporated herein by reference to Exhibit 3.2 of the Company’s Quarterly Report on Form 10-Q (File No. 000-</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20797) filed for the quarter ended June 30, 2009)</w:t>
            </w:r>
          </w:p>
        </w:tc>
      </w:tr>
      <w:tr>
        <w:trPr>
          <w:trHeight w:val="357"/>
        </w:trPr>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9"/>
              </w:rPr>
              <w:t>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Specimen of certificate representing Common Stock (now Class B Common Stock), $.01 par value, of Rush Enterprises, Inc. (incorporated herein by reference to</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Exhibit 4.1 of the Company’s Registration Statement No. 333-03346 on Form S-1 filed April 10, 1996)</w:t>
            </w:r>
          </w:p>
        </w:tc>
      </w:tr>
      <w:tr>
        <w:trPr>
          <w:trHeight w:val="357"/>
        </w:trPr>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9"/>
              </w:rPr>
              <w:t>4.2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Specimen of certificate representing Class A Common Stock, $.01 par value, of the Registrant (incorporated herein by reference to Exhibit 4.1 of the Company’s</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Registration Statement on Form 8-A filed July 9, 2002)</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Right of First Refusal dated December 19, 2012 between Peterbilt Motors Company and W. Marvin Rush (incorporated herein by reference to Exhibit 10.2 of the</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Company’s Current Report on Form 8-K (File No. 000-20797) filed December 20, 2012)</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9"/>
              </w:rPr>
              <w:t>Right of First Refusal dated December 19, 2012 between Peterbilt Motors Company and W.M. “Rusty” Rush (incorporated herein by reference to Exhibit 10. of the</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Company’s Current Report on Form 8-K (File No. 000-20797) filed December 20, 2012)</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6"/>
              </w:rPr>
              <w:t>Rush Enterprises, Inc. Long-Term Incentive Plan, as amended (incorporated herein by reference to Exhibit 4.1 of the Company’s Registration Statement No. 333-117305</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on Form S-8 filed July 12, 2004)</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8"/>
              </w:rPr>
              <w:t>Form of Rush Enterprises, Inc. Long-Term Incentive Plan Stock Option Agreement (incorporated herein by reference to Exhibit 10.85 of the Company’s Registration</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Statement No. 333-03346 on Form S-1 filed April 10, 1996)</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10.5+</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9"/>
              </w:rPr>
              <w:t>Rush Enterprises, Inc. Amended and Restated 1997 Non-Employee Director Stock Option Plan, as amended (incorporated herein by reference to Exhibit 10.1 of the</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Company’s Quarterly Report on Form 10-Q (File No. 000-20797) for the quarter ended December 31, 2010)</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8"/>
              </w:rPr>
              <w:t>Form of Rush Enterprises, Inc. 1997 Non-Employee Director Stock Option Agreement (incorporated herein by reference to Exhibit 4.4 of the Company’s Registration</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Statement No. 333-117305 on Form S-8 filed July 12, 2004)</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8"/>
              </w:rPr>
              <w:t>Rush Enterprises, Inc. 2004 Employee Stock Purchase Plan, as amended (incorporated herein by reference to Exhibit 4.1 of the Company’s Registration Statement No.</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333-121355 on Form S-8 filed December 17, 2004)</w:t>
            </w:r>
          </w:p>
        </w:tc>
      </w:tr>
      <w:tr>
        <w:trPr>
          <w:trHeight w:val="357"/>
        </w:trPr>
        <w:tc>
          <w:tcPr>
            <w:tcW w:w="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tcPr>
          <w:p>
            <w:pPr>
              <w:spacing w:after="0"/>
              <w:rPr>
                <w:sz w:val="24"/>
                <w:szCs w:val="24"/>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7"/>
              </w:rPr>
              <w:t>Rush Enterprises, Inc. Amended and Restated 2006 Non-Employee Director Stock Plan (incorporated herein by reference to Exhibit 10.10 of the Company’s Form 10-K</w:t>
            </w:r>
          </w:p>
        </w:tc>
      </w:tr>
      <w:tr>
        <w:trPr>
          <w:trHeight w:val="203"/>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(File No. 000-20797) for the year ended December 31, 2010)</w:t>
            </w:r>
          </w:p>
        </w:tc>
      </w:tr>
      <w:tr>
        <w:trPr>
          <w:trHeight w:val="525"/>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20" w:type="dxa"/>
            <w:vAlign w:val="bottom"/>
            <w:gridSpan w:val="2"/>
          </w:tcPr>
          <w:p>
            <w:pPr>
              <w:ind w:left="4880"/>
              <w:spacing w:after="0"/>
              <w:rPr>
                <w:sz w:val="20"/>
                <w:szCs w:val="20"/>
                <w:color w:val="auto"/>
              </w:rPr>
            </w:pPr>
            <w:r>
              <w:rPr>
                <w:rFonts w:ascii="Times New Roman" w:cs="Times New Roman" w:eastAsia="Times New Roman" w:hAnsi="Times New Roman"/>
                <w:sz w:val="16"/>
                <w:szCs w:val="16"/>
                <w:color w:val="auto"/>
              </w:rPr>
              <w:t>79</w:t>
            </w:r>
          </w:p>
        </w:tc>
        <w:tc>
          <w:tcPr>
            <w:tcW w:w="4460" w:type="dxa"/>
            <w:vAlign w:val="bottom"/>
          </w:tcPr>
          <w:p>
            <w:pPr>
              <w:spacing w:after="0"/>
              <w:rPr>
                <w:sz w:val="24"/>
                <w:szCs w:val="24"/>
                <w:color w:val="auto"/>
              </w:rPr>
            </w:pPr>
          </w:p>
        </w:tc>
      </w:tr>
      <w:tr>
        <w:trPr>
          <w:trHeight w:val="101"/>
        </w:trPr>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10.9+</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Rush Enterprises, Inc. 2006 Non-Employee Director Stock Option Agreement (incorporated herein by reference to Exhibit 4.4 of the Company’s</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Registration Statement No. 333-138556 on Form S-8 filed November 9, 2006)</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10.10+</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Form of Rush Enterprises, Inc. 2006 Non-Employee Director Stock Plan Restricted Stock Unit Award Agreement (incorporated herein by reference to Exhibit 10.1</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the Company’s Form 10-Q (File No. 000-20797) for the quarter ended June 30, 2012)</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10.11+</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Rush Enterprises, Inc. 2007 Long-Term Incentive Plan (incorporated herein by reference to Appendix A to the Company’s Definitive Proxy Statement on Schedule</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14A filed April 6, 2010)</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10.12+</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Form of Rush Enterprises Inc. 2007 Long-Term Incentive Plan Restricted Stock Agreement (incorporated herein by reference to Exhibit 10.13 of the Company’s</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10-K (File No. 000-20797) for the year ended December 31, 2008)</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10.13+</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Form of Rush Enterprises, Inc. 2007 Long-Term Incentive Plan Restricted Stock Unit Agreement (incorporated herein by reference to Exhibit 10.1 of the Company’s</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Report on Form 8-K (File No. 000-20797) filed March 14, 2012)</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10.14+</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Form of Rush Enterprises, Inc. 2007 Long-Term Incentive Plan Stock Option Agreement (incorporated herein by reference to Exhibit 4.4 of the Company’s Form S-</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 (File No. 333-144821) filed July 24, 2007)</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10.15</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Form of dealer agreement between Peterbilt Motors Company and Rush Truck Centers (incorporated herein by reference to Exhibit 10.18 of the Company’s Form</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10-K (File No. 000-20797) for the year ended December 31, 1999)</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10.16</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Amended and Restated Amendment to Dealer Sales and Service Agreements, dated December 19, 2012, by and among Peterbilt Motors Company, a division of</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PACCAR, Inc., Rush Enterprises, Inc. and the subsidiaries of Rush Enterprises, Inc. named a party therein (incorporated herein by reference to Exhibit 10.1 of the</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Company's Form 8-K (File No. 000-20797) filed December 20, 2012)</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10.17</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Guaranty Agreement, dated December 31, 2010, by Rush Enterprises, Inc. and each other Guarantor party thereto in favor of General Electric Capital Corporation.</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(incorporated herein by reference to Exhibit 10.2 of the Company’s Current Report on Form 8-K (File No. 000-20797) filed January 6, 2011)</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10.18</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Amended and Restated Credit Agreement, dated January 31, 2012, among Rush Truck Centers of Alabama, Inc., Rush Truck Centers of Arizona, Inc., Rush Truck</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Centers of California, Inc., Rush Medium Duty Truck Centers of Colorado, Inc., Rush Truck Centers of Colorado, Inc., Rush Truck Centers of Florida, Inc., Rush</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Truck Centers of Georgia, Inc., Rush Truck Centers of New Mexico, Inc., Rush Truck Centers of Oklahoma, Inc., Rush Truck Centers of Tennessee, Inc., Rush</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Truck Centers of North Carolina, Inc., Rush Truck Centers of Idaho, Inc., Rush Truck Centers of Utah, Inc., and Rush Truck Centers of Oregon, Inc., Rush Truck</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Centers of Texas, L.P., Rush Enterprises, Inc., the Lenders party thereto, and General Electric Capital Corporation (incorporated herein by reference to Exhibit 10.1</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the Company’s Current Report on Form 8-K (File No. 000-20797) filed February 2, 2012)</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10.19</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 Amendment to Credit Agreement, dated March 29, 2012, by and among Rush Truck Centers of Alabama, Inc., Rush Truck Centers of Arizona, Inc., Rush</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Truck Centers of California, Inc., Rush Medium Duty Truck Centers of Colorado, Inc., Rush Truck Centers of Colorado, Inc., Rush Truck Centers of Florida, Inc.,</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Rush Truck Centers of Georgia, Inc., Rush Truck Centers of New Mexico, Inc., Rush Truck Centers of Oklahoma, Inc., Rush Truck Centers of Tennessee, Inc., Rush</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Truck Centers of North Carolina, Inc., Rush Truck Centers of Idaho, Inc., Rush Truck Centers of Utah, Inc., and Rush Truck Centers of Oregon, Inc., Rush Truck</w:t>
            </w:r>
          </w:p>
        </w:tc>
      </w:tr>
      <w:tr>
        <w:trPr>
          <w:trHeight w:val="187"/>
        </w:trPr>
        <w:tc>
          <w:tcPr>
            <w:tcW w:w="860" w:type="dxa"/>
            <w:vAlign w:val="bottom"/>
          </w:tcPr>
          <w:p>
            <w:pPr>
              <w:spacing w:after="0"/>
              <w:rPr>
                <w:sz w:val="16"/>
                <w:szCs w:val="16"/>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Centers of Texas, L.P., Rush Enterprises, Inc., the Lenders party thereto, and General Electric Capital Corporation (incorporated herein by reference to Exhibit 10.3</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the Company’s Form 10-Q (File No. 000-20797) for the quarter ended March 31, 2012)</w:t>
            </w:r>
          </w:p>
        </w:tc>
      </w:tr>
      <w:tr>
        <w:trPr>
          <w:trHeight w:val="357"/>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10.20+</w:t>
            </w: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Rush Enterprises, Inc. Deferred Compensation Plan (incorporated herein by reference to Exhibit 10.1 of the Company’s Current Report on Form 8-K (File No. 000-</w:t>
            </w:r>
          </w:p>
        </w:tc>
      </w:tr>
      <w:tr>
        <w:trPr>
          <w:trHeight w:val="203"/>
        </w:trPr>
        <w:tc>
          <w:tcPr>
            <w:tcW w:w="860" w:type="dxa"/>
            <w:vAlign w:val="bottom"/>
          </w:tcPr>
          <w:p>
            <w:pPr>
              <w:spacing w:after="0"/>
              <w:rPr>
                <w:sz w:val="17"/>
                <w:szCs w:val="17"/>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20797) filed November 12, 2010)</w:t>
            </w:r>
          </w:p>
        </w:tc>
      </w:tr>
      <w:tr>
        <w:trPr>
          <w:trHeight w:val="525"/>
        </w:trPr>
        <w:tc>
          <w:tcPr>
            <w:tcW w:w="86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Times New Roman" w:cs="Times New Roman" w:eastAsia="Times New Roman" w:hAnsi="Times New Roman"/>
                <w:sz w:val="16"/>
                <w:szCs w:val="16"/>
                <w:color w:val="auto"/>
              </w:rPr>
              <w:t>80</w:t>
            </w:r>
          </w:p>
        </w:tc>
      </w:tr>
      <w:tr>
        <w:trPr>
          <w:trHeight w:val="101"/>
        </w:trPr>
        <w:tc>
          <w:tcPr>
            <w:tcW w:w="860" w:type="dxa"/>
            <w:vAlign w:val="bottom"/>
            <w:tcBorders>
              <w:bottom w:val="single" w:sz="8" w:color="808080"/>
            </w:tcBorders>
          </w:tcPr>
          <w:p>
            <w:pPr>
              <w:spacing w:after="0"/>
              <w:rPr>
                <w:sz w:val="8"/>
                <w:szCs w:val="8"/>
                <w:color w:val="auto"/>
              </w:rPr>
            </w:pPr>
          </w:p>
        </w:tc>
        <w:tc>
          <w:tcPr>
            <w:tcW w:w="105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7"/>
              </w:rPr>
              <w:t>Form of Indemnity Agreement (incorporated herein by reference to Exhibit 10.1 of the Company’s Current Report on Form 8-K (File No. 000-20797) filed February</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27, 2007)</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Rush Enterprises, Inc. Executive Transition Plan (incorporated herein by reference to Exhibit 10.1 of the Company’s Current Report on Form 8-K (File No. 000-</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20797) filed July 25, 2008)</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7"/>
              </w:rPr>
              <w:t>Second Amendment to Credit Agreement, dated December 31, 2012, among Rush Truck Centers of Alabama, Inc., Rush Truck Centers of Arizona, Inc., Rush Truck</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Centers of California, Inc., Rush Medium Duty Truck Centers of Colorado, Inc., Rush Truck Centers of Colorado, Inc., Rush Truck Centers of Florida, Inc., Rush</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Truck Centers of Georgia, Inc., Rush Truck Centers of New Mexico, Inc., Rush Truck Centers of Oklahoma, Inc., Rush Truck Centers of Tennessee, Inc., Rush</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Truck Centers of North Carolina, Inc., Rush Truck Centers of Idaho, Inc., Rush Truck Centers of Utah, Inc., and Rush Truck Centers of Oregon, Inc., Rush Truck</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Centers of Texas, L.P., Rush Truck Centers of Ohio, Inc., Rush Enterprises, Inc., the Lenders party thereto, and General Electric Capital Corporation (incorporated</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herein by reference to Exhibit 10.1 of the Company’s Current Report on Form 8-K (File No. 000-20797) filed January 3, 2013)</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Subsidiaries of the Company</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Consent of Ernst &amp; Young LLP</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Certification of President and Chief Executive Officer pursuant to Rules 13a-14(a) and 15d-14(a), as adopted pursuant to Section 302 of the Sarbanes-Oxley Act of</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2002</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7"/>
              </w:rPr>
              <w:t>Certification of Vice President and Chief Financial Officer pursuant to Rules 13a-14(a) and 15d-14(a), as adopted pursuant to Section 302 of the Sarbanes-Oxley Act</w:t>
            </w:r>
          </w:p>
        </w:tc>
      </w:tr>
      <w:tr>
        <w:trPr>
          <w:trHeight w:val="187"/>
        </w:trPr>
        <w:tc>
          <w:tcPr>
            <w:tcW w:w="920" w:type="dxa"/>
            <w:vAlign w:val="bottom"/>
          </w:tcPr>
          <w:p>
            <w:pPr>
              <w:spacing w:after="0"/>
              <w:rPr>
                <w:sz w:val="16"/>
                <w:szCs w:val="16"/>
                <w:color w:val="auto"/>
              </w:rPr>
            </w:pP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 2002</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906 of the Sarbanes-Oxley Act of 2002</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906 of the Sarbanes-Oxley Act of 2002</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217" w:lineRule="exact"/>
        <w:rPr>
          <w:sz w:val="20"/>
          <w:szCs w:val="20"/>
          <w:color w:val="auto"/>
        </w:rPr>
      </w:pPr>
    </w:p>
    <w:p>
      <w:pPr>
        <w:ind w:left="700" w:hanging="567"/>
        <w:spacing w:after="0"/>
        <w:tabs>
          <w:tab w:leader="none" w:pos="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9" w:lineRule="exact"/>
        <w:rPr>
          <w:sz w:val="20"/>
          <w:szCs w:val="20"/>
          <w:color w:val="auto"/>
        </w:rPr>
      </w:pPr>
    </w:p>
    <w:p>
      <w:pPr>
        <w:ind w:left="700" w:hanging="567"/>
        <w:spacing w:after="0"/>
        <w:tabs>
          <w:tab w:leader="none" w:pos="7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3" w:lineRule="exact"/>
        <w:rPr>
          <w:sz w:val="20"/>
          <w:szCs w:val="20"/>
          <w:color w:val="auto"/>
        </w:rPr>
      </w:pPr>
    </w:p>
    <w:p>
      <w:pPr>
        <w:ind w:left="700" w:hanging="567"/>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shall not be deemed “filed” for purposes of Section 18 of the Securities Exchange Act of 1934, or otherwise subject to the liability of that section, and shall</w:t>
      </w:r>
    </w:p>
    <w:p>
      <w:pPr>
        <w:spacing w:after="0" w:line="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 be deemed to be incorporated by reference into any filing under the Securities Act of 1933 or the Securities Exchange Act of 1934.</w:t>
      </w:r>
    </w:p>
    <w:p>
      <w:pPr>
        <w:spacing w:after="0" w:line="3" w:lineRule="exact"/>
        <w:rPr>
          <w:sz w:val="20"/>
          <w:szCs w:val="20"/>
          <w:color w:val="auto"/>
        </w:rPr>
      </w:pPr>
    </w:p>
    <w:p>
      <w:pPr>
        <w:ind w:left="700" w:right="140" w:hanging="567"/>
        <w:spacing w:after="0" w:line="245" w:lineRule="auto"/>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68580</wp:posOffset>
            </wp:positionV>
            <wp:extent cx="727075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300"/>
          </w:cols>
          <w:pgMar w:left="380" w:top="461" w:right="2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8" w:lineRule="exact"/>
        <w:rPr>
          <w:sz w:val="20"/>
          <w:szCs w:val="20"/>
          <w:color w:val="auto"/>
        </w:rPr>
      </w:pPr>
    </w:p>
    <w:p>
      <w:pPr>
        <w:ind w:right="20" w:firstLine="560"/>
        <w:spacing w:after="0" w:line="267"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RUSH ENTERPRISES, INC.</w:t>
      </w:r>
    </w:p>
    <w:p>
      <w:pPr>
        <w:spacing w:after="0" w:line="189" w:lineRule="exact"/>
        <w:rPr>
          <w:sz w:val="20"/>
          <w:szCs w:val="20"/>
          <w:color w:val="auto"/>
        </w:rPr>
      </w:pPr>
    </w:p>
    <w:p>
      <w:pPr>
        <w:ind w:left="4860"/>
        <w:spacing w:after="0"/>
        <w:tabs>
          <w:tab w:leader="none" w:pos="5360" w:val="left"/>
          <w:tab w:leader="none" w:pos="90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W. M.”RUSTY” RUSH</w:t>
      </w:r>
      <w:r>
        <w:rPr>
          <w:sz w:val="20"/>
          <w:szCs w:val="20"/>
          <w:color w:val="auto"/>
        </w:rPr>
        <w:tab/>
      </w:r>
      <w:r>
        <w:rPr>
          <w:rFonts w:ascii="Times New Roman" w:cs="Times New Roman" w:eastAsia="Times New Roman" w:hAnsi="Times New Roman"/>
          <w:sz w:val="14"/>
          <w:szCs w:val="14"/>
          <w:color w:val="auto"/>
        </w:rPr>
        <w:t>Date: March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27305</wp:posOffset>
            </wp:positionV>
            <wp:extent cx="211074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10740" cy="14605"/>
                    </a:xfrm>
                    <a:prstGeom prst="rect">
                      <a:avLst/>
                    </a:prstGeom>
                    <a:noFill/>
                  </pic:spPr>
                </pic:pic>
              </a:graphicData>
            </a:graphic>
          </wp:anchor>
        </w:drawing>
      </w:r>
    </w:p>
    <w:p>
      <w:pPr>
        <w:spacing w:after="0" w:line="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W. M. “Rusty” Rush</w:t>
      </w:r>
    </w:p>
    <w:p>
      <w:pPr>
        <w:spacing w:after="0" w:line="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347" w:lineRule="exact"/>
        <w:rPr>
          <w:sz w:val="20"/>
          <w:szCs w:val="20"/>
          <w:color w:val="auto"/>
        </w:rPr>
      </w:pPr>
    </w:p>
    <w:p>
      <w:pPr>
        <w:ind w:firstLine="560"/>
        <w:spacing w:after="0" w:line="26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Signature</w:t>
            </w:r>
          </w:p>
        </w:tc>
        <w:tc>
          <w:tcPr>
            <w:tcW w:w="300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Capacity</w:t>
            </w:r>
          </w:p>
        </w:tc>
        <w:tc>
          <w:tcPr>
            <w:tcW w:w="2580" w:type="dxa"/>
            <w:vAlign w:val="bottom"/>
            <w:gridSpan w:val="3"/>
          </w:tcPr>
          <w:p>
            <w:pPr>
              <w:ind w:left="2060"/>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5"/>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W. MARVIN RUSH</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w w:val="96"/>
              </w:rPr>
              <w:t>March 15, 2013</w:t>
            </w:r>
          </w:p>
        </w:tc>
      </w:tr>
      <w:tr>
        <w:trPr>
          <w:trHeight w:val="203"/>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 Marvin Rush</w:t>
            </w: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47"/>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W. M. “RUSTY” RUSH</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w w:val="96"/>
              </w:rPr>
              <w:t>March 15, 2013</w:t>
            </w:r>
          </w:p>
        </w:tc>
      </w:tr>
      <w:tr>
        <w:trPr>
          <w:trHeight w:val="203"/>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 M. “Rusty” Rush</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Director (Principal Executive Officer)</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47"/>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STEVEN L. KELLER</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Vice President and</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w w:val="96"/>
              </w:rPr>
              <w:t>March 15, 2013</w:t>
            </w:r>
          </w:p>
        </w:tc>
      </w:tr>
      <w:tr>
        <w:trPr>
          <w:trHeight w:val="170"/>
        </w:trPr>
        <w:tc>
          <w:tcPr>
            <w:tcW w:w="2740" w:type="dxa"/>
            <w:vAlign w:val="bottom"/>
            <w:gridSpan w:val="3"/>
          </w:tcPr>
          <w:p>
            <w:pPr>
              <w:spacing w:after="0" w:line="170" w:lineRule="exact"/>
              <w:rPr>
                <w:sz w:val="20"/>
                <w:szCs w:val="20"/>
                <w:color w:val="auto"/>
              </w:rPr>
            </w:pPr>
            <w:r>
              <w:rPr>
                <w:rFonts w:ascii="Times New Roman" w:cs="Times New Roman" w:eastAsia="Times New Roman" w:hAnsi="Times New Roman"/>
                <w:sz w:val="16"/>
                <w:szCs w:val="16"/>
                <w:color w:val="auto"/>
              </w:rPr>
              <w:t>Steven L. Keller</w:t>
            </w:r>
          </w:p>
        </w:tc>
        <w:tc>
          <w:tcPr>
            <w:tcW w:w="5860" w:type="dxa"/>
            <w:vAlign w:val="bottom"/>
            <w:gridSpan w:val="3"/>
          </w:tcPr>
          <w:p>
            <w:pPr>
              <w:ind w:left="1500"/>
              <w:spacing w:after="0" w:line="170" w:lineRule="exact"/>
              <w:rPr>
                <w:sz w:val="20"/>
                <w:szCs w:val="20"/>
                <w:color w:val="auto"/>
              </w:rPr>
            </w:pPr>
            <w:r>
              <w:rPr>
                <w:rFonts w:ascii="Times New Roman" w:cs="Times New Roman" w:eastAsia="Times New Roman" w:hAnsi="Times New Roman"/>
                <w:sz w:val="16"/>
                <w:szCs w:val="16"/>
                <w:color w:val="auto"/>
              </w:rPr>
              <w:t>Chief Financial Officer</w:t>
            </w: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77"/>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THOMAS A. AKIN</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Director</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w w:val="96"/>
              </w:rPr>
              <w:t>March 15, 2013</w:t>
            </w:r>
          </w:p>
        </w:tc>
      </w:tr>
      <w:tr>
        <w:trPr>
          <w:trHeight w:val="203"/>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A. Akin</w:t>
            </w: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47"/>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HAROLD D. MARSHALL</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Director</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w w:val="96"/>
              </w:rPr>
              <w:t>March 15, 2013</w:t>
            </w:r>
          </w:p>
        </w:tc>
      </w:tr>
      <w:tr>
        <w:trPr>
          <w:trHeight w:val="203"/>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Harold D. Marshall</w:t>
            </w: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47"/>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JAMES C. UNDERWOOD</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Director</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w w:val="96"/>
              </w:rPr>
              <w:t>March 15, 2013</w:t>
            </w:r>
          </w:p>
        </w:tc>
      </w:tr>
      <w:tr>
        <w:trPr>
          <w:trHeight w:val="203"/>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James C. Underwood</w:t>
            </w: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47"/>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GERALD R. SZCZEPANSKI</w:t>
            </w:r>
          </w:p>
        </w:tc>
        <w:tc>
          <w:tcPr>
            <w:tcW w:w="58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Director</w:t>
            </w:r>
          </w:p>
        </w:tc>
        <w:tc>
          <w:tcPr>
            <w:tcW w:w="258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w w:val="96"/>
              </w:rPr>
              <w:t>March 15, 2013</w:t>
            </w:r>
          </w:p>
        </w:tc>
      </w:tr>
      <w:tr>
        <w:trPr>
          <w:trHeight w:val="203"/>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Gerald R. Szczepanski</w:t>
            </w: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900" w:h="16838" w:orient="portrait"/>
          <w:cols w:equalWidth="0" w:num="1">
            <w:col w:w="11440"/>
          </w:cols>
          <w:pgMar w:left="240" w:top="482"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43"/>
        </w:trPr>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80" w:type="dxa"/>
            <w:vAlign w:val="bottom"/>
            <w:gridSpan w:val="3"/>
            <w:vMerge w:val="restart"/>
          </w:tcPr>
          <w:p>
            <w:pPr>
              <w:jc w:val="center"/>
              <w:ind w:left="562"/>
              <w:spacing w:after="0"/>
              <w:rPr>
                <w:sz w:val="20"/>
                <w:szCs w:val="20"/>
                <w:color w:val="auto"/>
              </w:rPr>
            </w:pPr>
            <w:r>
              <w:rPr>
                <w:rFonts w:ascii="Times New Roman" w:cs="Times New Roman" w:eastAsia="Times New Roman" w:hAnsi="Times New Roman"/>
                <w:sz w:val="16"/>
                <w:szCs w:val="16"/>
                <w:color w:val="auto"/>
                <w:w w:val="96"/>
              </w:rPr>
              <w:t>SUBSIDIARIES OF THE COMPANY</w:t>
            </w:r>
          </w:p>
        </w:tc>
        <w:tc>
          <w:tcPr>
            <w:tcW w:w="760" w:type="dxa"/>
            <w:vAlign w:val="bottom"/>
          </w:tcPr>
          <w:p>
            <w:pPr>
              <w:spacing w:after="0"/>
              <w:rPr>
                <w:sz w:val="21"/>
                <w:szCs w:val="21"/>
                <w:color w:val="auto"/>
              </w:rPr>
            </w:pPr>
          </w:p>
        </w:tc>
        <w:tc>
          <w:tcPr>
            <w:tcW w:w="3640" w:type="dxa"/>
            <w:vAlign w:val="bottom"/>
            <w:gridSpan w:val="2"/>
          </w:tcPr>
          <w:p>
            <w:pPr>
              <w:ind w:left="2520"/>
              <w:spacing w:after="0"/>
              <w:rPr>
                <w:sz w:val="20"/>
                <w:szCs w:val="20"/>
                <w:color w:val="auto"/>
              </w:rPr>
            </w:pPr>
            <w:r>
              <w:rPr>
                <w:rFonts w:ascii="Times New Roman" w:cs="Times New Roman" w:eastAsia="Times New Roman" w:hAnsi="Times New Roman"/>
                <w:sz w:val="19"/>
                <w:szCs w:val="19"/>
                <w:color w:val="auto"/>
                <w:w w:val="96"/>
              </w:rPr>
              <w:t>EXHIBIT 21.1</w:t>
            </w: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8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6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color w:val="auto"/>
                <w:w w:val="97"/>
              </w:rPr>
              <w:t>State of</w:t>
            </w:r>
          </w:p>
        </w:tc>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3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w w:val="94"/>
              </w:rPr>
              <w:t>Name</w:t>
            </w: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60" w:type="dxa"/>
            <w:vAlign w:val="bottom"/>
            <w:gridSpan w:val="2"/>
          </w:tcPr>
          <w:p>
            <w:pPr>
              <w:jc w:val="center"/>
              <w:ind w:right="920"/>
              <w:spacing w:after="0" w:line="168" w:lineRule="exact"/>
              <w:rPr>
                <w:sz w:val="20"/>
                <w:szCs w:val="20"/>
                <w:color w:val="auto"/>
              </w:rPr>
            </w:pPr>
            <w:r>
              <w:rPr>
                <w:rFonts w:ascii="Times New Roman" w:cs="Times New Roman" w:eastAsia="Times New Roman" w:hAnsi="Times New Roman"/>
                <w:sz w:val="16"/>
                <w:szCs w:val="16"/>
                <w:color w:val="auto"/>
                <w:w w:val="96"/>
              </w:rPr>
              <w:t>Incorporation</w:t>
            </w:r>
          </w:p>
        </w:tc>
        <w:tc>
          <w:tcPr>
            <w:tcW w:w="4400" w:type="dxa"/>
            <w:vAlign w:val="bottom"/>
            <w:gridSpan w:val="3"/>
          </w:tcPr>
          <w:p>
            <w:pPr>
              <w:ind w:left="760"/>
              <w:spacing w:after="0" w:line="168" w:lineRule="exact"/>
              <w:rPr>
                <w:sz w:val="20"/>
                <w:szCs w:val="20"/>
                <w:color w:val="auto"/>
              </w:rPr>
            </w:pPr>
            <w:r>
              <w:rPr>
                <w:rFonts w:ascii="Times New Roman" w:cs="Times New Roman" w:eastAsia="Times New Roman" w:hAnsi="Times New Roman"/>
                <w:sz w:val="16"/>
                <w:szCs w:val="16"/>
                <w:color w:val="auto"/>
              </w:rPr>
              <w:t>Names Under Which Subsidiary Does Business</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76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Alabama, Inc.</w:t>
            </w:r>
          </w:p>
        </w:tc>
        <w:tc>
          <w:tcPr>
            <w:tcW w:w="3280" w:type="dxa"/>
            <w:vAlign w:val="bottom"/>
            <w:gridSpan w:val="3"/>
            <w:shd w:val="clear" w:color="auto" w:fill="C0FFFF"/>
          </w:tcPr>
          <w:p>
            <w:pPr>
              <w:ind w:left="520"/>
              <w:spacing w:after="0"/>
              <w:rPr>
                <w:sz w:val="20"/>
                <w:szCs w:val="20"/>
                <w:color w:val="auto"/>
              </w:rPr>
            </w:pPr>
            <w:r>
              <w:rPr>
                <w:rFonts w:ascii="Times New Roman" w:cs="Times New Roman" w:eastAsia="Times New Roman" w:hAnsi="Times New Roman"/>
                <w:sz w:val="16"/>
                <w:szCs w:val="16"/>
                <w:color w:val="auto"/>
              </w:rPr>
              <w:t>Delaware</w:t>
            </w: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Mobile</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Mobile</w:t>
            </w:r>
          </w:p>
        </w:tc>
        <w:tc>
          <w:tcPr>
            <w:tcW w:w="0" w:type="dxa"/>
            <w:vAlign w:val="bottom"/>
          </w:tcPr>
          <w:p>
            <w:pPr>
              <w:spacing w:after="0"/>
              <w:rPr>
                <w:sz w:val="1"/>
                <w:szCs w:val="1"/>
                <w:color w:val="auto"/>
              </w:rPr>
            </w:pPr>
          </w:p>
        </w:tc>
      </w:tr>
      <w:tr>
        <w:trPr>
          <w:trHeight w:val="187"/>
        </w:trPr>
        <w:tc>
          <w:tcPr>
            <w:tcW w:w="376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Arizona, Inc.</w:t>
            </w:r>
          </w:p>
        </w:tc>
        <w:tc>
          <w:tcPr>
            <w:tcW w:w="3280" w:type="dxa"/>
            <w:vAlign w:val="bottom"/>
            <w:gridSpan w:val="3"/>
            <w:shd w:val="clear" w:color="auto" w:fill="C0FFFF"/>
          </w:tcPr>
          <w:p>
            <w:pPr>
              <w:ind w:left="520"/>
              <w:spacing w:after="0"/>
              <w:rPr>
                <w:sz w:val="20"/>
                <w:szCs w:val="20"/>
                <w:color w:val="auto"/>
              </w:rPr>
            </w:pPr>
            <w:r>
              <w:rPr>
                <w:rFonts w:ascii="Times New Roman" w:cs="Times New Roman" w:eastAsia="Times New Roman" w:hAnsi="Times New Roman"/>
                <w:sz w:val="16"/>
                <w:szCs w:val="16"/>
                <w:color w:val="auto"/>
              </w:rPr>
              <w:t>Delaware</w:t>
            </w: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Phoenix</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Phoenix</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Flagstaff</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Flagstaff</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Tucson</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Tucson</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Yuma</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Yuma</w:t>
            </w:r>
          </w:p>
        </w:tc>
        <w:tc>
          <w:tcPr>
            <w:tcW w:w="0" w:type="dxa"/>
            <w:vAlign w:val="bottom"/>
          </w:tcPr>
          <w:p>
            <w:pPr>
              <w:spacing w:after="0"/>
              <w:rPr>
                <w:sz w:val="1"/>
                <w:szCs w:val="1"/>
                <w:color w:val="auto"/>
              </w:rPr>
            </w:pPr>
          </w:p>
        </w:tc>
      </w:tr>
      <w:tr>
        <w:trPr>
          <w:trHeight w:val="187"/>
        </w:trPr>
        <w:tc>
          <w:tcPr>
            <w:tcW w:w="376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California, Inc.</w:t>
            </w:r>
          </w:p>
        </w:tc>
        <w:tc>
          <w:tcPr>
            <w:tcW w:w="3280" w:type="dxa"/>
            <w:vAlign w:val="bottom"/>
            <w:gridSpan w:val="3"/>
            <w:shd w:val="clear" w:color="auto" w:fill="C0FFFF"/>
          </w:tcPr>
          <w:p>
            <w:pPr>
              <w:ind w:left="520"/>
              <w:spacing w:after="0"/>
              <w:rPr>
                <w:sz w:val="20"/>
                <w:szCs w:val="20"/>
                <w:color w:val="auto"/>
              </w:rPr>
            </w:pPr>
            <w:r>
              <w:rPr>
                <w:rFonts w:ascii="Times New Roman" w:cs="Times New Roman" w:eastAsia="Times New Roman" w:hAnsi="Times New Roman"/>
                <w:sz w:val="16"/>
                <w:szCs w:val="16"/>
                <w:color w:val="auto"/>
              </w:rPr>
              <w:t>Delaware</w:t>
            </w: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Pico Rivera</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Truck Center, Pico Rivera</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Fontana</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Truck Center, Fontana</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Peterbilt Medium Duty Truck Center, Fontana</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Isuzu Trucks, Fontana</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Medium Duty Truck Center, Fontana</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Truck Center, Fontana Used Trucks</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Sylmar</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Sylmar</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Escondido</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Escondido</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San Diego</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San Diego</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San Luis Obispo</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San Luis Obispo</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Whittier</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Isuzu Truck, Whittier</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Whittier</w:t>
            </w:r>
          </w:p>
        </w:tc>
        <w:tc>
          <w:tcPr>
            <w:tcW w:w="0" w:type="dxa"/>
            <w:vAlign w:val="bottom"/>
          </w:tcPr>
          <w:p>
            <w:pPr>
              <w:spacing w:after="0"/>
              <w:rPr>
                <w:sz w:val="1"/>
                <w:szCs w:val="1"/>
                <w:color w:val="auto"/>
              </w:rPr>
            </w:pPr>
          </w:p>
        </w:tc>
      </w:tr>
      <w:tr>
        <w:trPr>
          <w:trHeight w:val="187"/>
        </w:trPr>
        <w:tc>
          <w:tcPr>
            <w:tcW w:w="3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Rush Medium Duty Truck Centers of Colorado, Inc.</w:t>
            </w:r>
          </w:p>
        </w:tc>
        <w:tc>
          <w:tcPr>
            <w:tcW w:w="32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Delaware</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Medium Duty Truck Center, Denver</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Medium Duty Ford Trucks, Denver</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Isuzu Trucks, Denver</w:t>
            </w:r>
          </w:p>
        </w:tc>
        <w:tc>
          <w:tcPr>
            <w:tcW w:w="0" w:type="dxa"/>
            <w:vAlign w:val="bottom"/>
          </w:tcPr>
          <w:p>
            <w:pPr>
              <w:spacing w:after="0"/>
              <w:rPr>
                <w:sz w:val="1"/>
                <w:szCs w:val="1"/>
                <w:color w:val="auto"/>
              </w:rPr>
            </w:pPr>
          </w:p>
        </w:tc>
      </w:tr>
      <w:tr>
        <w:trPr>
          <w:trHeight w:val="187"/>
        </w:trPr>
        <w:tc>
          <w:tcPr>
            <w:tcW w:w="3760" w:type="dxa"/>
            <w:vAlign w:val="bottom"/>
            <w:gridSpan w:val="3"/>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Colorado, Inc.</w:t>
            </w:r>
          </w:p>
        </w:tc>
        <w:tc>
          <w:tcPr>
            <w:tcW w:w="3280" w:type="dxa"/>
            <w:vAlign w:val="bottom"/>
            <w:gridSpan w:val="3"/>
            <w:shd w:val="clear" w:color="auto" w:fill="C0FFFF"/>
          </w:tcPr>
          <w:p>
            <w:pPr>
              <w:ind w:left="520"/>
              <w:spacing w:after="0"/>
              <w:rPr>
                <w:sz w:val="20"/>
                <w:szCs w:val="20"/>
                <w:color w:val="auto"/>
              </w:rPr>
            </w:pPr>
            <w:r>
              <w:rPr>
                <w:rFonts w:ascii="Times New Roman" w:cs="Times New Roman" w:eastAsia="Times New Roman" w:hAnsi="Times New Roman"/>
                <w:sz w:val="16"/>
                <w:szCs w:val="16"/>
                <w:color w:val="auto"/>
              </w:rPr>
              <w:t>Delaware</w:t>
            </w: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Centers, Inc.</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Denver</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Denver</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Greeley</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Greeley</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Pueblo</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Pueblo</w:t>
            </w:r>
          </w:p>
        </w:tc>
        <w:tc>
          <w:tcPr>
            <w:tcW w:w="0" w:type="dxa"/>
            <w:vAlign w:val="bottom"/>
          </w:tcPr>
          <w:p>
            <w:pPr>
              <w:spacing w:after="0"/>
              <w:rPr>
                <w:sz w:val="1"/>
                <w:szCs w:val="1"/>
                <w:color w:val="auto"/>
              </w:rPr>
            </w:pPr>
          </w:p>
        </w:tc>
      </w:tr>
      <w:tr>
        <w:trPr>
          <w:trHeight w:val="187"/>
        </w:trPr>
        <w:tc>
          <w:tcPr>
            <w:tcW w:w="3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Rush Truck Centers of Florida, Inc.</w:t>
            </w:r>
          </w:p>
        </w:tc>
        <w:tc>
          <w:tcPr>
            <w:tcW w:w="32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Delaware</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Isuzu Trucks, Orlando</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Orlando</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Isuzu Truck Center, Orlando</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Orlando</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Truck Center, Orlando Light and Medium Duty</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Orlando South</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Truck Center, Winter Garden</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Winter Garden</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Isuzu Trucks, Winter Garden</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Haines City</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Rush Peterbilt Truck Center, Haines City</w:t>
            </w:r>
          </w:p>
        </w:tc>
        <w:tc>
          <w:tcPr>
            <w:tcW w:w="0" w:type="dxa"/>
            <w:vAlign w:val="bottom"/>
          </w:tcPr>
          <w:p>
            <w:pPr>
              <w:spacing w:after="0"/>
              <w:rPr>
                <w:sz w:val="1"/>
                <w:szCs w:val="1"/>
                <w:color w:val="auto"/>
              </w:rPr>
            </w:pPr>
          </w:p>
        </w:tc>
      </w:tr>
      <w:tr>
        <w:trPr>
          <w:trHeight w:val="187"/>
        </w:trPr>
        <w:tc>
          <w:tcPr>
            <w:tcW w:w="194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440" w:type="dxa"/>
            <w:vAlign w:val="bottom"/>
            <w:shd w:val="clear" w:color="auto" w:fill="C0FFFF"/>
          </w:tcPr>
          <w:p>
            <w:pPr>
              <w:spacing w:after="0"/>
              <w:rPr>
                <w:sz w:val="16"/>
                <w:szCs w:val="16"/>
                <w:color w:val="auto"/>
              </w:rPr>
            </w:pPr>
          </w:p>
        </w:tc>
        <w:tc>
          <w:tcPr>
            <w:tcW w:w="152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920" w:type="dxa"/>
            <w:vAlign w:val="bottom"/>
            <w:shd w:val="clear" w:color="auto" w:fill="C0FFFF"/>
          </w:tcPr>
          <w:p>
            <w:pPr>
              <w:spacing w:after="0"/>
              <w:rPr>
                <w:sz w:val="16"/>
                <w:szCs w:val="16"/>
                <w:color w:val="auto"/>
              </w:rPr>
            </w:pPr>
          </w:p>
        </w:tc>
        <w:tc>
          <w:tcPr>
            <w:tcW w:w="4400" w:type="dxa"/>
            <w:vAlign w:val="bottom"/>
            <w:gridSpan w:val="3"/>
            <w:shd w:val="clear" w:color="auto" w:fill="C0FFFF"/>
          </w:tcPr>
          <w:p>
            <w:pPr>
              <w:ind w:left="100"/>
              <w:spacing w:after="0"/>
              <w:rPr>
                <w:sz w:val="20"/>
                <w:szCs w:val="20"/>
                <w:color w:val="auto"/>
              </w:rPr>
            </w:pPr>
            <w:r>
              <w:rPr>
                <w:rFonts w:ascii="Times New Roman" w:cs="Times New Roman" w:eastAsia="Times New Roman" w:hAnsi="Times New Roman"/>
                <w:sz w:val="16"/>
                <w:szCs w:val="16"/>
                <w:color w:val="auto"/>
              </w:rPr>
              <w:t>Rush Truck Center, Tampa</w:t>
            </w:r>
          </w:p>
        </w:tc>
        <w:tc>
          <w:tcPr>
            <w:tcW w:w="0" w:type="dxa"/>
            <w:vAlign w:val="bottom"/>
          </w:tcPr>
          <w:p>
            <w:pPr>
              <w:spacing w:after="0"/>
              <w:rPr>
                <w:sz w:val="1"/>
                <w:szCs w:val="1"/>
                <w:color w:val="auto"/>
              </w:rPr>
            </w:pPr>
          </w:p>
        </w:tc>
      </w:tr>
      <w:tr>
        <w:trPr>
          <w:trHeight w:val="567"/>
        </w:trPr>
        <w:tc>
          <w:tcPr>
            <w:tcW w:w="19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Tampa</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Jacksonville</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Jacksonville</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w:t>
            </w:r>
          </w:p>
        </w:tc>
      </w:tr>
      <w:tr>
        <w:trPr>
          <w:trHeight w:val="187"/>
        </w:trPr>
        <w:tc>
          <w:tcPr>
            <w:tcW w:w="34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Georgia, Inc.</w:t>
            </w:r>
          </w:p>
        </w:tc>
        <w:tc>
          <w:tcPr>
            <w:tcW w:w="2520" w:type="dxa"/>
            <w:vAlign w:val="bottom"/>
            <w:shd w:val="clear" w:color="auto" w:fill="C0FFFF"/>
          </w:tcPr>
          <w:p>
            <w:pPr>
              <w:ind w:left="80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Medium Duty Truck Center, Atlanta</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Atlanta</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Atlanta</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Atlanta</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Collision Center, Atlanta</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Doraville</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Doraville</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Doraville</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Kennesaw</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Kennesaw</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Smyrna</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Atlanta</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Tifton</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Columbus</w:t>
            </w:r>
          </w:p>
        </w:tc>
      </w:tr>
      <w:tr>
        <w:trPr>
          <w:trHeight w:val="187"/>
        </w:trPr>
        <w:tc>
          <w:tcPr>
            <w:tcW w:w="34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Idaho, Inc.</w:t>
            </w:r>
          </w:p>
        </w:tc>
        <w:tc>
          <w:tcPr>
            <w:tcW w:w="2520" w:type="dxa"/>
            <w:vAlign w:val="bottom"/>
            <w:shd w:val="clear" w:color="auto" w:fill="C0FFFF"/>
          </w:tcPr>
          <w:p>
            <w:pPr>
              <w:ind w:left="80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Boise</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Twin Falls</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Idaho Falls</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Heyburn</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Lewiston</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Boise</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Twin Falls</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Idaho Falls</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Heyburn</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Lewiston</w:t>
            </w:r>
          </w:p>
        </w:tc>
      </w:tr>
      <w:tr>
        <w:trPr>
          <w:trHeight w:val="187"/>
        </w:trPr>
        <w:tc>
          <w:tcPr>
            <w:tcW w:w="34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New Mexico, Inc.</w:t>
            </w:r>
          </w:p>
        </w:tc>
        <w:tc>
          <w:tcPr>
            <w:tcW w:w="2520" w:type="dxa"/>
            <w:vAlign w:val="bottom"/>
            <w:shd w:val="clear" w:color="auto" w:fill="C0FFFF"/>
          </w:tcPr>
          <w:p>
            <w:pPr>
              <w:ind w:left="80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Albuquerque</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Albuquerque</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Las Cruces</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Las Cruces</w:t>
            </w:r>
          </w:p>
        </w:tc>
      </w:tr>
      <w:tr>
        <w:trPr>
          <w:trHeight w:val="187"/>
        </w:trPr>
        <w:tc>
          <w:tcPr>
            <w:tcW w:w="34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North Carolina, Inc.</w:t>
            </w:r>
          </w:p>
        </w:tc>
        <w:tc>
          <w:tcPr>
            <w:tcW w:w="2520" w:type="dxa"/>
            <w:vAlign w:val="bottom"/>
            <w:shd w:val="clear" w:color="auto" w:fill="C0FFFF"/>
          </w:tcPr>
          <w:p>
            <w:pPr>
              <w:ind w:left="80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Collision Center, Charlotte</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Charlotte</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Isuzu Trucks, Charlotte</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Charlotte</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Charlotte</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Body Shop, Charlotte</w:t>
            </w:r>
          </w:p>
        </w:tc>
      </w:tr>
      <w:tr>
        <w:trPr>
          <w:trHeight w:val="187"/>
        </w:trPr>
        <w:tc>
          <w:tcPr>
            <w:tcW w:w="348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Centers of Ohio, Inc.</w:t>
            </w:r>
          </w:p>
        </w:tc>
        <w:tc>
          <w:tcPr>
            <w:tcW w:w="2520" w:type="dxa"/>
            <w:vAlign w:val="bottom"/>
            <w:shd w:val="clear" w:color="auto" w:fill="C0FFFF"/>
          </w:tcPr>
          <w:p>
            <w:pPr>
              <w:ind w:left="80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Akron</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Akron</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Cincinnati</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Cincinnati</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Cleveland</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Cleveland</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Columbus East</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Columbus East</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Columbus West</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Columbus West</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Dayton</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Dayton</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Findlay</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Findlay</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Lima</w:t>
            </w:r>
          </w:p>
        </w:tc>
      </w:tr>
      <w:tr>
        <w:trPr>
          <w:trHeight w:val="187"/>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Lima</w:t>
            </w:r>
          </w:p>
        </w:tc>
      </w:tr>
      <w:tr>
        <w:trPr>
          <w:trHeight w:val="187"/>
        </w:trPr>
        <w:tc>
          <w:tcPr>
            <w:tcW w:w="3480" w:type="dxa"/>
            <w:vAlign w:val="bottom"/>
            <w:shd w:val="clear" w:color="auto" w:fill="C0FFFF"/>
          </w:tcPr>
          <w:p>
            <w:pPr>
              <w:spacing w:after="0"/>
              <w:rPr>
                <w:sz w:val="16"/>
                <w:szCs w:val="16"/>
                <w:color w:val="auto"/>
              </w:rPr>
            </w:pPr>
          </w:p>
        </w:tc>
        <w:tc>
          <w:tcPr>
            <w:tcW w:w="252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Cincinnati</w:t>
            </w:r>
          </w:p>
        </w:tc>
      </w:tr>
      <w:tr>
        <w:trPr>
          <w:trHeight w:val="203"/>
        </w:trPr>
        <w:tc>
          <w:tcPr>
            <w:tcW w:w="3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RTC Truck Parts</w:t>
            </w:r>
          </w:p>
        </w:tc>
      </w:tr>
      <w:tr>
        <w:trPr>
          <w:trHeight w:val="551"/>
        </w:trPr>
        <w:tc>
          <w:tcPr>
            <w:tcW w:w="34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8"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Akron</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Cleveland</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Columbus East</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Columbus West</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Dayton</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Findlay</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Lima</w:t>
            </w: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Rush Truck Centers of Oklahoma, Inc.</w:t>
            </w:r>
          </w:p>
        </w:tc>
        <w:tc>
          <w:tcPr>
            <w:tcW w:w="26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Ardmore</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Oklahoma City</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Tulsa</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Ardmore</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Oklahoma City</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Tulsa</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Volvo Truck Center, Oklahoma City</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Volvo Truck Center, Tulsa</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Oklahoma City</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Used Truck Center, Tulsa</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Rigging</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Perfection Equipment</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Perfection Truck Parts &amp; Equipment, Oklahoma City</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Perfection Truck Parts &amp; Equipment, Tulsa</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Perfection Crane Services</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Translease</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Oklahoma Trucks, Inc.</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Tulsa Trucks, Inc.</w:t>
            </w: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Rush Truck Centers of Oregon, Inc.</w:t>
            </w:r>
          </w:p>
        </w:tc>
        <w:tc>
          <w:tcPr>
            <w:tcW w:w="26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International Truck Center, Ontario</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Truck Center, Ontario</w:t>
            </w: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Rush Truck Centers of Tennessee, Inc.</w:t>
            </w:r>
          </w:p>
        </w:tc>
        <w:tc>
          <w:tcPr>
            <w:tcW w:w="26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Delaware</w:t>
            </w: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Truck Center, Nashville</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Peterbilt Truck Center, Nashville</w:t>
            </w:r>
          </w:p>
        </w:tc>
      </w:tr>
      <w:tr>
        <w:trPr>
          <w:trHeight w:val="187"/>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Rush Truck Centers of Texas, L.P.</w:t>
            </w:r>
          </w:p>
        </w:tc>
        <w:tc>
          <w:tcPr>
            <w:tcW w:w="26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Texas</w:t>
            </w: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Custom Vehicle Solutions</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Houston Peterbilt, Inc.</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Laredo Peterbilt, Inc.</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Lufkin Peterbilt, Inc.</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Alice</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Austin</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Corpus Christi</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Dallas</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Dallas, Number 2</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Fort Worth</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Houston</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Laredo</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Lufkin</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Pharr</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San Antonio</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San Antonio, Number 2</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Sealy</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Selma</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Texarkana</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Bus Center, Tyler</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Bus Center, Waco</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GMC Truck Center of El Paso, Inc.</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Austin</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Isuzu Trucks, Dallas</w:t>
            </w:r>
          </w:p>
        </w:tc>
      </w:tr>
      <w:tr>
        <w:trPr>
          <w:trHeight w:val="187"/>
        </w:trPr>
        <w:tc>
          <w:tcPr>
            <w:tcW w:w="3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Texarkana</w:t>
            </w:r>
          </w:p>
        </w:tc>
      </w:tr>
      <w:tr>
        <w:trPr>
          <w:trHeight w:val="187"/>
        </w:trPr>
        <w:tc>
          <w:tcPr>
            <w:tcW w:w="33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440" w:type="dxa"/>
            <w:vAlign w:val="bottom"/>
            <w:shd w:val="clear" w:color="auto" w:fill="C0FFFF"/>
          </w:tcPr>
          <w:p>
            <w:pPr>
              <w:ind w:left="1140"/>
              <w:spacing w:after="0"/>
              <w:rPr>
                <w:sz w:val="20"/>
                <w:szCs w:val="20"/>
                <w:color w:val="auto"/>
              </w:rPr>
            </w:pPr>
            <w:r>
              <w:rPr>
                <w:rFonts w:ascii="Times New Roman" w:cs="Times New Roman" w:eastAsia="Times New Roman" w:hAnsi="Times New Roman"/>
                <w:sz w:val="16"/>
                <w:szCs w:val="16"/>
                <w:color w:val="auto"/>
              </w:rPr>
              <w:t>Rush Isuzu Trucks, El Paso</w:t>
            </w:r>
          </w:p>
        </w:tc>
      </w:tr>
      <w:tr>
        <w:trPr>
          <w:trHeight w:val="203"/>
        </w:trPr>
        <w:tc>
          <w:tcPr>
            <w:tcW w:w="3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Rush Isuzu Trucks, Sealy</w:t>
            </w:r>
          </w:p>
        </w:tc>
      </w:tr>
      <w:tr>
        <w:trPr>
          <w:trHeight w:val="551"/>
        </w:trPr>
        <w:tc>
          <w:tcPr>
            <w:tcW w:w="334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8" w:right="219" w:bottom="1440" w:gutter="0" w:footer="0" w:header="0"/>
        </w:sectPr>
      </w:pPr>
    </w:p>
    <w:bookmarkStart w:id="88" w:name="page89"/>
    <w:bookmarkEnd w:id="88"/>
    <w:p>
      <w:pPr>
        <w:ind w:left="5940"/>
        <w:spacing w:after="0"/>
        <w:rPr>
          <w:sz w:val="20"/>
          <w:szCs w:val="20"/>
          <w:color w:val="auto"/>
        </w:rPr>
      </w:pPr>
      <w:r>
        <w:rPr>
          <w:rFonts w:ascii="Times New Roman" w:cs="Times New Roman" w:eastAsia="Times New Roman" w:hAnsi="Times New Roman"/>
          <w:sz w:val="16"/>
          <w:szCs w:val="16"/>
          <w:color w:val="auto"/>
        </w:rPr>
        <w:t>Rush Isuzu Trucks,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-105410</wp:posOffset>
            </wp:positionV>
            <wp:extent cx="7265035" cy="1187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Isuzu Trucks, Dallas</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Medium Duty Truck Center,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4"/>
          <w:szCs w:val="14"/>
          <w:color w:val="auto"/>
        </w:rPr>
        <w:t>Rush Medium Duty Truck Center, San Antonio</w:t>
      </w:r>
    </w:p>
    <w:p>
      <w:pPr>
        <w:spacing w:after="0" w:line="2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Medium Duty Truck Center,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Abilene</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Alice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Amarillo</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Corpus Christi</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Dalhart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Dallas</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El Paso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Fort Worth</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Hereford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Houston</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Rush Peterbilt Truck Center, Houston Northwest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-100965</wp:posOffset>
            </wp:positionV>
            <wp:extent cx="7265035" cy="1187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spacing w:after="0" w:line="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Laredo</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Lubbock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Lufkin</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Odessa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Pharr</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San Antonio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Sealy</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Texarkana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Peterbilt Truck Center, Tyler</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Peterbilt Truck Center,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Refuse Systems</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Towing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Towing Systems, Houston</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Towing Systems, San Antonio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Abilene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Alice</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Amarillo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Austin</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Corpus Christi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Dalhart</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Denton</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El Paso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Fort Worth</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Hereford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Houston</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Laredo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Lubbock</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Lufkin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Odessa</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Pharr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San Antonio</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Sealy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Texarkana</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Truck Center,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Truck Center, Waco</w:t>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Rush Used Truck Center,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-115570</wp:posOffset>
            </wp:positionV>
            <wp:extent cx="7265035" cy="1187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5035" cy="11874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6"/>
          <w:szCs w:val="16"/>
          <w:color w:val="auto"/>
        </w:rPr>
        <w:t>Rush Crane and Refuse Systems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354965</wp:posOffset>
            </wp:positionV>
            <wp:extent cx="727075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019"/>
          </w:cols>
          <w:pgMar w:left="1440" w:top="461"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San Antonio Peterbilt, Inc.</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San Antonio Peterbilt-GMC Truck, Inc.</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World Wide Tires</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Rush Truck Centers of Utah,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Rush International Truck Center, Salt Lake City</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Rush International Truck Center, Helper</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Rush International Truck Center, Springville</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Rush International Truck Center, St. George</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Rush International Truck Center, Ogden</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Rush Truck Center, Salt Lake City</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Rush Truck Center, Helper</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Rush Truck Center, Springville</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Rush Truck Center, St. George</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Rush Truck Center, Ogden</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Rig Tough,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Truck Center of Albuquerque,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New Mexico</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Rush GMC Truck Center of Tucson,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Accessories Corporation</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Chrome Country, Inc.</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Rush Truck Leasing,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Rush Crane Systems</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Rush Idealease, Charlotte</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Boise Idealease</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Salt Lake City Idealease</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Charlotte Idealease</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Akron Idealease</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Cincinnati Idealease</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Cleveland Idealease West</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Cleveland Idealease East</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Columbus Idealease East</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Columbus Idealease West</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Dayton Idealease</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Findlay Idealease</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Lima Idealease</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Rush Equipment Centers of Texas,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Rush Equipment Center, Houston</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Rushtex,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Rushco,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Administrative Services,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Rush Logistics,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Rush Real Estate Holdings,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General Agency</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Texas</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Los Cuernos,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Los Cuernos Ranch</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AiRush,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Commercial Vehicle Transportation,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Rush Retail Centers,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Associated Acceptance,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Texas</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Associated Insurance Services</w:t>
            </w:r>
          </w:p>
        </w:tc>
      </w:tr>
      <w:tr>
        <w:trPr>
          <w:trHeight w:val="187"/>
        </w:trPr>
        <w:tc>
          <w:tcPr>
            <w:tcW w:w="3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Automotive Industry Insurance</w:t>
            </w:r>
          </w:p>
        </w:tc>
      </w:tr>
      <w:tr>
        <w:trPr>
          <w:trHeight w:val="187"/>
        </w:trPr>
        <w:tc>
          <w:tcPr>
            <w:tcW w:w="3440" w:type="dxa"/>
            <w:vAlign w:val="bottom"/>
            <w:shd w:val="clear" w:color="auto" w:fill="C0FFFF"/>
          </w:tcPr>
          <w:p>
            <w:pPr>
              <w:spacing w:after="0"/>
              <w:rPr>
                <w:sz w:val="16"/>
                <w:szCs w:val="16"/>
                <w:color w:val="auto"/>
              </w:rPr>
            </w:pPr>
          </w:p>
        </w:tc>
        <w:tc>
          <w:tcPr>
            <w:tcW w:w="2660" w:type="dxa"/>
            <w:vAlign w:val="bottom"/>
            <w:shd w:val="clear" w:color="auto" w:fill="C0FFFF"/>
          </w:tcPr>
          <w:p>
            <w:pPr>
              <w:spacing w:after="0"/>
              <w:rPr>
                <w:sz w:val="16"/>
                <w:szCs w:val="16"/>
                <w:color w:val="auto"/>
              </w:rPr>
            </w:pP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Associated Truck Insurance Services</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Associated Acceptance of Florida,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Associated Acceptance of Oklahoma,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Advance Premium Finance, Inc.</w:t>
            </w:r>
          </w:p>
        </w:tc>
        <w:tc>
          <w:tcPr>
            <w:tcW w:w="26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California</w:t>
            </w:r>
          </w:p>
        </w:tc>
        <w:tc>
          <w:tcPr>
            <w:tcW w:w="5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None</w:t>
            </w:r>
          </w:p>
        </w:tc>
      </w:tr>
      <w:tr>
        <w:trPr>
          <w:trHeight w:val="187"/>
        </w:trPr>
        <w:tc>
          <w:tcPr>
            <w:tcW w:w="3440" w:type="dxa"/>
            <w:vAlign w:val="bottom"/>
            <w:shd w:val="clear" w:color="auto" w:fill="C0FFFF"/>
          </w:tcPr>
          <w:p>
            <w:pPr>
              <w:spacing w:after="0"/>
              <w:rPr>
                <w:sz w:val="20"/>
                <w:szCs w:val="20"/>
                <w:color w:val="auto"/>
              </w:rPr>
            </w:pPr>
            <w:r>
              <w:rPr>
                <w:rFonts w:ascii="Times New Roman" w:cs="Times New Roman" w:eastAsia="Times New Roman" w:hAnsi="Times New Roman"/>
                <w:sz w:val="16"/>
                <w:szCs w:val="16"/>
                <w:color w:val="auto"/>
              </w:rPr>
              <w:t>Adams International Trucks, Inc.</w:t>
            </w:r>
          </w:p>
        </w:tc>
        <w:tc>
          <w:tcPr>
            <w:tcW w:w="2660" w:type="dxa"/>
            <w:vAlign w:val="bottom"/>
            <w:shd w:val="clear" w:color="auto" w:fill="C0FFFF"/>
          </w:tcPr>
          <w:p>
            <w:pPr>
              <w:ind w:left="840"/>
              <w:spacing w:after="0"/>
              <w:rPr>
                <w:sz w:val="20"/>
                <w:szCs w:val="20"/>
                <w:color w:val="auto"/>
              </w:rPr>
            </w:pPr>
            <w:r>
              <w:rPr>
                <w:rFonts w:ascii="Times New Roman" w:cs="Times New Roman" w:eastAsia="Times New Roman" w:hAnsi="Times New Roman"/>
                <w:sz w:val="16"/>
                <w:szCs w:val="16"/>
                <w:color w:val="auto"/>
              </w:rPr>
              <w:t>Delaware</w:t>
            </w:r>
          </w:p>
        </w:tc>
        <w:tc>
          <w:tcPr>
            <w:tcW w:w="5340" w:type="dxa"/>
            <w:vAlign w:val="bottom"/>
            <w:shd w:val="clear" w:color="auto" w:fill="C0FFFF"/>
          </w:tcPr>
          <w:p>
            <w:pPr>
              <w:ind w:left="1040"/>
              <w:spacing w:after="0"/>
              <w:rPr>
                <w:sz w:val="20"/>
                <w:szCs w:val="20"/>
                <w:color w:val="auto"/>
              </w:rPr>
            </w:pPr>
            <w:r>
              <w:rPr>
                <w:rFonts w:ascii="Times New Roman" w:cs="Times New Roman" w:eastAsia="Times New Roman" w:hAnsi="Times New Roman"/>
                <w:sz w:val="16"/>
                <w:szCs w:val="16"/>
                <w:color w:val="auto"/>
              </w:rPr>
              <w:t>None</w:t>
            </w:r>
          </w:p>
        </w:tc>
      </w:tr>
    </w:tbl>
    <w:p>
      <w:pPr>
        <w:sectPr>
          <w:pgSz w:w="11900" w:h="16838" w:orient="portrait"/>
          <w:cols w:equalWidth="0" w:num="1">
            <w:col w:w="11440"/>
          </w:cols>
          <w:pgMar w:left="240" w:top="478" w:right="2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6"/>
          <w:szCs w:val="16"/>
          <w:color w:val="auto"/>
        </w:rPr>
        <w:t>EXHIBIT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23.1</w:t>
      </w:r>
    </w:p>
    <w:p>
      <w:pPr>
        <w:spacing w:after="0" w:line="2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236" w:lineRule="exact"/>
        <w:rPr>
          <w:sz w:val="20"/>
          <w:szCs w:val="20"/>
          <w:color w:val="auto"/>
        </w:rPr>
      </w:pPr>
    </w:p>
    <w:p>
      <w:pPr>
        <w:ind w:left="287" w:hanging="287"/>
        <w:spacing w:after="0"/>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333-170732) pertaining to the Rush Enterprises, Inc. Deferred Compensation Plan;</w:t>
      </w:r>
    </w:p>
    <w:p>
      <w:pPr>
        <w:spacing w:after="0" w:line="18"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333-168231) pertaining to the Rush Enterprises, Inc. 2007 Long-Term Incentive Plan;</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333-144821) pertaining to the Rush Enterprises, Inc. 2007 Long-Term Incentive Plan;</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333-138557) pertaining to the Rush Enterprises, Inc. Amended and Restated 1997 Non-Employee Director Stock Option Plan;</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333-138556) pertaining to the Rush Enterprises, Inc. 2006 Non-Employee Director Stock Option Plan;</w:t>
      </w:r>
    </w:p>
    <w:p>
      <w:pPr>
        <w:spacing w:after="0" w:line="2" w:lineRule="exact"/>
        <w:rPr>
          <w:rFonts w:ascii="Times New Roman" w:cs="Times New Roman" w:eastAsia="Times New Roman" w:hAnsi="Times New Roman"/>
          <w:sz w:val="16"/>
          <w:szCs w:val="16"/>
          <w:color w:val="auto"/>
        </w:rPr>
      </w:pPr>
    </w:p>
    <w:p>
      <w:pPr>
        <w:ind w:left="287" w:right="20" w:hanging="287"/>
        <w:spacing w:after="0" w:line="243" w:lineRule="auto"/>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333-121355) pertaining to the Rush Enterprises, Inc. Long-Term Incentive Plan, the Rush Enterprises, Inc. 2004 Employee Stock Purchase Plan and Certain Non-Plan Options;</w:t>
      </w:r>
    </w:p>
    <w:p>
      <w:pPr>
        <w:ind w:left="287" w:right="20" w:hanging="287"/>
        <w:spacing w:after="0" w:line="243" w:lineRule="auto"/>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333-117305) pertaining to the Rush Enterprises, Inc. Amended and Restated 1997 Non-Employee Director Stock Option Plan and the Rush Enterprises, Inc. Long-Term Incentive Plan;</w:t>
      </w:r>
    </w:p>
    <w:p>
      <w:pPr>
        <w:ind w:left="287" w:hanging="287"/>
        <w:spacing w:after="0"/>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333-70451) pertaining to the Rush Enterprises, Inc. 1997 Non-Employee Director Stock Option Plan; and</w:t>
      </w:r>
    </w:p>
    <w:p>
      <w:pPr>
        <w:spacing w:after="0" w:line="2"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333-07043) pertaining to the Rush Enterprises, Inc. Long-Term Incentive Plan.</w:t>
      </w:r>
    </w:p>
    <w:p>
      <w:pPr>
        <w:spacing w:after="0" w:line="220" w:lineRule="exact"/>
        <w:rPr>
          <w:sz w:val="20"/>
          <w:szCs w:val="20"/>
          <w:color w:val="auto"/>
        </w:rPr>
      </w:pPr>
    </w:p>
    <w:p>
      <w:pPr>
        <w:ind w:left="7" w:right="20"/>
        <w:spacing w:after="0" w:line="267" w:lineRule="auto"/>
        <w:rPr>
          <w:sz w:val="20"/>
          <w:szCs w:val="20"/>
          <w:color w:val="auto"/>
        </w:rPr>
      </w:pPr>
      <w:r>
        <w:rPr>
          <w:rFonts w:ascii="Times New Roman" w:cs="Times New Roman" w:eastAsia="Times New Roman" w:hAnsi="Times New Roman"/>
          <w:sz w:val="16"/>
          <w:szCs w:val="16"/>
          <w:color w:val="auto"/>
        </w:rPr>
        <w:t>of our reports dated March 15, 2013,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2012.</w:t>
      </w:r>
    </w:p>
    <w:p>
      <w:pPr>
        <w:spacing w:after="0" w:line="200" w:lineRule="exact"/>
        <w:rPr>
          <w:sz w:val="20"/>
          <w:szCs w:val="20"/>
          <w:color w:val="auto"/>
        </w:rPr>
      </w:pPr>
    </w:p>
    <w:p>
      <w:pPr>
        <w:spacing w:after="0" w:line="2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San Antonio, Texas</w:t>
      </w:r>
    </w:p>
    <w:p>
      <w:pPr>
        <w:spacing w:after="0" w:line="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March 15, 2013</w:t>
      </w:r>
    </w:p>
    <w:p>
      <w:pPr>
        <w:sectPr>
          <w:pgSz w:w="11900" w:h="16838" w:orient="portrait"/>
          <w:cols w:equalWidth="0" w:num="1">
            <w:col w:w="11447"/>
          </w:cols>
          <w:pgMar w:left="233" w:top="123" w:right="2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 W. M. “Rusty” Rush, certify that:</w:t>
      </w:r>
    </w:p>
    <w:p>
      <w:pPr>
        <w:spacing w:after="0" w:line="236" w:lineRule="exact"/>
        <w:rPr>
          <w:sz w:val="20"/>
          <w:szCs w:val="20"/>
          <w:color w:val="auto"/>
        </w:rPr>
      </w:pPr>
    </w:p>
    <w:p>
      <w:pPr>
        <w:ind w:left="547" w:hanging="547"/>
        <w:spacing w:after="0"/>
        <w:tabs>
          <w:tab w:leader="none" w:pos="54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Rush Enterprises, Inc.;</w:t>
      </w:r>
    </w:p>
    <w:p>
      <w:pPr>
        <w:spacing w:after="0" w:line="235" w:lineRule="exact"/>
        <w:rPr>
          <w:rFonts w:ascii="Times New Roman" w:cs="Times New Roman" w:eastAsia="Times New Roman" w:hAnsi="Times New Roman"/>
          <w:sz w:val="16"/>
          <w:szCs w:val="16"/>
          <w:color w:val="auto"/>
        </w:rPr>
      </w:pPr>
    </w:p>
    <w:p>
      <w:pPr>
        <w:ind w:left="7" w:right="20" w:hanging="7"/>
        <w:spacing w:after="0" w:line="267" w:lineRule="auto"/>
        <w:tabs>
          <w:tab w:leader="none" w:pos="57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Times New Roman" w:cs="Times New Roman" w:eastAsia="Times New Roman" w:hAnsi="Times New Roman"/>
          <w:sz w:val="16"/>
          <w:szCs w:val="16"/>
          <w:color w:val="auto"/>
        </w:rPr>
      </w:pPr>
    </w:p>
    <w:p>
      <w:pPr>
        <w:ind w:left="7" w:hanging="7"/>
        <w:spacing w:after="0" w:line="267" w:lineRule="auto"/>
        <w:tabs>
          <w:tab w:leader="none" w:pos="59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Times New Roman" w:cs="Times New Roman" w:eastAsia="Times New Roman" w:hAnsi="Times New Roman"/>
          <w:sz w:val="16"/>
          <w:szCs w:val="16"/>
          <w:color w:val="auto"/>
        </w:rPr>
      </w:pPr>
    </w:p>
    <w:p>
      <w:pPr>
        <w:ind w:left="7" w:hanging="7"/>
        <w:spacing w:after="0" w:line="267" w:lineRule="auto"/>
        <w:tabs>
          <w:tab w:leader="none" w:pos="5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jc w:val="both"/>
        <w:ind w:left="7" w:firstLine="553"/>
        <w:spacing w:after="0" w:line="255" w:lineRule="auto"/>
        <w:tabs>
          <w:tab w:leader="none" w:pos="120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6"/>
          <w:szCs w:val="16"/>
          <w:color w:val="auto"/>
        </w:rPr>
      </w:pPr>
    </w:p>
    <w:p>
      <w:pPr>
        <w:jc w:val="both"/>
        <w:ind w:left="7" w:right="20" w:firstLine="553"/>
        <w:spacing w:after="0" w:line="255" w:lineRule="auto"/>
        <w:tabs>
          <w:tab w:leader="none" w:pos="125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6"/>
          <w:szCs w:val="16"/>
          <w:color w:val="auto"/>
        </w:rPr>
      </w:pPr>
    </w:p>
    <w:p>
      <w:pPr>
        <w:ind w:left="7" w:right="20" w:firstLine="553"/>
        <w:spacing w:after="0" w:line="267" w:lineRule="auto"/>
        <w:tabs>
          <w:tab w:leader="none" w:pos="1134"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Times New Roman" w:cs="Times New Roman" w:eastAsia="Times New Roman" w:hAnsi="Times New Roman"/>
          <w:sz w:val="16"/>
          <w:szCs w:val="16"/>
          <w:color w:val="auto"/>
        </w:rPr>
      </w:pPr>
    </w:p>
    <w:p>
      <w:pPr>
        <w:jc w:val="both"/>
        <w:ind w:left="7" w:firstLine="553"/>
        <w:spacing w:after="0" w:line="255" w:lineRule="auto"/>
        <w:tabs>
          <w:tab w:leader="none" w:pos="1252"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6"/>
          <w:szCs w:val="16"/>
          <w:color w:val="auto"/>
        </w:rPr>
      </w:pPr>
    </w:p>
    <w:p>
      <w:pPr>
        <w:ind w:left="7" w:right="20" w:hanging="7"/>
        <w:spacing w:after="0" w:line="267" w:lineRule="auto"/>
        <w:tabs>
          <w:tab w:leader="none" w:pos="61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Times New Roman" w:cs="Times New Roman" w:eastAsia="Times New Roman" w:hAnsi="Times New Roman"/>
          <w:sz w:val="16"/>
          <w:szCs w:val="16"/>
          <w:color w:val="auto"/>
        </w:rPr>
      </w:pPr>
    </w:p>
    <w:p>
      <w:pPr>
        <w:ind w:left="7" w:right="20" w:firstLine="553"/>
        <w:spacing w:after="0" w:line="267" w:lineRule="auto"/>
        <w:tabs>
          <w:tab w:leader="none" w:pos="120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Times New Roman" w:cs="Times New Roman" w:eastAsia="Times New Roman" w:hAnsi="Times New Roman"/>
          <w:sz w:val="16"/>
          <w:szCs w:val="16"/>
          <w:color w:val="auto"/>
        </w:rPr>
      </w:pPr>
    </w:p>
    <w:p>
      <w:pPr>
        <w:ind w:left="1287" w:hanging="727"/>
        <w:spacing w:after="0"/>
        <w:tabs>
          <w:tab w:leader="none" w:pos="128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18"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53" w:lineRule="exact"/>
        <w:rPr>
          <w:sz w:val="20"/>
          <w:szCs w:val="20"/>
          <w:color w:val="auto"/>
        </w:rPr>
      </w:pPr>
    </w:p>
    <w:p>
      <w:pPr>
        <w:ind w:left="567"/>
        <w:spacing w:after="0"/>
        <w:tabs>
          <w:tab w:leader="none" w:pos="5706" w:val="left"/>
          <w:tab w:leader="none" w:pos="6046" w:val="left"/>
        </w:tabs>
        <w:rPr>
          <w:sz w:val="20"/>
          <w:szCs w:val="20"/>
          <w:color w:val="auto"/>
        </w:rPr>
      </w:pPr>
      <w:r>
        <w:rPr>
          <w:rFonts w:ascii="Times New Roman" w:cs="Times New Roman" w:eastAsia="Times New Roman" w:hAnsi="Times New Roman"/>
          <w:sz w:val="16"/>
          <w:szCs w:val="16"/>
          <w:color w:val="auto"/>
        </w:rPr>
        <w:t>Date: March 15, 2013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19685</wp:posOffset>
            </wp:positionV>
            <wp:extent cx="254000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00" cy="14605"/>
                    </a:xfrm>
                    <a:prstGeom prst="rect">
                      <a:avLst/>
                    </a:prstGeom>
                    <a:noFill/>
                  </pic:spPr>
                </pic:pic>
              </a:graphicData>
            </a:graphic>
          </wp:anchor>
        </w:drawing>
      </w:r>
    </w:p>
    <w:p>
      <w:pPr>
        <w:spacing w:after="0" w:line="18" w:lineRule="exact"/>
        <w:rPr>
          <w:sz w:val="20"/>
          <w:szCs w:val="20"/>
          <w:color w:val="auto"/>
        </w:rPr>
      </w:pPr>
    </w:p>
    <w:p>
      <w:pPr>
        <w:ind w:left="6067"/>
        <w:spacing w:after="0"/>
        <w:rPr>
          <w:sz w:val="20"/>
          <w:szCs w:val="20"/>
          <w:color w:val="auto"/>
        </w:rPr>
      </w:pPr>
      <w:r>
        <w:rPr>
          <w:rFonts w:ascii="Times New Roman" w:cs="Times New Roman" w:eastAsia="Times New Roman" w:hAnsi="Times New Roman"/>
          <w:sz w:val="16"/>
          <w:szCs w:val="16"/>
          <w:color w:val="auto"/>
        </w:rPr>
        <w:t>W. M. “Rusty” Rush</w:t>
      </w:r>
    </w:p>
    <w:p>
      <w:pPr>
        <w:spacing w:after="0" w:line="189" w:lineRule="exact"/>
        <w:rPr>
          <w:sz w:val="20"/>
          <w:szCs w:val="20"/>
          <w:color w:val="auto"/>
        </w:rPr>
      </w:pPr>
    </w:p>
    <w:p>
      <w:pPr>
        <w:ind w:left="6067"/>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ind w:left="6067"/>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447"/>
          </w:cols>
          <w:pgMar w:left="233" w:top="123" w:right="2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6"/>
          <w:szCs w:val="16"/>
          <w:color w:val="auto"/>
        </w:rPr>
        <w:t>EXHIBIT 31.2</w:t>
      </w:r>
    </w:p>
    <w:p>
      <w:pPr>
        <w:spacing w:after="0" w:line="23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 Steven L. Keller, certify that:</w:t>
      </w:r>
    </w:p>
    <w:p>
      <w:pPr>
        <w:spacing w:after="0" w:line="236" w:lineRule="exact"/>
        <w:rPr>
          <w:sz w:val="20"/>
          <w:szCs w:val="20"/>
          <w:color w:val="auto"/>
        </w:rPr>
      </w:pPr>
    </w:p>
    <w:p>
      <w:pPr>
        <w:ind w:left="547" w:hanging="547"/>
        <w:spacing w:after="0"/>
        <w:tabs>
          <w:tab w:leader="none" w:pos="54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Rush Enterprises, Inc.;</w:t>
      </w:r>
    </w:p>
    <w:p>
      <w:pPr>
        <w:spacing w:after="0" w:line="235" w:lineRule="exact"/>
        <w:rPr>
          <w:rFonts w:ascii="Times New Roman" w:cs="Times New Roman" w:eastAsia="Times New Roman" w:hAnsi="Times New Roman"/>
          <w:sz w:val="16"/>
          <w:szCs w:val="16"/>
          <w:color w:val="auto"/>
        </w:rPr>
      </w:pPr>
    </w:p>
    <w:p>
      <w:pPr>
        <w:ind w:left="7" w:right="20" w:hanging="7"/>
        <w:spacing w:after="0" w:line="267" w:lineRule="auto"/>
        <w:tabs>
          <w:tab w:leader="none" w:pos="57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Times New Roman" w:cs="Times New Roman" w:eastAsia="Times New Roman" w:hAnsi="Times New Roman"/>
          <w:sz w:val="16"/>
          <w:szCs w:val="16"/>
          <w:color w:val="auto"/>
        </w:rPr>
      </w:pPr>
    </w:p>
    <w:p>
      <w:pPr>
        <w:ind w:left="7" w:hanging="7"/>
        <w:spacing w:after="0" w:line="267" w:lineRule="auto"/>
        <w:tabs>
          <w:tab w:leader="none" w:pos="59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Times New Roman" w:cs="Times New Roman" w:eastAsia="Times New Roman" w:hAnsi="Times New Roman"/>
          <w:sz w:val="16"/>
          <w:szCs w:val="16"/>
          <w:color w:val="auto"/>
        </w:rPr>
      </w:pPr>
    </w:p>
    <w:p>
      <w:pPr>
        <w:ind w:left="7" w:hanging="7"/>
        <w:spacing w:after="0" w:line="267" w:lineRule="auto"/>
        <w:tabs>
          <w:tab w:leader="none" w:pos="57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jc w:val="both"/>
        <w:ind w:left="7" w:firstLine="553"/>
        <w:spacing w:after="0" w:line="255" w:lineRule="auto"/>
        <w:tabs>
          <w:tab w:leader="none" w:pos="120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6"/>
          <w:szCs w:val="16"/>
          <w:color w:val="auto"/>
        </w:rPr>
      </w:pPr>
    </w:p>
    <w:p>
      <w:pPr>
        <w:jc w:val="both"/>
        <w:ind w:left="7" w:right="20" w:firstLine="553"/>
        <w:spacing w:after="0" w:line="255" w:lineRule="auto"/>
        <w:tabs>
          <w:tab w:leader="none" w:pos="1259"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6"/>
          <w:szCs w:val="16"/>
          <w:color w:val="auto"/>
        </w:rPr>
      </w:pPr>
    </w:p>
    <w:p>
      <w:pPr>
        <w:ind w:left="7" w:right="20" w:firstLine="553"/>
        <w:spacing w:after="0" w:line="267" w:lineRule="auto"/>
        <w:tabs>
          <w:tab w:leader="none" w:pos="1134"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Times New Roman" w:cs="Times New Roman" w:eastAsia="Times New Roman" w:hAnsi="Times New Roman"/>
          <w:sz w:val="16"/>
          <w:szCs w:val="16"/>
          <w:color w:val="auto"/>
        </w:rPr>
      </w:pPr>
    </w:p>
    <w:p>
      <w:pPr>
        <w:jc w:val="both"/>
        <w:ind w:left="7" w:firstLine="553"/>
        <w:spacing w:after="0" w:line="255" w:lineRule="auto"/>
        <w:tabs>
          <w:tab w:leader="none" w:pos="1252"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6"/>
          <w:szCs w:val="16"/>
          <w:color w:val="auto"/>
        </w:rPr>
      </w:pPr>
    </w:p>
    <w:p>
      <w:pPr>
        <w:ind w:left="7" w:right="20" w:hanging="7"/>
        <w:spacing w:after="0" w:line="267" w:lineRule="auto"/>
        <w:tabs>
          <w:tab w:leader="none" w:pos="61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Times New Roman" w:cs="Times New Roman" w:eastAsia="Times New Roman" w:hAnsi="Times New Roman"/>
          <w:sz w:val="16"/>
          <w:szCs w:val="16"/>
          <w:color w:val="auto"/>
        </w:rPr>
      </w:pPr>
    </w:p>
    <w:p>
      <w:pPr>
        <w:ind w:left="7" w:right="20" w:firstLine="553"/>
        <w:spacing w:after="0" w:line="267" w:lineRule="auto"/>
        <w:tabs>
          <w:tab w:leader="none" w:pos="120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Times New Roman" w:cs="Times New Roman" w:eastAsia="Times New Roman" w:hAnsi="Times New Roman"/>
          <w:sz w:val="16"/>
          <w:szCs w:val="16"/>
          <w:color w:val="auto"/>
        </w:rPr>
      </w:pPr>
    </w:p>
    <w:p>
      <w:pPr>
        <w:ind w:left="1287" w:hanging="727"/>
        <w:spacing w:after="0"/>
        <w:tabs>
          <w:tab w:leader="none" w:pos="128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18"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37" w:lineRule="exact"/>
        <w:rPr>
          <w:sz w:val="20"/>
          <w:szCs w:val="20"/>
          <w:color w:val="auto"/>
        </w:rPr>
      </w:pPr>
    </w:p>
    <w:tbl>
      <w:tblPr>
        <w:tblLayout w:type="fixed"/>
        <w:tblInd w:w="567" w:type="dxa"/>
        <w:tblCellMar>
          <w:top w:w="0" w:type="dxa"/>
          <w:left w:w="0" w:type="dxa"/>
          <w:bottom w:w="0" w:type="dxa"/>
          <w:right w:w="0" w:type="dxa"/>
        </w:tblCellMar>
      </w:tblP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15, 2013</w:t>
            </w:r>
          </w:p>
        </w:tc>
        <w:tc>
          <w:tcPr>
            <w:tcW w:w="5040" w:type="dxa"/>
            <w:vAlign w:val="bottom"/>
            <w:gridSpan w:val="3"/>
          </w:tcPr>
          <w:p>
            <w:pPr>
              <w:ind w:left="1900"/>
              <w:spacing w:after="0"/>
              <w:rPr>
                <w:sz w:val="20"/>
                <w:szCs w:val="20"/>
                <w:color w:val="auto"/>
              </w:rPr>
            </w:pPr>
            <w:r>
              <w:rPr>
                <w:rFonts w:ascii="Times New Roman" w:cs="Times New Roman" w:eastAsia="Times New Roman" w:hAnsi="Times New Roman"/>
                <w:sz w:val="16"/>
                <w:szCs w:val="16"/>
                <w:color w:val="auto"/>
              </w:rPr>
              <w:t>By:  /S/ STEVEN L. KELLER</w:t>
            </w:r>
          </w:p>
        </w:tc>
      </w:tr>
      <w:tr>
        <w:trPr>
          <w:trHeight w:val="201"/>
        </w:trPr>
        <w:tc>
          <w:tcPr>
            <w:tcW w:w="3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Steven L. Keller</w:t>
            </w:r>
          </w:p>
        </w:tc>
        <w:tc>
          <w:tcPr>
            <w:tcW w:w="1180" w:type="dxa"/>
            <w:vAlign w:val="bottom"/>
          </w:tcPr>
          <w:p>
            <w:pPr>
              <w:spacing w:after="0"/>
              <w:rPr>
                <w:sz w:val="17"/>
                <w:szCs w:val="17"/>
                <w:color w:val="auto"/>
              </w:rPr>
            </w:pPr>
          </w:p>
        </w:tc>
      </w:tr>
      <w:tr>
        <w:trPr>
          <w:trHeight w:val="357"/>
        </w:trPr>
        <w:tc>
          <w:tcPr>
            <w:tcW w:w="3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and Chief Financial Officer</w:t>
            </w:r>
          </w:p>
        </w:tc>
      </w:tr>
      <w:tr>
        <w:trPr>
          <w:trHeight w:val="203"/>
        </w:trPr>
        <w:tc>
          <w:tcPr>
            <w:tcW w:w="3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(Principal Financial and Accounting Officer)</w:t>
            </w:r>
          </w:p>
        </w:tc>
      </w:tr>
    </w:tbl>
    <w:p>
      <w:pPr>
        <w:sectPr>
          <w:pgSz w:w="11900" w:h="16838" w:orient="portrait"/>
          <w:cols w:equalWidth="0" w:num="1">
            <w:col w:w="11447"/>
          </w:cols>
          <w:pgMar w:left="233" w:top="123" w:right="2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0" w:lineRule="exact"/>
        <w:rPr>
          <w:sz w:val="20"/>
          <w:szCs w:val="20"/>
          <w:color w:val="auto"/>
        </w:rPr>
      </w:pPr>
    </w:p>
    <w:p>
      <w:pPr>
        <w:jc w:val="both"/>
        <w:ind w:firstLine="560"/>
        <w:spacing w:after="0" w:line="255" w:lineRule="auto"/>
        <w:rPr>
          <w:sz w:val="20"/>
          <w:szCs w:val="20"/>
          <w:color w:val="auto"/>
        </w:rPr>
      </w:pPr>
      <w:r>
        <w:rPr>
          <w:rFonts w:ascii="Times New Roman" w:cs="Times New Roman" w:eastAsia="Times New Roman" w:hAnsi="Times New Roman"/>
          <w:sz w:val="16"/>
          <w:szCs w:val="16"/>
          <w:color w:val="auto"/>
        </w:rPr>
        <w:t>In connection with this annual report of Rush Enterprises, Inc. (the “Company”) on Form 10-K for the year ended December 31, 2012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207" w:lineRule="exact"/>
        <w:rPr>
          <w:sz w:val="20"/>
          <w:szCs w:val="20"/>
          <w:color w:val="auto"/>
        </w:rPr>
      </w:pPr>
    </w:p>
    <w:p>
      <w:pPr>
        <w:ind w:left="1100" w:hanging="547"/>
        <w:spacing w:after="0"/>
        <w:tabs>
          <w:tab w:leader="none" w:pos="11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35" w:lineRule="exact"/>
        <w:rPr>
          <w:rFonts w:ascii="Times New Roman" w:cs="Times New Roman" w:eastAsia="Times New Roman" w:hAnsi="Times New Roman"/>
          <w:sz w:val="16"/>
          <w:szCs w:val="16"/>
          <w:color w:val="auto"/>
        </w:rPr>
      </w:pPr>
    </w:p>
    <w:p>
      <w:pPr>
        <w:ind w:left="1100" w:hanging="547"/>
        <w:spacing w:after="0"/>
        <w:tabs>
          <w:tab w:leader="none" w:pos="11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76" w:lineRule="exact"/>
        <w:rPr>
          <w:sz w:val="20"/>
          <w:szCs w:val="20"/>
          <w:color w:val="auto"/>
        </w:rPr>
      </w:pPr>
    </w:p>
    <w:p>
      <w:pPr>
        <w:ind w:left="5660"/>
        <w:spacing w:after="0"/>
        <w:tabs>
          <w:tab w:leader="none" w:pos="60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u w:val="single" w:color="auto"/>
          <w:color w:val="auto"/>
        </w:rPr>
        <w:t>/S/ W. M. “RUSTY” RUSH</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Name:W. M. “Rusty” Rush</w:t>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Title: President and Chief Executive Officer</w:t>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Date: March 15, 2013</w:t>
      </w:r>
    </w:p>
    <w:p>
      <w:pPr>
        <w:sectPr>
          <w:pgSz w:w="11900" w:h="16838" w:orient="portrait"/>
          <w:cols w:equalWidth="0" w:num="1">
            <w:col w:w="11440"/>
          </w:cols>
          <w:pgMar w:left="240" w:top="123" w:right="2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6"/>
          <w:szCs w:val="16"/>
          <w:color w:val="auto"/>
        </w:rPr>
        <w:t>EXHIBIT 32.2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0" w:lineRule="exact"/>
        <w:rPr>
          <w:sz w:val="20"/>
          <w:szCs w:val="20"/>
          <w:color w:val="auto"/>
        </w:rPr>
      </w:pPr>
    </w:p>
    <w:p>
      <w:pPr>
        <w:jc w:val="both"/>
        <w:ind w:right="20" w:firstLine="560"/>
        <w:spacing w:after="0" w:line="255" w:lineRule="auto"/>
        <w:rPr>
          <w:sz w:val="20"/>
          <w:szCs w:val="20"/>
          <w:color w:val="auto"/>
        </w:rPr>
      </w:pPr>
      <w:r>
        <w:rPr>
          <w:rFonts w:ascii="Times New Roman" w:cs="Times New Roman" w:eastAsia="Times New Roman" w:hAnsi="Times New Roman"/>
          <w:sz w:val="16"/>
          <w:szCs w:val="16"/>
          <w:color w:val="auto"/>
        </w:rPr>
        <w:t>In connection with this annual report of Rush Enterprises, Inc. (the “Company”) on Form 10-K for the year ended December 31, 2012 as filed with the Securities and Exchange Commission on the date hereof (the “Report”), I, Steven L. Keller, Vice President and Chief Financial Officer of the Company, certify, pursuant to 18 U.S.C. Section 1350, as adopted pursuant to Section 906 of the Sarbanes-Oxley Act of 2002, that:</w:t>
      </w:r>
    </w:p>
    <w:p>
      <w:pPr>
        <w:spacing w:after="0" w:line="207" w:lineRule="exact"/>
        <w:rPr>
          <w:sz w:val="20"/>
          <w:szCs w:val="20"/>
          <w:color w:val="auto"/>
        </w:rPr>
      </w:pPr>
    </w:p>
    <w:p>
      <w:pPr>
        <w:ind w:left="1100" w:hanging="547"/>
        <w:spacing w:after="0"/>
        <w:tabs>
          <w:tab w:leader="none" w:pos="1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35" w:lineRule="exact"/>
        <w:rPr>
          <w:rFonts w:ascii="Times New Roman" w:cs="Times New Roman" w:eastAsia="Times New Roman" w:hAnsi="Times New Roman"/>
          <w:sz w:val="16"/>
          <w:szCs w:val="16"/>
          <w:color w:val="auto"/>
        </w:rPr>
      </w:pPr>
    </w:p>
    <w:p>
      <w:pPr>
        <w:ind w:left="1100" w:hanging="547"/>
        <w:spacing w:after="0"/>
        <w:tabs>
          <w:tab w:leader="none" w:pos="1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5500" w:type="dxa"/>
        <w:tblCellMar>
          <w:top w:w="0" w:type="dxa"/>
          <w:left w:w="0" w:type="dxa"/>
          <w:bottom w:w="0" w:type="dxa"/>
          <w:right w:w="0" w:type="dxa"/>
        </w:tblCellMar>
      </w:tblPr>
      <w:tr>
        <w:trPr>
          <w:trHeight w:val="184"/>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/S/ STEVEN L. KELLER</w:t>
            </w:r>
          </w:p>
        </w:tc>
        <w:tc>
          <w:tcPr>
            <w:tcW w:w="1000" w:type="dxa"/>
            <w:vAlign w:val="bottom"/>
          </w:tcPr>
          <w:p>
            <w:pPr>
              <w:spacing w:after="0"/>
              <w:rPr>
                <w:sz w:val="16"/>
                <w:szCs w:val="16"/>
                <w:color w:val="auto"/>
              </w:rPr>
            </w:pPr>
          </w:p>
        </w:tc>
      </w:tr>
      <w:tr>
        <w:trPr>
          <w:trHeight w:val="185"/>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L. Keller</w:t>
            </w:r>
          </w:p>
        </w:tc>
      </w:tr>
      <w:tr>
        <w:trPr>
          <w:trHeight w:val="1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Vice President and Chief Financial Officer</w:t>
            </w:r>
          </w:p>
        </w:tc>
      </w:tr>
      <w:tr>
        <w:trPr>
          <w:trHeight w:val="20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15, 2013</w:t>
            </w:r>
          </w:p>
        </w:tc>
      </w:tr>
    </w:tbl>
    <w:p>
      <w:pPr>
        <w:spacing w:after="0" w:line="1" w:lineRule="exact"/>
        <w:rPr>
          <w:sz w:val="20"/>
          <w:szCs w:val="20"/>
          <w:color w:val="auto"/>
        </w:rPr>
      </w:pP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9"/>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1."/>
      <w:numFmt w:val="decimal"/>
      <w:start w:val="15"/>
    </w:lvl>
  </w:abstractNum>
  <w:abstractNum w:abstractNumId="17">
    <w:nsid w:val="8EDBDAB"/>
    <w:multiLevelType w:val="hybridMultilevel"/>
    <w:lvl w:ilvl="0">
      <w:lvlJc w:val="left"/>
      <w:lvlText w:val="%1."/>
      <w:numFmt w:val="decimal"/>
      <w:start w:val="16"/>
    </w:lvl>
  </w:abstractNum>
  <w:abstractNum w:abstractNumId="18">
    <w:nsid w:val="79838CB2"/>
    <w:multiLevelType w:val="hybridMultilevel"/>
    <w:lvl w:ilvl="0">
      <w:lvlJc w:val="left"/>
      <w:lvlText w:val="%1."/>
      <w:numFmt w:val="decimal"/>
      <w:start w:val="17"/>
    </w:lvl>
  </w:abstractNum>
  <w:abstractNum w:abstractNumId="19">
    <w:nsid w:val="4353D0CD"/>
    <w:multiLevelType w:val="hybridMultilevel"/>
    <w:lvl w:ilvl="0">
      <w:lvlJc w:val="left"/>
      <w:lvlText w:val="%1."/>
      <w:numFmt w:val="decimal"/>
      <w:start w:val="18"/>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2019-12-06T15:45:15Z</dcterms:created>
  <dcterms:modified xsi:type="dcterms:W3CDTF">2019-12-06T15:45:15Z</dcterms:modified>
</cp:coreProperties>
</file>