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720" w:right="200" w:hanging="712"/>
        <w:spacing w:after="0" w:line="237" w:lineRule="auto"/>
        <w:tabs>
          <w:tab w:leader="none" w:pos="7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220" w:hanging="712"/>
        <w:spacing w:after="0" w:line="256" w:lineRule="auto"/>
        <w:tabs>
          <w:tab w:leader="none" w:pos="7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6080" w:type="dxa"/>
            <w:vAlign w:val="bottom"/>
          </w:tcPr>
          <w:p>
            <w:pPr>
              <w:spacing w:after="0"/>
              <w:rPr>
                <w:sz w:val="20"/>
                <w:szCs w:val="20"/>
                <w:color w:val="auto"/>
              </w:rPr>
            </w:pPr>
            <w:r>
              <w:rPr>
                <w:rFonts w:ascii="Arial" w:cs="Arial" w:eastAsia="Arial" w:hAnsi="Arial"/>
                <w:sz w:val="18"/>
                <w:szCs w:val="18"/>
                <w:b w:val="1"/>
                <w:bCs w:val="1"/>
                <w:color w:val="auto"/>
              </w:rPr>
              <w:t>to</w:t>
            </w:r>
          </w:p>
        </w:tc>
      </w:tr>
      <w:tr>
        <w:trPr>
          <w:trHeight w:val="432"/>
        </w:trPr>
        <w:tc>
          <w:tcPr>
            <w:tcW w:w="3860" w:type="dxa"/>
            <w:vAlign w:val="bottom"/>
          </w:tcPr>
          <w:p>
            <w:pPr>
              <w:spacing w:after="0"/>
              <w:rPr>
                <w:sz w:val="24"/>
                <w:szCs w:val="24"/>
                <w:color w:val="auto"/>
              </w:rPr>
            </w:pPr>
          </w:p>
        </w:tc>
        <w:tc>
          <w:tcPr>
            <w:tcW w:w="6080" w:type="dxa"/>
            <w:vAlign w:val="bottom"/>
          </w:tcPr>
          <w:p>
            <w:pPr>
              <w:jc w:val="center"/>
              <w:ind w:right="2290"/>
              <w:spacing w:after="0"/>
              <w:rPr>
                <w:sz w:val="20"/>
                <w:szCs w:val="20"/>
                <w:color w:val="auto"/>
              </w:rPr>
            </w:pPr>
            <w:r>
              <w:rPr>
                <w:rFonts w:ascii="Arial" w:cs="Arial" w:eastAsia="Arial" w:hAnsi="Arial"/>
                <w:sz w:val="18"/>
                <w:szCs w:val="18"/>
                <w:b w:val="1"/>
                <w:bCs w:val="1"/>
                <w:color w:val="auto"/>
                <w:w w:val="90"/>
              </w:rPr>
              <w:t>Commission file number 0-20797</w:t>
            </w:r>
          </w:p>
        </w:tc>
      </w:tr>
      <w:tr>
        <w:trPr>
          <w:trHeight w:val="566"/>
        </w:trPr>
        <w:tc>
          <w:tcPr>
            <w:tcW w:w="9940" w:type="dxa"/>
            <w:vAlign w:val="bottom"/>
            <w:gridSpan w:val="2"/>
          </w:tcPr>
          <w:p>
            <w:pPr>
              <w:jc w:val="center"/>
              <w:ind w:left="1378"/>
              <w:spacing w:after="0"/>
              <w:rPr>
                <w:sz w:val="20"/>
                <w:szCs w:val="20"/>
                <w:color w:val="auto"/>
              </w:rPr>
            </w:pPr>
            <w:r>
              <w:rPr>
                <w:rFonts w:ascii="Arial" w:cs="Arial" w:eastAsia="Arial" w:hAnsi="Arial"/>
                <w:sz w:val="32"/>
                <w:szCs w:val="32"/>
                <w:b w:val="1"/>
                <w:bCs w:val="1"/>
                <w:color w:val="auto"/>
                <w:w w:val="99"/>
              </w:rPr>
              <w:t>RUSH ENTERPRISES, INC.</w:t>
            </w:r>
          </w:p>
        </w:tc>
      </w:tr>
      <w:tr>
        <w:trPr>
          <w:trHeight w:val="230"/>
        </w:trPr>
        <w:tc>
          <w:tcPr>
            <w:tcW w:w="3860" w:type="dxa"/>
            <w:vAlign w:val="bottom"/>
          </w:tcPr>
          <w:p>
            <w:pPr>
              <w:spacing w:after="0"/>
              <w:rPr>
                <w:sz w:val="20"/>
                <w:szCs w:val="20"/>
                <w:color w:val="auto"/>
              </w:rPr>
            </w:pPr>
          </w:p>
        </w:tc>
        <w:tc>
          <w:tcPr>
            <w:tcW w:w="6080" w:type="dxa"/>
            <w:vAlign w:val="bottom"/>
          </w:tcPr>
          <w:p>
            <w:pPr>
              <w:jc w:val="center"/>
              <w:ind w:right="227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3860" w:type="dxa"/>
            <w:vAlign w:val="bottom"/>
          </w:tcPr>
          <w:p>
            <w:pPr>
              <w:jc w:val="center"/>
              <w:ind w:left="1658"/>
              <w:spacing w:after="0"/>
              <w:rPr>
                <w:sz w:val="20"/>
                <w:szCs w:val="20"/>
                <w:color w:val="auto"/>
              </w:rPr>
            </w:pPr>
            <w:r>
              <w:rPr>
                <w:rFonts w:ascii="Arial" w:cs="Arial" w:eastAsia="Arial" w:hAnsi="Arial"/>
                <w:sz w:val="18"/>
                <w:szCs w:val="18"/>
                <w:b w:val="1"/>
                <w:bCs w:val="1"/>
                <w:color w:val="auto"/>
                <w:w w:val="82"/>
              </w:rPr>
              <w:t>Texas</w:t>
            </w:r>
          </w:p>
        </w:tc>
        <w:tc>
          <w:tcPr>
            <w:tcW w:w="6080" w:type="dxa"/>
            <w:vAlign w:val="bottom"/>
          </w:tcPr>
          <w:p>
            <w:pPr>
              <w:jc w:val="right"/>
              <w:ind w:right="790"/>
              <w:spacing w:after="0"/>
              <w:rPr>
                <w:sz w:val="20"/>
                <w:szCs w:val="20"/>
                <w:color w:val="auto"/>
              </w:rPr>
            </w:pPr>
            <w:r>
              <w:rPr>
                <w:rFonts w:ascii="Arial" w:cs="Arial" w:eastAsia="Arial" w:hAnsi="Arial"/>
                <w:sz w:val="18"/>
                <w:szCs w:val="18"/>
                <w:b w:val="1"/>
                <w:bCs w:val="1"/>
                <w:color w:val="auto"/>
              </w:rPr>
              <w:t>74-1733016</w:t>
            </w:r>
          </w:p>
        </w:tc>
      </w:tr>
      <w:tr>
        <w:trPr>
          <w:trHeight w:val="216"/>
        </w:trPr>
        <w:tc>
          <w:tcPr>
            <w:tcW w:w="3860" w:type="dxa"/>
            <w:vAlign w:val="bottom"/>
          </w:tcPr>
          <w:p>
            <w:pPr>
              <w:jc w:val="center"/>
              <w:ind w:left="1658"/>
              <w:spacing w:after="0"/>
              <w:rPr>
                <w:sz w:val="20"/>
                <w:szCs w:val="20"/>
                <w:color w:val="auto"/>
              </w:rPr>
            </w:pPr>
            <w:r>
              <w:rPr>
                <w:rFonts w:ascii="Arial" w:cs="Arial" w:eastAsia="Arial" w:hAnsi="Arial"/>
                <w:sz w:val="18"/>
                <w:szCs w:val="18"/>
                <w:color w:val="auto"/>
                <w:w w:val="93"/>
              </w:rPr>
              <w:t>(State or other jurisdiction of</w:t>
            </w:r>
          </w:p>
        </w:tc>
        <w:tc>
          <w:tcPr>
            <w:tcW w:w="6080" w:type="dxa"/>
            <w:vAlign w:val="bottom"/>
          </w:tcPr>
          <w:p>
            <w:pPr>
              <w:jc w:val="center"/>
              <w:ind w:left="33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9940" w:type="dxa"/>
            <w:vAlign w:val="bottom"/>
            <w:gridSpan w:val="2"/>
          </w:tcPr>
          <w:p>
            <w:pPr>
              <w:jc w:val="center"/>
              <w:ind w:right="4230"/>
              <w:spacing w:after="0"/>
              <w:rPr>
                <w:sz w:val="20"/>
                <w:szCs w:val="20"/>
                <w:color w:val="auto"/>
              </w:rPr>
            </w:pPr>
            <w:r>
              <w:rPr>
                <w:rFonts w:ascii="Arial" w:cs="Arial" w:eastAsia="Arial" w:hAnsi="Arial"/>
                <w:sz w:val="18"/>
                <w:szCs w:val="18"/>
                <w:color w:val="auto"/>
                <w:w w:val="93"/>
              </w:rPr>
              <w:t>incorporation or organization)</w:t>
            </w:r>
          </w:p>
        </w:tc>
      </w:tr>
      <w:tr>
        <w:trPr>
          <w:trHeight w:val="414"/>
        </w:trPr>
        <w:tc>
          <w:tcPr>
            <w:tcW w:w="3860" w:type="dxa"/>
            <w:vAlign w:val="bottom"/>
          </w:tcPr>
          <w:p>
            <w:pPr>
              <w:spacing w:after="0"/>
              <w:rPr>
                <w:sz w:val="24"/>
                <w:szCs w:val="24"/>
                <w:color w:val="auto"/>
              </w:rPr>
            </w:pPr>
          </w:p>
        </w:tc>
        <w:tc>
          <w:tcPr>
            <w:tcW w:w="6080" w:type="dxa"/>
            <w:vAlign w:val="bottom"/>
          </w:tcPr>
          <w:p>
            <w:pPr>
              <w:jc w:val="center"/>
              <w:ind w:right="2290"/>
              <w:spacing w:after="0"/>
              <w:rPr>
                <w:sz w:val="20"/>
                <w:szCs w:val="20"/>
                <w:color w:val="auto"/>
              </w:rPr>
            </w:pPr>
            <w:r>
              <w:rPr>
                <w:rFonts w:ascii="Arial" w:cs="Arial" w:eastAsia="Arial" w:hAnsi="Arial"/>
                <w:sz w:val="18"/>
                <w:szCs w:val="18"/>
                <w:b w:val="1"/>
                <w:bCs w:val="1"/>
                <w:color w:val="auto"/>
                <w:w w:val="91"/>
              </w:rPr>
              <w:t>555 I.H. 35 South, Suite 500</w:t>
            </w:r>
          </w:p>
        </w:tc>
      </w:tr>
      <w:tr>
        <w:trPr>
          <w:trHeight w:val="220"/>
        </w:trPr>
        <w:tc>
          <w:tcPr>
            <w:tcW w:w="3860" w:type="dxa"/>
            <w:vAlign w:val="bottom"/>
          </w:tcPr>
          <w:p>
            <w:pPr>
              <w:spacing w:after="0"/>
              <w:rPr>
                <w:sz w:val="19"/>
                <w:szCs w:val="19"/>
                <w:color w:val="auto"/>
              </w:rPr>
            </w:pPr>
          </w:p>
        </w:tc>
        <w:tc>
          <w:tcPr>
            <w:tcW w:w="6080" w:type="dxa"/>
            <w:vAlign w:val="bottom"/>
          </w:tcPr>
          <w:p>
            <w:pPr>
              <w:jc w:val="center"/>
              <w:ind w:right="2270"/>
              <w:spacing w:after="0"/>
              <w:rPr>
                <w:sz w:val="20"/>
                <w:szCs w:val="20"/>
                <w:color w:val="auto"/>
              </w:rPr>
            </w:pPr>
            <w:r>
              <w:rPr>
                <w:rFonts w:ascii="Arial" w:cs="Arial" w:eastAsia="Arial" w:hAnsi="Arial"/>
                <w:sz w:val="18"/>
                <w:szCs w:val="18"/>
                <w:b w:val="1"/>
                <w:bCs w:val="1"/>
                <w:color w:val="auto"/>
                <w:w w:val="89"/>
              </w:rPr>
              <w:t>New Braunfels, Texas 78130</w:t>
            </w:r>
          </w:p>
        </w:tc>
      </w:tr>
      <w:tr>
        <w:trPr>
          <w:trHeight w:val="216"/>
        </w:trPr>
        <w:tc>
          <w:tcPr>
            <w:tcW w:w="3860" w:type="dxa"/>
            <w:vAlign w:val="bottom"/>
          </w:tcPr>
          <w:p>
            <w:pPr>
              <w:spacing w:after="0"/>
              <w:rPr>
                <w:sz w:val="18"/>
                <w:szCs w:val="18"/>
                <w:color w:val="auto"/>
              </w:rPr>
            </w:pPr>
          </w:p>
        </w:tc>
        <w:tc>
          <w:tcPr>
            <w:tcW w:w="6080" w:type="dxa"/>
            <w:vAlign w:val="bottom"/>
          </w:tcPr>
          <w:p>
            <w:pPr>
              <w:jc w:val="center"/>
              <w:ind w:right="2290"/>
              <w:spacing w:after="0"/>
              <w:rPr>
                <w:sz w:val="20"/>
                <w:szCs w:val="20"/>
                <w:color w:val="auto"/>
              </w:rPr>
            </w:pPr>
            <w:r>
              <w:rPr>
                <w:rFonts w:ascii="Arial" w:cs="Arial" w:eastAsia="Arial" w:hAnsi="Arial"/>
                <w:sz w:val="18"/>
                <w:szCs w:val="18"/>
                <w:color w:val="auto"/>
                <w:w w:val="92"/>
              </w:rPr>
              <w:t>(Address of principal executive offices)</w:t>
            </w:r>
          </w:p>
        </w:tc>
      </w:tr>
      <w:tr>
        <w:trPr>
          <w:trHeight w:val="230"/>
        </w:trPr>
        <w:tc>
          <w:tcPr>
            <w:tcW w:w="3860" w:type="dxa"/>
            <w:vAlign w:val="bottom"/>
          </w:tcPr>
          <w:p>
            <w:pPr>
              <w:spacing w:after="0"/>
              <w:rPr>
                <w:sz w:val="20"/>
                <w:szCs w:val="20"/>
                <w:color w:val="auto"/>
              </w:rPr>
            </w:pPr>
          </w:p>
        </w:tc>
        <w:tc>
          <w:tcPr>
            <w:tcW w:w="6080" w:type="dxa"/>
            <w:vAlign w:val="bottom"/>
          </w:tcPr>
          <w:p>
            <w:pPr>
              <w:jc w:val="center"/>
              <w:ind w:right="2270"/>
              <w:spacing w:after="0"/>
              <w:rPr>
                <w:sz w:val="20"/>
                <w:szCs w:val="20"/>
                <w:color w:val="auto"/>
              </w:rPr>
            </w:pPr>
            <w:r>
              <w:rPr>
                <w:rFonts w:ascii="Arial" w:cs="Arial" w:eastAsia="Arial" w:hAnsi="Arial"/>
                <w:sz w:val="18"/>
                <w:szCs w:val="18"/>
                <w:color w:val="auto"/>
                <w:w w:val="94"/>
              </w:rPr>
              <w:t>(Zip Code)</w:t>
            </w:r>
          </w:p>
        </w:tc>
      </w:tr>
      <w:tr>
        <w:trPr>
          <w:trHeight w:val="418"/>
        </w:trPr>
        <w:tc>
          <w:tcPr>
            <w:tcW w:w="3860" w:type="dxa"/>
            <w:vAlign w:val="bottom"/>
          </w:tcPr>
          <w:p>
            <w:pPr>
              <w:spacing w:after="0"/>
              <w:rPr>
                <w:sz w:val="24"/>
                <w:szCs w:val="24"/>
                <w:color w:val="auto"/>
              </w:rPr>
            </w:pPr>
          </w:p>
        </w:tc>
        <w:tc>
          <w:tcPr>
            <w:tcW w:w="6080" w:type="dxa"/>
            <w:vAlign w:val="bottom"/>
          </w:tcPr>
          <w:p>
            <w:pPr>
              <w:jc w:val="center"/>
              <w:ind w:right="2270"/>
              <w:spacing w:after="0"/>
              <w:rPr>
                <w:sz w:val="20"/>
                <w:szCs w:val="20"/>
                <w:color w:val="auto"/>
              </w:rPr>
            </w:pPr>
            <w:r>
              <w:rPr>
                <w:rFonts w:ascii="Arial" w:cs="Arial" w:eastAsia="Arial" w:hAnsi="Arial"/>
                <w:sz w:val="18"/>
                <w:szCs w:val="18"/>
                <w:b w:val="1"/>
                <w:bCs w:val="1"/>
                <w:color w:val="auto"/>
                <w:w w:val="90"/>
              </w:rPr>
              <w:t>(830) 626-5200</w:t>
            </w:r>
          </w:p>
        </w:tc>
      </w:tr>
      <w:tr>
        <w:trPr>
          <w:trHeight w:val="230"/>
        </w:trPr>
        <w:tc>
          <w:tcPr>
            <w:tcW w:w="9940" w:type="dxa"/>
            <w:vAlign w:val="bottom"/>
            <w:gridSpan w:val="2"/>
          </w:tcPr>
          <w:p>
            <w:pPr>
              <w:jc w:val="center"/>
              <w:ind w:left="1378"/>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202" w:lineRule="exact"/>
        <w:rPr>
          <w:sz w:val="24"/>
          <w:szCs w:val="24"/>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60"/>
          </w:cols>
          <w:pgMar w:left="240" w:top="233" w:right="199" w:bottom="0" w:gutter="0" w:footer="0" w:header="0"/>
        </w:sectPr>
      </w:pPr>
    </w:p>
    <w:p>
      <w:pPr>
        <w:spacing w:after="0" w:line="181" w:lineRule="exact"/>
        <w:rPr>
          <w:sz w:val="24"/>
          <w:szCs w:val="24"/>
          <w:color w:val="auto"/>
        </w:rPr>
      </w:pPr>
    </w:p>
    <w:p>
      <w:pPr>
        <w:ind w:left="3740"/>
        <w:spacing w:after="0"/>
        <w:rPr>
          <w:sz w:val="20"/>
          <w:szCs w:val="20"/>
          <w:color w:val="auto"/>
        </w:rPr>
      </w:pPr>
      <w:r>
        <w:rPr>
          <w:rFonts w:ascii="Arial" w:cs="Arial" w:eastAsia="Arial" w:hAnsi="Arial"/>
          <w:sz w:val="15"/>
          <w:szCs w:val="15"/>
          <w:color w:val="auto"/>
        </w:rPr>
        <w:t>Yes x</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No o</w:t>
      </w:r>
    </w:p>
    <w:p>
      <w:pPr>
        <w:spacing w:after="0" w:line="200" w:lineRule="exact"/>
        <w:rPr>
          <w:sz w:val="24"/>
          <w:szCs w:val="24"/>
          <w:color w:val="auto"/>
        </w:rPr>
      </w:pPr>
    </w:p>
    <w:p>
      <w:pPr>
        <w:sectPr>
          <w:pgSz w:w="11900" w:h="16838" w:orient="portrait"/>
          <w:cols w:equalWidth="0" w:num="2">
            <w:col w:w="5440" w:space="720"/>
            <w:col w:w="5300"/>
          </w:cols>
          <w:pgMar w:left="240" w:top="233" w:right="199" w:bottom="0" w:gutter="0" w:footer="0" w:header="0"/>
          <w:type w:val="continuous"/>
        </w:sectPr>
      </w:pPr>
    </w:p>
    <w:p>
      <w:pPr>
        <w:spacing w:after="0" w:line="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60"/>
          </w:cols>
          <w:pgMar w:left="240" w:top="233" w:right="199" w:bottom="0" w:gutter="0" w:footer="0" w:header="0"/>
          <w:type w:val="continuous"/>
        </w:sectPr>
      </w:pPr>
    </w:p>
    <w:p>
      <w:pPr>
        <w:spacing w:after="0" w:line="222" w:lineRule="exact"/>
        <w:rPr>
          <w:sz w:val="24"/>
          <w:szCs w:val="24"/>
          <w:color w:val="auto"/>
        </w:rPr>
      </w:pPr>
    </w:p>
    <w:p>
      <w:pPr>
        <w:ind w:left="40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jc w:val="center"/>
        <w:ind w:right="4020"/>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5380" w:space="720"/>
            <w:col w:w="5360"/>
          </w:cols>
          <w:pgMar w:left="240" w:top="233" w:right="199" w:bottom="0" w:gutter="0" w:footer="0" w:header="0"/>
          <w:type w:val="continuous"/>
        </w:sectPr>
      </w:pPr>
    </w:p>
    <w:p>
      <w:pPr>
        <w:spacing w:after="0" w:line="48" w:lineRule="exact"/>
        <w:rPr>
          <w:sz w:val="24"/>
          <w:szCs w:val="24"/>
          <w:color w:val="auto"/>
        </w:rPr>
      </w:pPr>
    </w:p>
    <w:p>
      <w:pPr>
        <w:ind w:left="40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ind w:left="4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5380" w:space="720"/>
            <w:col w:w="5360"/>
          </w:cols>
          <w:pgMar w:left="240" w:top="233" w:right="199" w:bottom="0" w:gutter="0" w:footer="0" w:header="0"/>
          <w:type w:val="continuous"/>
        </w:sectPr>
      </w:pPr>
    </w:p>
    <w:p>
      <w:pPr>
        <w:spacing w:after="0" w:line="3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ind w:left="3740"/>
        <w:spacing w:after="0"/>
        <w:tabs>
          <w:tab w:leader="none" w:pos="61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August 7, 2008.</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Title of Class</w:t>
            </w:r>
          </w:p>
        </w:tc>
        <w:tc>
          <w:tcPr>
            <w:tcW w:w="5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$.01 Par Value</w:t>
            </w:r>
          </w:p>
        </w:tc>
        <w:tc>
          <w:tcPr>
            <w:tcW w:w="36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26,251,314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Class B Common Stock, $.01 Par Value</w:t>
            </w:r>
          </w:p>
        </w:tc>
        <w:tc>
          <w:tcPr>
            <w:tcW w:w="5600" w:type="dxa"/>
            <w:vAlign w:val="bottom"/>
          </w:tcPr>
          <w:p>
            <w:pPr>
              <w:jc w:val="center"/>
              <w:spacing w:after="0"/>
              <w:rPr>
                <w:sz w:val="20"/>
                <w:szCs w:val="20"/>
                <w:color w:val="auto"/>
              </w:rPr>
            </w:pPr>
            <w:r>
              <w:rPr>
                <w:rFonts w:ascii="Arial" w:cs="Arial" w:eastAsia="Arial" w:hAnsi="Arial"/>
                <w:sz w:val="18"/>
                <w:szCs w:val="18"/>
                <w:color w:val="auto"/>
                <w:w w:val="88"/>
              </w:rPr>
              <w:t>12,279,987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54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8"/>
        </w:trPr>
        <w:tc>
          <w:tcPr>
            <w:tcW w:w="546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56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 AND SUBSIDIARIES</w:t>
      </w:r>
    </w:p>
    <w:p>
      <w:pPr>
        <w:sectPr>
          <w:pgSz w:w="11900" w:h="16838" w:orient="portrait"/>
          <w:cols w:equalWidth="0" w:num="1">
            <w:col w:w="11460"/>
          </w:cols>
          <w:pgMar w:left="240" w:top="233" w:right="199" w:bottom="0" w:gutter="0" w:footer="0" w:header="0"/>
          <w:type w:val="continuous"/>
        </w:sectPr>
      </w:pPr>
    </w:p>
    <w:bookmarkStart w:id="1" w:name="page2"/>
    <w:bookmarkEnd w:id="1"/>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gridSpan w:val="30"/>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240" w:type="dxa"/>
            <w:vAlign w:val="bottom"/>
            <w:gridSpan w:val="30"/>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8"/>
                <w:szCs w:val="18"/>
                <w:color w:val="0000EE"/>
                <w:w w:val="96"/>
              </w:rPr>
            </w:pPr>
            <w:hyperlink w:anchor="page2">
              <w:r>
                <w:rPr>
                  <w:rFonts w:ascii="Arial" w:cs="Arial" w:eastAsia="Arial" w:hAnsi="Arial"/>
                  <w:sz w:val="18"/>
                  <w:szCs w:val="18"/>
                  <w:color w:val="0000EE"/>
                  <w:w w:val="96"/>
                </w:rPr>
                <w:t>Item</w:t>
              </w:r>
            </w:hyperlink>
          </w:p>
        </w:tc>
        <w:tc>
          <w:tcPr>
            <w:tcW w:w="160" w:type="dxa"/>
            <w:vAlign w:val="bottom"/>
            <w:gridSpan w:val="2"/>
          </w:tcPr>
          <w:p>
            <w:pPr>
              <w:ind w:left="20"/>
              <w:spacing w:after="0"/>
              <w:rPr>
                <w:rFonts w:ascii="Arial" w:cs="Arial" w:eastAsia="Arial" w:hAnsi="Arial"/>
                <w:sz w:val="17"/>
                <w:szCs w:val="17"/>
                <w:color w:val="0000EE"/>
                <w:w w:val="70"/>
              </w:rPr>
            </w:pPr>
            <w:hyperlink w:anchor="page2">
              <w:r>
                <w:rPr>
                  <w:rFonts w:ascii="Arial" w:cs="Arial" w:eastAsia="Arial" w:hAnsi="Arial"/>
                  <w:sz w:val="17"/>
                  <w:szCs w:val="17"/>
                  <w:color w:val="0000EE"/>
                  <w:w w:val="70"/>
                </w:rPr>
                <w:t>1.</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0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8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Consolidated Balance Sheets - June 30, 2008 (unaudited) and December 31, 2007</w:t>
              </w:r>
            </w:hyperlink>
          </w:p>
        </w:tc>
        <w:tc>
          <w:tcPr>
            <w:tcW w:w="62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80" w:type="dxa"/>
            <w:vAlign w:val="bottom"/>
            <w:gridSpan w:val="27"/>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Income - For the Three Months and Six Months Ended June 30, 2008 and 2007 (unaudited)</w:t>
              </w:r>
            </w:hyperlink>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20" w:type="dxa"/>
            <w:vAlign w:val="bottom"/>
            <w:tcBorders>
              <w:top w:val="single" w:sz="8" w:color="0000EE"/>
            </w:tcBorders>
            <w:gridSpan w:val="25"/>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Statements of Cash Flows - For the Six Months Ended June 30, 2008 and 2007 (unaudited)</w:t>
              </w:r>
            </w:hyperlink>
          </w:p>
        </w:tc>
        <w:tc>
          <w:tcPr>
            <w:tcW w:w="3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00" w:type="dxa"/>
            <w:vAlign w:val="bottom"/>
            <w:tcBorders>
              <w:top w:val="single" w:sz="8" w:color="0000EE"/>
            </w:tcBorders>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Consolidated Financial Statements (unaudited)</w:t>
              </w:r>
            </w:hyperlink>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Item</w:t>
              </w:r>
            </w:hyperlink>
          </w:p>
        </w:tc>
        <w:tc>
          <w:tcPr>
            <w:tcW w:w="160" w:type="dxa"/>
            <w:vAlign w:val="bottom"/>
            <w:tcBorders>
              <w:bottom w:val="single" w:sz="8" w:color="0000EE"/>
            </w:tcBorders>
            <w:gridSpan w:val="2"/>
          </w:tcPr>
          <w:p>
            <w:pPr>
              <w:ind w:left="20"/>
              <w:spacing w:after="0"/>
              <w:rPr>
                <w:rFonts w:ascii="Arial" w:cs="Arial" w:eastAsia="Arial" w:hAnsi="Arial"/>
                <w:sz w:val="17"/>
                <w:szCs w:val="17"/>
                <w:color w:val="0000EE"/>
                <w:w w:val="70"/>
              </w:rPr>
            </w:pPr>
            <w:hyperlink w:anchor="page9">
              <w:r>
                <w:rPr>
                  <w:rFonts w:ascii="Arial" w:cs="Arial" w:eastAsia="Arial" w:hAnsi="Arial"/>
                  <w:sz w:val="17"/>
                  <w:szCs w:val="17"/>
                  <w:color w:val="0000EE"/>
                  <w:w w:val="70"/>
                </w:rPr>
                <w:t>2.</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Management’s Discussion and Analysis of Financial Condition and Results of Operations</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Item</w:t>
              </w:r>
            </w:hyperlink>
          </w:p>
        </w:tc>
        <w:tc>
          <w:tcPr>
            <w:tcW w:w="160" w:type="dxa"/>
            <w:vAlign w:val="bottom"/>
            <w:gridSpan w:val="2"/>
          </w:tcPr>
          <w:p>
            <w:pPr>
              <w:ind w:left="20"/>
              <w:spacing w:after="0"/>
              <w:rPr>
                <w:rFonts w:ascii="Arial" w:cs="Arial" w:eastAsia="Arial" w:hAnsi="Arial"/>
                <w:sz w:val="17"/>
                <w:szCs w:val="17"/>
                <w:color w:val="0000EE"/>
                <w:w w:val="70"/>
              </w:rPr>
            </w:pPr>
            <w:hyperlink w:anchor="page18">
              <w:r>
                <w:rPr>
                  <w:rFonts w:ascii="Arial" w:cs="Arial" w:eastAsia="Arial" w:hAnsi="Arial"/>
                  <w:sz w:val="17"/>
                  <w:szCs w:val="17"/>
                  <w:color w:val="0000EE"/>
                  <w:w w:val="70"/>
                </w:rPr>
                <w:t>3.</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0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gridSpan w:val="2"/>
          </w:tcPr>
          <w:p>
            <w:pPr>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Item</w:t>
              </w:r>
            </w:hyperlink>
          </w:p>
        </w:tc>
        <w:tc>
          <w:tcPr>
            <w:tcW w:w="160" w:type="dxa"/>
            <w:vAlign w:val="bottom"/>
            <w:tcBorders>
              <w:top w:val="single" w:sz="8" w:color="0000EE"/>
            </w:tcBorders>
            <w:gridSpan w:val="2"/>
          </w:tcPr>
          <w:p>
            <w:pPr>
              <w:ind w:left="20"/>
              <w:spacing w:after="0"/>
              <w:rPr>
                <w:rFonts w:ascii="Arial" w:cs="Arial" w:eastAsia="Arial" w:hAnsi="Arial"/>
                <w:sz w:val="17"/>
                <w:szCs w:val="17"/>
                <w:color w:val="0000EE"/>
                <w:w w:val="70"/>
              </w:rPr>
            </w:pPr>
            <w:hyperlink w:anchor="page18">
              <w:r>
                <w:rPr>
                  <w:rFonts w:ascii="Arial" w:cs="Arial" w:eastAsia="Arial" w:hAnsi="Arial"/>
                  <w:sz w:val="17"/>
                  <w:szCs w:val="17"/>
                  <w:color w:val="0000EE"/>
                  <w:w w:val="70"/>
                </w:rPr>
                <w:t>4.</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00" w:type="dxa"/>
            <w:vAlign w:val="bottom"/>
            <w:tcBorders>
              <w:top w:val="single" w:sz="8" w:color="0000EE"/>
            </w:tcBorders>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2200" w:type="dxa"/>
            <w:vAlign w:val="bottom"/>
            <w:gridSpan w:val="7"/>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40" w:type="dxa"/>
            <w:vAlign w:val="bottom"/>
            <w:gridSpan w:val="30"/>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 OTHER INFORMATION</w:t>
              </w:r>
            </w:hyperlink>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Item</w:t>
              </w:r>
            </w:hyperlink>
          </w:p>
        </w:tc>
        <w:tc>
          <w:tcPr>
            <w:tcW w:w="160" w:type="dxa"/>
            <w:vAlign w:val="bottom"/>
            <w:tcBorders>
              <w:bottom w:val="single" w:sz="8" w:color="0000EE"/>
            </w:tcBorders>
            <w:gridSpan w:val="2"/>
          </w:tcPr>
          <w:p>
            <w:pPr>
              <w:ind w:left="20"/>
              <w:spacing w:after="0"/>
              <w:rPr>
                <w:rFonts w:ascii="Arial" w:cs="Arial" w:eastAsia="Arial" w:hAnsi="Arial"/>
                <w:sz w:val="17"/>
                <w:szCs w:val="17"/>
                <w:color w:val="0000EE"/>
                <w:w w:val="70"/>
              </w:rPr>
            </w:pPr>
            <w:hyperlink w:anchor="page18">
              <w:r>
                <w:rPr>
                  <w:rFonts w:ascii="Arial" w:cs="Arial" w:eastAsia="Arial" w:hAnsi="Arial"/>
                  <w:sz w:val="17"/>
                  <w:szCs w:val="17"/>
                  <w:color w:val="0000EE"/>
                  <w:w w:val="70"/>
                </w:rPr>
                <w:t>1.</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Legal Proceedings</w:t>
              </w:r>
            </w:hyperlink>
          </w:p>
        </w:tc>
        <w:tc>
          <w:tcPr>
            <w:tcW w:w="5140" w:type="dxa"/>
            <w:vAlign w:val="bottom"/>
            <w:gridSpan w:val="15"/>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Item</w:t>
              </w:r>
            </w:hyperlink>
          </w:p>
        </w:tc>
        <w:tc>
          <w:tcPr>
            <w:tcW w:w="660" w:type="dxa"/>
            <w:vAlign w:val="bottom"/>
            <w:gridSpan w:val="5"/>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1A.</w:t>
              </w:r>
            </w:hyperlink>
          </w:p>
        </w:tc>
        <w:tc>
          <w:tcPr>
            <w:tcW w:w="650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Item</w:t>
              </w:r>
            </w:hyperlink>
          </w:p>
        </w:tc>
        <w:tc>
          <w:tcPr>
            <w:tcW w:w="160" w:type="dxa"/>
            <w:vAlign w:val="bottom"/>
            <w:gridSpan w:val="2"/>
          </w:tcPr>
          <w:p>
            <w:pPr>
              <w:ind w:left="20"/>
              <w:spacing w:after="0"/>
              <w:rPr>
                <w:rFonts w:ascii="Arial" w:cs="Arial" w:eastAsia="Arial" w:hAnsi="Arial"/>
                <w:sz w:val="17"/>
                <w:szCs w:val="17"/>
                <w:color w:val="0000EE"/>
                <w:w w:val="70"/>
              </w:rPr>
            </w:pPr>
            <w:hyperlink w:anchor="page19">
              <w:r>
                <w:rPr>
                  <w:rFonts w:ascii="Arial" w:cs="Arial" w:eastAsia="Arial" w:hAnsi="Arial"/>
                  <w:sz w:val="17"/>
                  <w:szCs w:val="17"/>
                  <w:color w:val="0000EE"/>
                  <w:w w:val="70"/>
                </w:rPr>
                <w:t>2.</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0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Unregistered Sales of Equity Securities and Use of Proceeds</w:t>
              </w:r>
            </w:hyperlink>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gridSpan w:val="2"/>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Item</w:t>
              </w:r>
            </w:hyperlink>
          </w:p>
        </w:tc>
        <w:tc>
          <w:tcPr>
            <w:tcW w:w="160" w:type="dxa"/>
            <w:vAlign w:val="bottom"/>
            <w:tcBorders>
              <w:top w:val="single" w:sz="8" w:color="0000EE"/>
            </w:tcBorders>
            <w:gridSpan w:val="2"/>
          </w:tcPr>
          <w:p>
            <w:pPr>
              <w:ind w:left="20"/>
              <w:spacing w:after="0"/>
              <w:rPr>
                <w:rFonts w:ascii="Arial" w:cs="Arial" w:eastAsia="Arial" w:hAnsi="Arial"/>
                <w:sz w:val="17"/>
                <w:szCs w:val="17"/>
                <w:color w:val="0000EE"/>
                <w:w w:val="70"/>
              </w:rPr>
            </w:pPr>
            <w:hyperlink w:anchor="page19">
              <w:r>
                <w:rPr>
                  <w:rFonts w:ascii="Arial" w:cs="Arial" w:eastAsia="Arial" w:hAnsi="Arial"/>
                  <w:sz w:val="17"/>
                  <w:szCs w:val="17"/>
                  <w:color w:val="0000EE"/>
                  <w:w w:val="70"/>
                </w:rPr>
                <w:t>3.</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2160" w:type="dxa"/>
            <w:vAlign w:val="bottom"/>
            <w:gridSpan w:val="6"/>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Item</w:t>
              </w:r>
            </w:hyperlink>
          </w:p>
        </w:tc>
        <w:tc>
          <w:tcPr>
            <w:tcW w:w="160" w:type="dxa"/>
            <w:vAlign w:val="bottom"/>
            <w:gridSpan w:val="2"/>
          </w:tcPr>
          <w:p>
            <w:pPr>
              <w:ind w:left="20"/>
              <w:spacing w:after="0"/>
              <w:rPr>
                <w:rFonts w:ascii="Arial" w:cs="Arial" w:eastAsia="Arial" w:hAnsi="Arial"/>
                <w:sz w:val="17"/>
                <w:szCs w:val="17"/>
                <w:color w:val="0000EE"/>
                <w:w w:val="70"/>
              </w:rPr>
            </w:pPr>
            <w:hyperlink w:anchor="page19">
              <w:r>
                <w:rPr>
                  <w:rFonts w:ascii="Arial" w:cs="Arial" w:eastAsia="Arial" w:hAnsi="Arial"/>
                  <w:sz w:val="17"/>
                  <w:szCs w:val="17"/>
                  <w:color w:val="0000EE"/>
                  <w:w w:val="70"/>
                </w:rPr>
                <w:t>4.</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0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Submission of Matters to a Vote of Security Holders</w:t>
              </w:r>
            </w:hyperlink>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Item</w:t>
              </w:r>
            </w:hyperlink>
          </w:p>
        </w:tc>
        <w:tc>
          <w:tcPr>
            <w:tcW w:w="160" w:type="dxa"/>
            <w:vAlign w:val="bottom"/>
            <w:tcBorders>
              <w:top w:val="single" w:sz="8" w:color="0000EE"/>
              <w:bottom w:val="single" w:sz="8" w:color="0000EE"/>
            </w:tcBorders>
            <w:gridSpan w:val="2"/>
          </w:tcPr>
          <w:p>
            <w:pPr>
              <w:ind w:left="20"/>
              <w:spacing w:after="0"/>
              <w:rPr>
                <w:rFonts w:ascii="Arial" w:cs="Arial" w:eastAsia="Arial" w:hAnsi="Arial"/>
                <w:sz w:val="17"/>
                <w:szCs w:val="17"/>
                <w:color w:val="0000EE"/>
                <w:w w:val="70"/>
              </w:rPr>
            </w:pPr>
            <w:hyperlink w:anchor="page19">
              <w:r>
                <w:rPr>
                  <w:rFonts w:ascii="Arial" w:cs="Arial" w:eastAsia="Arial" w:hAnsi="Arial"/>
                  <w:sz w:val="17"/>
                  <w:szCs w:val="17"/>
                  <w:color w:val="0000EE"/>
                  <w:w w:val="70"/>
                </w:rPr>
                <w:t>5.</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Other Information</w:t>
              </w:r>
            </w:hyperlink>
          </w:p>
        </w:tc>
        <w:tc>
          <w:tcPr>
            <w:tcW w:w="2440" w:type="dxa"/>
            <w:vAlign w:val="bottom"/>
            <w:tcBorders>
              <w:top w:val="single" w:sz="8" w:color="0000EE"/>
            </w:tcBorders>
            <w:gridSpan w:val="7"/>
          </w:tcPr>
          <w:p>
            <w:pPr>
              <w:spacing w:after="0"/>
              <w:rPr>
                <w:sz w:val="24"/>
                <w:szCs w:val="24"/>
                <w:color w:val="auto"/>
              </w:rPr>
            </w:pPr>
          </w:p>
        </w:tc>
        <w:tc>
          <w:tcPr>
            <w:tcW w:w="274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Item</w:t>
              </w:r>
            </w:hyperlink>
          </w:p>
        </w:tc>
        <w:tc>
          <w:tcPr>
            <w:tcW w:w="160" w:type="dxa"/>
            <w:vAlign w:val="bottom"/>
            <w:tcBorders>
              <w:bottom w:val="single" w:sz="8" w:color="0000EE"/>
            </w:tcBorders>
            <w:gridSpan w:val="2"/>
          </w:tcPr>
          <w:p>
            <w:pPr>
              <w:ind w:left="20"/>
              <w:spacing w:after="0"/>
              <w:rPr>
                <w:rFonts w:ascii="Arial" w:cs="Arial" w:eastAsia="Arial" w:hAnsi="Arial"/>
                <w:sz w:val="17"/>
                <w:szCs w:val="17"/>
                <w:color w:val="0000EE"/>
                <w:w w:val="70"/>
              </w:rPr>
            </w:pPr>
            <w:hyperlink w:anchor="page19">
              <w:r>
                <w:rPr>
                  <w:rFonts w:ascii="Arial" w:cs="Arial" w:eastAsia="Arial" w:hAnsi="Arial"/>
                  <w:sz w:val="17"/>
                  <w:szCs w:val="17"/>
                  <w:color w:val="0000EE"/>
                  <w:w w:val="70"/>
                </w:rPr>
                <w:t>6.</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Exhibits</w:t>
              </w:r>
            </w:hyperlink>
          </w:p>
        </w:tc>
        <w:tc>
          <w:tcPr>
            <w:tcW w:w="5900" w:type="dxa"/>
            <w:vAlign w:val="bottom"/>
            <w:gridSpan w:val="19"/>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1740" w:type="dxa"/>
            <w:vAlign w:val="bottom"/>
            <w:gridSpan w:val="10"/>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20" w:type="dxa"/>
            <w:vAlign w:val="bottom"/>
            <w:gridSpan w:val="12"/>
          </w:tcPr>
          <w:p>
            <w:pPr>
              <w:jc w:val="center"/>
              <w:ind w:left="3830"/>
              <w:spacing w:after="0"/>
              <w:rPr>
                <w:sz w:val="20"/>
                <w:szCs w:val="20"/>
                <w:color w:val="auto"/>
              </w:rPr>
            </w:pPr>
            <w:r>
              <w:rPr>
                <w:rFonts w:ascii="Arial" w:cs="Arial" w:eastAsia="Arial" w:hAnsi="Arial"/>
                <w:sz w:val="18"/>
                <w:szCs w:val="18"/>
                <w:color w:val="auto"/>
                <w:w w:val="99"/>
              </w:rPr>
              <w:t>2</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740" w:type="dxa"/>
            <w:vAlign w:val="bottom"/>
            <w:gridSpan w:val="10"/>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40" w:type="dxa"/>
            <w:vAlign w:val="bottom"/>
            <w:gridSpan w:val="30"/>
          </w:tcPr>
          <w:p>
            <w:pPr>
              <w:spacing w:after="0"/>
              <w:rPr>
                <w:sz w:val="20"/>
                <w:szCs w:val="20"/>
                <w:color w:val="auto"/>
              </w:rPr>
            </w:pPr>
            <w:r>
              <w:rPr>
                <w:rFonts w:ascii="Arial" w:cs="Arial" w:eastAsia="Arial" w:hAnsi="Arial"/>
                <w:sz w:val="18"/>
                <w:szCs w:val="18"/>
                <w:b w:val="1"/>
                <w:bCs w:val="1"/>
                <w:color w:val="auto"/>
              </w:rPr>
              <w:t>PART I. FINANCIAL INFORMATION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gridSpan w:val="30"/>
          </w:tcPr>
          <w:p>
            <w:pPr>
              <w:spacing w:after="0"/>
              <w:rPr>
                <w:sz w:val="20"/>
                <w:szCs w:val="20"/>
                <w:color w:val="auto"/>
              </w:rPr>
            </w:pPr>
            <w:r>
              <w:rPr>
                <w:rFonts w:ascii="Arial" w:cs="Arial" w:eastAsia="Arial" w:hAnsi="Arial"/>
                <w:sz w:val="18"/>
                <w:szCs w:val="18"/>
                <w:b w:val="1"/>
                <w:bCs w:val="1"/>
                <w:color w:val="auto"/>
              </w:rPr>
              <w:t>Item 1. Financial Statements.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5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96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80" w:type="dxa"/>
            <w:vAlign w:val="bottom"/>
            <w:gridSpan w:val="11"/>
          </w:tcPr>
          <w:p>
            <w:pPr>
              <w:jc w:val="center"/>
              <w:ind w:right="860"/>
              <w:spacing w:after="0" w:line="196" w:lineRule="exact"/>
              <w:rPr>
                <w:sz w:val="20"/>
                <w:szCs w:val="20"/>
                <w:color w:val="auto"/>
              </w:rPr>
            </w:pPr>
            <w:r>
              <w:rPr>
                <w:rFonts w:ascii="Arial" w:cs="Arial" w:eastAsia="Arial" w:hAnsi="Arial"/>
                <w:sz w:val="18"/>
                <w:szCs w:val="18"/>
                <w:b w:val="1"/>
                <w:bCs w:val="1"/>
                <w:color w:val="auto"/>
                <w:w w:val="94"/>
              </w:rPr>
              <w:t>JUNE 30, 2008 AND DECEMBER 31, 2007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6"/>
          </w:tcPr>
          <w:p>
            <w:pPr>
              <w:jc w:val="center"/>
              <w:ind w:right="100"/>
              <w:spacing w:after="0"/>
              <w:rPr>
                <w:sz w:val="20"/>
                <w:szCs w:val="20"/>
                <w:color w:val="auto"/>
              </w:rPr>
            </w:pPr>
            <w:r>
              <w:rPr>
                <w:rFonts w:ascii="Arial" w:cs="Arial" w:eastAsia="Arial" w:hAnsi="Arial"/>
                <w:sz w:val="18"/>
                <w:szCs w:val="18"/>
                <w:b w:val="1"/>
                <w:bCs w:val="1"/>
                <w:color w:val="auto"/>
                <w:w w:val="89"/>
              </w:rPr>
              <w:t>(In Thousands, Except Shares)</w:t>
            </w:r>
          </w:p>
        </w:tc>
        <w:tc>
          <w:tcPr>
            <w:tcW w:w="860" w:type="dxa"/>
            <w:vAlign w:val="bottom"/>
            <w:gridSpan w:val="4"/>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5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94"/>
              <w:spacing w:after="0"/>
              <w:rPr>
                <w:sz w:val="20"/>
                <w:szCs w:val="20"/>
                <w:color w:val="auto"/>
              </w:rPr>
            </w:pPr>
            <w:r>
              <w:rPr>
                <w:rFonts w:ascii="Arial" w:cs="Arial" w:eastAsia="Arial" w:hAnsi="Arial"/>
                <w:sz w:val="14"/>
                <w:szCs w:val="14"/>
                <w:b w:val="1"/>
                <w:bCs w:val="1"/>
                <w:color w:val="auto"/>
                <w:w w:val="96"/>
              </w:rPr>
              <w:t>2008</w:t>
            </w: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4"/>
          </w:tcPr>
          <w:p>
            <w:pPr>
              <w:spacing w:after="0"/>
              <w:rPr>
                <w:sz w:val="20"/>
                <w:szCs w:val="20"/>
                <w:color w:val="auto"/>
              </w:rPr>
            </w:pPr>
            <w:r>
              <w:rPr>
                <w:rFonts w:ascii="Arial" w:cs="Arial" w:eastAsia="Arial" w:hAnsi="Arial"/>
                <w:sz w:val="18"/>
                <w:szCs w:val="18"/>
                <w:color w:val="auto"/>
                <w:w w:val="85"/>
              </w:rPr>
              <w:t>Current assets: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9"/>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158,123</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4"/>
          </w:tcPr>
          <w:p>
            <w:pPr>
              <w:ind w:left="160"/>
              <w:spacing w:after="0"/>
              <w:rPr>
                <w:sz w:val="20"/>
                <w:szCs w:val="20"/>
                <w:color w:val="auto"/>
              </w:rPr>
            </w:pPr>
            <w:r>
              <w:rPr>
                <w:rFonts w:ascii="Arial" w:cs="Arial" w:eastAsia="Arial" w:hAnsi="Arial"/>
                <w:sz w:val="18"/>
                <w:szCs w:val="18"/>
                <w:color w:val="auto"/>
                <w:w w:val="90"/>
              </w:rPr>
              <w:t>Investments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7,575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9"/>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52,441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48,781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4"/>
          </w:tcPr>
          <w:p>
            <w:pPr>
              <w:ind w:left="160"/>
              <w:spacing w:after="0"/>
              <w:rPr>
                <w:sz w:val="20"/>
                <w:szCs w:val="20"/>
                <w:color w:val="auto"/>
              </w:rPr>
            </w:pPr>
            <w:r>
              <w:rPr>
                <w:rFonts w:ascii="Arial" w:cs="Arial" w:eastAsia="Arial" w:hAnsi="Arial"/>
                <w:sz w:val="18"/>
                <w:szCs w:val="18"/>
                <w:color w:val="auto"/>
                <w:w w:val="99"/>
              </w:rPr>
              <w:t>Inventories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366,466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365,947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9"/>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2,267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9"/>
          </w:tcPr>
          <w:p>
            <w:pPr>
              <w:ind w:left="160"/>
              <w:spacing w:after="0"/>
              <w:rPr>
                <w:sz w:val="20"/>
                <w:szCs w:val="20"/>
                <w:color w:val="auto"/>
              </w:rPr>
            </w:pPr>
            <w:r>
              <w:rPr>
                <w:rFonts w:ascii="Arial" w:cs="Arial" w:eastAsia="Arial" w:hAnsi="Arial"/>
                <w:sz w:val="18"/>
                <w:szCs w:val="18"/>
                <w:color w:val="auto"/>
              </w:rPr>
              <w:t>Deferred income taxes, net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8,277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9"/>
          </w:tcPr>
          <w:p>
            <w:pPr>
              <w:ind w:left="340"/>
              <w:spacing w:after="0"/>
              <w:rPr>
                <w:sz w:val="20"/>
                <w:szCs w:val="20"/>
                <w:color w:val="auto"/>
              </w:rPr>
            </w:pPr>
            <w:r>
              <w:rPr>
                <w:rFonts w:ascii="Arial" w:cs="Arial" w:eastAsia="Arial" w:hAnsi="Arial"/>
                <w:sz w:val="18"/>
                <w:szCs w:val="18"/>
                <w:color w:val="auto"/>
              </w:rPr>
              <w:t>Total current 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595,149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610,464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9"/>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307,333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299,013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4"/>
          </w:tcPr>
          <w:p>
            <w:pPr>
              <w:spacing w:after="0"/>
              <w:rPr>
                <w:sz w:val="20"/>
                <w:szCs w:val="20"/>
                <w:color w:val="auto"/>
              </w:rPr>
            </w:pPr>
            <w:r>
              <w:rPr>
                <w:rFonts w:ascii="Arial" w:cs="Arial" w:eastAsia="Arial" w:hAnsi="Arial"/>
                <w:sz w:val="18"/>
                <w:szCs w:val="18"/>
                <w:color w:val="auto"/>
                <w:w w:val="99"/>
              </w:rPr>
              <w:t>Goodwill, net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141,898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120,582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gridSpan w:val="9"/>
          </w:tcPr>
          <w:p>
            <w:pPr>
              <w:spacing w:after="0"/>
              <w:rPr>
                <w:sz w:val="20"/>
                <w:szCs w:val="20"/>
                <w:color w:val="auto"/>
              </w:rPr>
            </w:pPr>
            <w:r>
              <w:rPr>
                <w:rFonts w:ascii="Arial" w:cs="Arial" w:eastAsia="Arial" w:hAnsi="Arial"/>
                <w:sz w:val="18"/>
                <w:szCs w:val="18"/>
                <w:color w:val="auto"/>
              </w:rPr>
              <w:t>Other assets, net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1,647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1060" w:type="dxa"/>
            <w:vAlign w:val="bottom"/>
            <w:gridSpan w:val="4"/>
          </w:tcPr>
          <w:p>
            <w:pPr>
              <w:spacing w:after="0"/>
              <w:rPr>
                <w:sz w:val="20"/>
                <w:szCs w:val="20"/>
                <w:color w:val="auto"/>
              </w:rPr>
            </w:pPr>
            <w:r>
              <w:rPr>
                <w:rFonts w:ascii="Arial" w:cs="Arial" w:eastAsia="Arial" w:hAnsi="Arial"/>
                <w:sz w:val="18"/>
                <w:szCs w:val="18"/>
                <w:b w:val="1"/>
                <w:bCs w:val="1"/>
                <w:color w:val="auto"/>
                <w:w w:val="99"/>
              </w:rPr>
              <w:t>Total assets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1,046,027</w:t>
            </w: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1,031,591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20" w:type="dxa"/>
            <w:vAlign w:val="bottom"/>
            <w:gridSpan w:val="29"/>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-4975225</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-4975225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121"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Floor plan notes payable</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285,225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273,653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36,558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3,935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33,579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47,075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406,372</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161,884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Capital lease obligations, net of current maturities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12,189</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2008 and</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2007</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Common stock, par value $.01 per share; 60,000,000 class A shares and 20,000,000 class B shares</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authorized; 26,222,178 class A shares and 12,279,987 class B shares outstanding in 2008; 26,070,595</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A shares and 12,265,437 class B shares outstanding in 2007</w:t>
            </w: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w:t>
            </w:r>
          </w:p>
        </w:tc>
        <w:tc>
          <w:tcPr>
            <w:tcW w:w="3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182,135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236,662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419,182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399,577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1,046,027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297,237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356,504</w:t>
            </w:r>
          </w:p>
        </w:tc>
        <w:tc>
          <w:tcPr>
            <w:tcW w:w="1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548,663</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734,140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120,465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238,045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18,960</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20,690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35,899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13,376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13,257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Finance and insurance</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3,193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6,797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454,718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858,576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1,050,662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281,305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328,708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512,342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676,600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69,989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69,621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138,629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17,192</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18,386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32,372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11,819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10,964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22,641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products sold</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380,305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705,984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869,441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74,413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91,725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152,592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59,012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62,539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115,957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11,474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28,833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21,046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25,187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3,639</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9,445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6,067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13,048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15,742</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42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Basic</w:t>
            </w:r>
          </w:p>
        </w:tc>
        <w:tc>
          <w:tcPr>
            <w:tcW w:w="18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2"/>
                <w:szCs w:val="22"/>
                <w:color w:val="auto"/>
              </w:rPr>
            </w:pP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0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Basic</w:t>
            </w:r>
          </w:p>
        </w:tc>
        <w:tc>
          <w:tcPr>
            <w:tcW w:w="1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38,458</w:t>
            </w:r>
          </w:p>
        </w:tc>
        <w:tc>
          <w:tcPr>
            <w:tcW w:w="36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38,029</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38,415</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37,898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0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38,971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38,341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38,951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15,742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18,604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(Gain) on sale of property and equipment</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520"/>
              <w:spacing w:after="0"/>
              <w:rPr>
                <w:sz w:val="20"/>
                <w:szCs w:val="20"/>
                <w:color w:val="auto"/>
              </w:rPr>
            </w:pPr>
            <w:r>
              <w:rPr>
                <w:rFonts w:ascii="Arial" w:cs="Arial" w:eastAsia="Arial" w:hAnsi="Arial"/>
                <w:sz w:val="18"/>
                <w:szCs w:val="18"/>
                <w:color w:val="auto"/>
                <w:w w:val="98"/>
              </w:rPr>
              <w:t>Stock-based compensation expense related to stock options and employee stock purchases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2,440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Provision for deferred income tax expense</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520"/>
              <w:spacing w:after="0"/>
              <w:rPr>
                <w:sz w:val="20"/>
                <w:szCs w:val="20"/>
                <w:color w:val="auto"/>
              </w:rPr>
            </w:pPr>
            <w:r>
              <w:rPr>
                <w:rFonts w:ascii="Arial" w:cs="Arial" w:eastAsia="Arial" w:hAnsi="Arial"/>
                <w:sz w:val="18"/>
                <w:szCs w:val="18"/>
                <w:color w:val="auto"/>
              </w:rPr>
              <w:t>Excess tax benefits from stock-based compensation</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 in accounts receivable, net</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520"/>
              <w:spacing w:after="0"/>
              <w:rPr>
                <w:sz w:val="20"/>
                <w:szCs w:val="20"/>
                <w:color w:val="auto"/>
              </w:rPr>
            </w:pPr>
            <w:r>
              <w:rPr>
                <w:rFonts w:ascii="Arial" w:cs="Arial" w:eastAsia="Arial" w:hAnsi="Arial"/>
                <w:sz w:val="18"/>
                <w:szCs w:val="18"/>
                <w:color w:val="auto"/>
              </w:rPr>
              <w:t>Change in inventories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22,623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 in prepaid expenses and other, net</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520"/>
              <w:spacing w:after="0"/>
              <w:rPr>
                <w:sz w:val="20"/>
                <w:szCs w:val="20"/>
                <w:color w:val="auto"/>
              </w:rPr>
            </w:pPr>
            <w:r>
              <w:rPr>
                <w:rFonts w:ascii="Arial" w:cs="Arial" w:eastAsia="Arial" w:hAnsi="Arial"/>
                <w:sz w:val="18"/>
                <w:szCs w:val="18"/>
                <w:color w:val="auto"/>
              </w:rPr>
              <w:t>Change in trade accounts payable</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(6,873)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 in accrued expenses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(15,977)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37,517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Purchase of investments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(355,575)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investments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(21,049)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(37,387)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Draws (payments) on floor plan notes payable, net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8,387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(19,590)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4"/>
              </w:rPr>
              <w:t>Proceeds from issuance of shares relating to employee stock options and employee stock purchases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746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700"/>
              <w:spacing w:after="0"/>
              <w:rPr>
                <w:sz w:val="20"/>
                <w:szCs w:val="20"/>
                <w:color w:val="auto"/>
              </w:rPr>
            </w:pPr>
            <w:r>
              <w:rPr>
                <w:rFonts w:ascii="Arial" w:cs="Arial" w:eastAsia="Arial" w:hAnsi="Arial"/>
                <w:sz w:val="18"/>
                <w:szCs w:val="18"/>
                <w:color w:val="auto"/>
              </w:rPr>
              <w:t>Net cash (used in) financing activities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(627)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(20,603)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(28,886)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187,009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161,558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158,123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165,695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Interest</w:t>
            </w: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8,116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13,303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0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Income taxes, net of refunds</w:t>
            </w: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4,912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vMerge w:val="restart"/>
          </w:tcPr>
          <w:p>
            <w:pPr>
              <w:ind w:left="160"/>
              <w:spacing w:after="0"/>
              <w:rPr>
                <w:sz w:val="20"/>
                <w:szCs w:val="20"/>
                <w:color w:val="auto"/>
              </w:rPr>
            </w:pPr>
            <w:r>
              <w:rPr>
                <w:rFonts w:ascii="Arial" w:cs="Arial" w:eastAsia="Arial" w:hAnsi="Arial"/>
                <w:sz w:val="18"/>
                <w:szCs w:val="18"/>
                <w:color w:val="auto"/>
              </w:rPr>
              <w:t>Noncash investing activities:</w:t>
            </w:r>
          </w:p>
        </w:tc>
        <w:tc>
          <w:tcPr>
            <w:tcW w:w="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8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acquired under capital leases</w:t>
            </w: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40" w:right="239" w:bottom="0" w:gutter="0" w:footer="0" w:header="0"/>
        </w:sectPr>
      </w:pPr>
    </w:p>
    <w:bookmarkStart w:id="4" w:name="page5"/>
    <w:bookmarkEnd w:id="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2007. Results of operations for interim periods are not necessarily indicative of results that may be expected for any other interim periods or the full fiscal year.</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September 20, 2007, our shareholders approved an amendment to Rush Enterprises, Inc.’s Restated Articles of Incorporation increasing the total number of authorized shares of Class A common stock from 40,000,000 to 60,000,000 and total number of authorized shares of Class B common stock from 10,000,000 to 20,000,000. On the same date, our Board of Directors declared a 3-for-2 stock split of the Class A common stock and Class B common stock, to be effected in the form of a stock dividend. On October 10, 2007, Rush Enterprises, Inc. distributed one additional share of stock for every two shares of Class A common stock, par value $0.01 per share, and Class B common stock, par value $0.01 per share, held by shareholders of record as of October 1, 2007. All share and per share data (except par value) in this Form 10-Q have been adjusted and restated to reflect the stock split as if it occurred on the first day of the earliest period presented.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 performs an annual impairment review of goodwill during the fourth quarter of each year. Management is not aware of any impairment charge that may currently be required; however, a change in economic conditions, if one occurs, could result in an impairment charge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A majority of the Company’s liability related to finance contracts sold with recourse is generally limited to 5% to 20% of the outstanding amount of each note initiated on behalf of the finance company.</w:t>
      </w:r>
    </w:p>
    <w:p>
      <w:pPr>
        <w:ind w:right="100"/>
        <w:spacing w:after="0" w:line="252" w:lineRule="auto"/>
        <w:rPr>
          <w:sz w:val="20"/>
          <w:szCs w:val="20"/>
          <w:color w:val="auto"/>
        </w:rPr>
      </w:pPr>
      <w:r>
        <w:rPr>
          <w:rFonts w:ascii="Arial" w:cs="Arial" w:eastAsia="Arial" w:hAnsi="Arial"/>
          <w:sz w:val="18"/>
          <w:szCs w:val="18"/>
          <w:color w:val="auto"/>
        </w:rPr>
        <w:t>However, the Company has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sold.</w:t>
      </w:r>
    </w:p>
    <w:p>
      <w:pPr>
        <w:spacing w:after="0" w:line="19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second quarter of 2007, the Company renegotiated its contractual obligations with its retail funding sources regarding early repayment penalties, which occur as a result of a premature termination of finance contracts sold by the Company. As a result of these negotiations, the Company expects to decrease the amount of finance income it will recognize at the time the contract is sold and also decrease the amount of early repayment penalties it will owe its retail funding sources in the future.</w:t>
      </w:r>
    </w:p>
    <w:p>
      <w:pPr>
        <w:spacing w:after="0" w:line="18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ind w:left="120"/>
              <w:spacing w:after="0" w:line="201" w:lineRule="exact"/>
              <w:rPr>
                <w:sz w:val="20"/>
                <w:szCs w:val="20"/>
                <w:color w:val="auto"/>
              </w:rPr>
            </w:pPr>
            <w:r>
              <w:rPr>
                <w:rFonts w:ascii="Arial" w:cs="Arial" w:eastAsia="Arial" w:hAnsi="Arial"/>
                <w:sz w:val="18"/>
                <w:szCs w:val="18"/>
                <w:color w:val="auto"/>
                <w:w w:val="94"/>
              </w:rPr>
              <w:t>Numerator for basic and diluted earnings per share, net income available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to common shareholders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6,067,000</w:t>
            </w:r>
          </w:p>
        </w:tc>
        <w:tc>
          <w:tcPr>
            <w:tcW w:w="24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13,048,000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15,742,000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26,072,000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Denominator for basic earnings per share, adjusted weighted average</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shares outstanding</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38,457,698</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38,028,892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38,415,421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37,898,123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and director stock options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513,663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311,999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535,403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120"/>
              <w:spacing w:after="0" w:line="201" w:lineRule="exact"/>
              <w:rPr>
                <w:sz w:val="20"/>
                <w:szCs w:val="20"/>
                <w:color w:val="auto"/>
              </w:rPr>
            </w:pPr>
            <w:r>
              <w:rPr>
                <w:rFonts w:ascii="Arial" w:cs="Arial" w:eastAsia="Arial" w:hAnsi="Arial"/>
                <w:sz w:val="18"/>
                <w:szCs w:val="18"/>
                <w:color w:val="auto"/>
                <w:w w:val="96"/>
              </w:rPr>
              <w:t>Denominator for diluted earnings per share, adjusted weighted average</w:t>
            </w: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38,971,361</w:t>
            </w:r>
          </w:p>
        </w:tc>
        <w:tc>
          <w:tcPr>
            <w:tcW w:w="260" w:type="dxa"/>
            <w:vAlign w:val="bottom"/>
          </w:tcPr>
          <w:p>
            <w:pPr>
              <w:spacing w:after="0"/>
              <w:rPr>
                <w:sz w:val="15"/>
                <w:szCs w:val="15"/>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38,340,891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38,950,824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38,206,728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shares outstanding and assumed conversions</w:t>
            </w:r>
          </w:p>
        </w:tc>
        <w:tc>
          <w:tcPr>
            <w:tcW w:w="26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2"/>
                <w:szCs w:val="22"/>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 Stock Options and Restricted Stock Awards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 under SFAS 123(R)</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The Company accounts for stock-based compensation in accordance with Statement of Financial Accounting Standards No. 123 (revised 2004), “Share-Based Payment,” (“SFAS 123(R)”),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 During the three months ended June 30, 2008, the Company granted restricted stock awards, in addition to stock options, to select employees and directors as authorized by the Rush Enterprises Inc. 2007 Long-Term Incentive Plan and the Rush Enterprises, Inc. Amended and Restated 2006 Non-Employee Director Stock Plan. Stock-based compensation expense, calculated using the Black-Scholes option-pricing model and included in selling, general and administrative expense, was $1.2 million for the three months ended June 30, 2008 and $1.3 million for the three months ended June 30, 2007. Stock-based compensation expense, included in selling, general and administrative expense, for the six months ended June 30, 2008 was $2.4 million and for the six months ended June 30, 2007 was $2.4 million. </w:t>
      </w:r>
      <w:r>
        <w:rPr>
          <w:rFonts w:ascii="Arial" w:cs="Arial" w:eastAsia="Arial" w:hAnsi="Arial"/>
          <w:sz w:val="16"/>
          <w:szCs w:val="16"/>
          <w:color w:val="auto"/>
        </w:rPr>
        <w:t>As of</w:t>
      </w:r>
      <w:r>
        <w:rPr>
          <w:rFonts w:ascii="Arial" w:cs="Arial" w:eastAsia="Arial" w:hAnsi="Arial"/>
          <w:sz w:val="17"/>
          <w:szCs w:val="17"/>
          <w:color w:val="auto"/>
        </w:rPr>
        <w:t xml:space="preserve"> June 30, 2008, there was $5.4 million of total unrecognized compensation cost related to non-vested share-based compensation arrangements granted under the Rush Enterprises, Inc. Long-Term Incentive Plan to be recognized over a weighted-average period of 3.5 years.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Acquisitions</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 xml:space="preserve">In May 2008, the Company acquired certain assets of Peterbilt Carolina, Inc., which includes a Peterbilt, Hino and Isuzu heavy- and medium-duty truck dealership, and their related franchise rights, in Charlotte, North Carolina. </w:t>
      </w:r>
      <w:r>
        <w:rPr>
          <w:rFonts w:ascii="Arial" w:cs="Arial" w:eastAsia="Arial" w:hAnsi="Arial"/>
          <w:sz w:val="17"/>
          <w:szCs w:val="17"/>
          <w:color w:val="auto"/>
        </w:rPr>
        <w:t>The Company is operating the facility as a full-service Rush Truck Center</w:t>
      </w:r>
      <w:r>
        <w:rPr>
          <w:rFonts w:ascii="Arial" w:cs="Arial" w:eastAsia="Arial" w:hAnsi="Arial"/>
          <w:sz w:val="18"/>
          <w:szCs w:val="18"/>
          <w:color w:val="auto"/>
        </w:rPr>
        <w:t xml:space="preserve"> </w:t>
      </w:r>
      <w:r>
        <w:rPr>
          <w:rFonts w:ascii="Arial" w:cs="Arial" w:eastAsia="Arial" w:hAnsi="Arial"/>
          <w:sz w:val="17"/>
          <w:szCs w:val="17"/>
          <w:color w:val="auto"/>
        </w:rPr>
        <w:t>offering Peterbilt heavy- and medium-duty trucks as well as medium-duty trucks manufactured by Hino and Isuzu, and parts and service. The transaction was valued at approximately $13.4 million, with the purchase price paid in cash.</w:t>
      </w:r>
    </w:p>
    <w:p>
      <w:pPr>
        <w:spacing w:after="0" w:line="186"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operations of Peterbilt Carolina, Inc. are included in the accompanying consolidated financial statements from the date of the acquisition. Pro forma information is not included because Peterbilt Carolina, Inc.’s results of operations would not have a material effect on the Company’s financial statements. The purchase price was allocated based on the fair values of the assets at the date of acquisition as follows (in thousands):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0" w:lineRule="exact"/>
        <w:rPr>
          <w:sz w:val="20"/>
          <w:szCs w:val="20"/>
          <w:color w:val="auto"/>
        </w:rPr>
      </w:pPr>
    </w:p>
    <w:tbl>
      <w:tblPr>
        <w:tblLayout w:type="fixed"/>
        <w:tblInd w:w="2600" w:type="dxa"/>
        <w:tblCellMar>
          <w:top w:w="0" w:type="dxa"/>
          <w:left w:w="0" w:type="dxa"/>
          <w:bottom w:w="0" w:type="dxa"/>
          <w:right w:w="0" w:type="dxa"/>
        </w:tblCellMar>
      </w:tblP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8,606</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Accrued expenses</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(626)</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5,306</w:t>
            </w:r>
          </w:p>
        </w:tc>
      </w:tr>
      <w:tr>
        <w:trPr>
          <w:trHeight w:val="210"/>
        </w:trPr>
        <w:tc>
          <w:tcPr>
            <w:tcW w:w="38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13,386</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goodwill acquired in the Peterbilt Carolina, Inc. acquisition will be amortized over 15 years for tax purposes.</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 xml:space="preserve">In May 2008, the Company executed agreements to acquire the common stock of Adams International Trucks, Inc., an International heavy- and medium-duty truck dealership in Charlotte, North Carolina and the related International franchise rights. </w:t>
      </w:r>
      <w:r>
        <w:rPr>
          <w:rFonts w:ascii="Arial" w:cs="Arial" w:eastAsia="Arial" w:hAnsi="Arial"/>
          <w:sz w:val="17"/>
          <w:szCs w:val="17"/>
          <w:color w:val="auto"/>
        </w:rPr>
        <w:t>The Company is operating the facility as a full-service Rush Truck Center offering International heavy- and medium-duty trucks, parts and service and leasing. The transaction was valued at approximately $20.1 million, with the purchase price paid in cash.</w:t>
      </w:r>
    </w:p>
    <w:p>
      <w:pPr>
        <w:spacing w:after="0" w:line="186"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 xml:space="preserve">The operations of Adams International Trucks, Inc. </w:t>
      </w:r>
      <w:r>
        <w:rPr>
          <w:rFonts w:ascii="Arial" w:cs="Arial" w:eastAsia="Arial" w:hAnsi="Arial"/>
          <w:sz w:val="15"/>
          <w:szCs w:val="15"/>
          <w:color w:val="auto"/>
        </w:rPr>
        <w:t>are included in the accompanying consolidated financial statements from the date of the</w:t>
      </w:r>
      <w:r>
        <w:rPr>
          <w:rFonts w:ascii="Arial" w:cs="Arial" w:eastAsia="Arial" w:hAnsi="Arial"/>
          <w:sz w:val="16"/>
          <w:szCs w:val="16"/>
          <w:color w:val="auto"/>
        </w:rPr>
        <w:t xml:space="preserve"> </w:t>
      </w:r>
      <w:r>
        <w:rPr>
          <w:rFonts w:ascii="Arial" w:cs="Arial" w:eastAsia="Arial" w:hAnsi="Arial"/>
          <w:sz w:val="15"/>
          <w:szCs w:val="15"/>
          <w:color w:val="auto"/>
        </w:rPr>
        <w:t xml:space="preserve">acquisition. Pro forma information is not included because </w:t>
      </w:r>
      <w:r>
        <w:rPr>
          <w:rFonts w:ascii="Arial" w:cs="Arial" w:eastAsia="Arial" w:hAnsi="Arial"/>
          <w:sz w:val="16"/>
          <w:szCs w:val="16"/>
          <w:color w:val="auto"/>
        </w:rPr>
        <w:t>Adams International Trucks, Inc.’s results of operations would not have a material effect on the</w:t>
      </w:r>
      <w:r>
        <w:rPr>
          <w:rFonts w:ascii="Arial" w:cs="Arial" w:eastAsia="Arial" w:hAnsi="Arial"/>
          <w:sz w:val="15"/>
          <w:szCs w:val="15"/>
          <w:color w:val="auto"/>
        </w:rPr>
        <w:t xml:space="preserve"> </w:t>
      </w:r>
      <w:r>
        <w:rPr>
          <w:rFonts w:ascii="Arial" w:cs="Arial" w:eastAsia="Arial" w:hAnsi="Arial"/>
          <w:sz w:val="16"/>
          <w:szCs w:val="16"/>
          <w:color w:val="auto"/>
        </w:rPr>
        <w:t>Company’s financial statements. The purchase price was allocated based on the fair values of the assets at the date of acquisition as follows (in thousands):</w:t>
      </w:r>
    </w:p>
    <w:p>
      <w:pPr>
        <w:spacing w:after="0" w:line="161" w:lineRule="exact"/>
        <w:rPr>
          <w:sz w:val="20"/>
          <w:szCs w:val="20"/>
          <w:color w:val="auto"/>
        </w:rPr>
      </w:pPr>
    </w:p>
    <w:tbl>
      <w:tblPr>
        <w:tblLayout w:type="fixed"/>
        <w:tblInd w:w="2600" w:type="dxa"/>
        <w:tblCellMar>
          <w:top w:w="0" w:type="dxa"/>
          <w:left w:w="0" w:type="dxa"/>
          <w:bottom w:w="0" w:type="dxa"/>
          <w:right w:w="0" w:type="dxa"/>
        </w:tblCellMar>
      </w:tblP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Prepaid expenses</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6,313</w:t>
            </w:r>
          </w:p>
        </w:tc>
        <w:tc>
          <w:tcPr>
            <w:tcW w:w="1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4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(3,185)</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(2,379)</w:t>
            </w:r>
          </w:p>
        </w:tc>
      </w:tr>
      <w:tr>
        <w:trPr>
          <w:trHeight w:val="216"/>
        </w:trPr>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13,918</w:t>
            </w:r>
          </w:p>
        </w:tc>
        <w:tc>
          <w:tcPr>
            <w:tcW w:w="180" w:type="dxa"/>
            <w:vAlign w:val="bottom"/>
            <w:tcBorders>
              <w:bottom w:val="single" w:sz="8" w:color="CCEEFF"/>
            </w:tcBorders>
          </w:tcPr>
          <w:p>
            <w:pPr>
              <w:spacing w:after="0"/>
              <w:rPr>
                <w:sz w:val="18"/>
                <w:szCs w:val="18"/>
                <w:color w:val="auto"/>
              </w:rPr>
            </w:pPr>
          </w:p>
        </w:tc>
      </w:tr>
      <w:tr>
        <w:trPr>
          <w:trHeight w:val="210"/>
        </w:trPr>
        <w:tc>
          <w:tcPr>
            <w:tcW w:w="3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860" w:type="dxa"/>
            <w:vAlign w:val="bottom"/>
          </w:tcPr>
          <w:p>
            <w:pPr>
              <w:ind w:left="90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20,102</w:t>
            </w:r>
          </w:p>
        </w:tc>
        <w:tc>
          <w:tcPr>
            <w:tcW w:w="18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5" w:lineRule="auto"/>
        <w:rPr>
          <w:sz w:val="20"/>
          <w:szCs w:val="20"/>
          <w:color w:val="auto"/>
        </w:rPr>
      </w:pPr>
      <w:r>
        <w:rPr>
          <w:rFonts w:ascii="Arial" w:cs="Arial" w:eastAsia="Arial" w:hAnsi="Arial"/>
          <w:sz w:val="18"/>
          <w:szCs w:val="18"/>
          <w:color w:val="auto"/>
        </w:rPr>
        <w:t xml:space="preserve">The portion of goodwill related to the stock purchase of Adams International Trucks, Inc. </w:t>
      </w:r>
      <w:r>
        <w:rPr>
          <w:rFonts w:ascii="Arial" w:cs="Arial" w:eastAsia="Arial" w:hAnsi="Arial"/>
          <w:sz w:val="17"/>
          <w:szCs w:val="17"/>
          <w:color w:val="auto"/>
        </w:rPr>
        <w:t>will not be amortized for tax purposes, while the portion of</w:t>
      </w:r>
      <w:r>
        <w:rPr>
          <w:rFonts w:ascii="Arial" w:cs="Arial" w:eastAsia="Arial" w:hAnsi="Arial"/>
          <w:sz w:val="18"/>
          <w:szCs w:val="18"/>
          <w:color w:val="auto"/>
        </w:rPr>
        <w:t xml:space="preserve"> </w:t>
      </w:r>
      <w:r>
        <w:rPr>
          <w:rFonts w:ascii="Arial" w:cs="Arial" w:eastAsia="Arial" w:hAnsi="Arial"/>
          <w:sz w:val="17"/>
          <w:szCs w:val="17"/>
          <w:color w:val="auto"/>
        </w:rPr>
        <w:t>goodwill related to the acquisition of the International franchise rights will be amortized over 15 years for tax purposes.</w:t>
      </w:r>
    </w:p>
    <w:p>
      <w:pPr>
        <w:sectPr>
          <w:pgSz w:w="11900" w:h="16838" w:orient="portrait"/>
          <w:cols w:equalWidth="0" w:num="1">
            <w:col w:w="11420"/>
          </w:cols>
          <w:pgMar w:left="240" w:top="140" w:right="239" w:bottom="0" w:gutter="0" w:footer="0" w:header="0"/>
        </w:sectPr>
      </w:pPr>
    </w:p>
    <w:bookmarkStart w:id="6" w:name="page7"/>
    <w:bookmarkEnd w:id="6"/>
    <w:p>
      <w:pPr>
        <w:spacing w:after="0" w:line="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Additionally, the Company purchased the real estate of the above dealership operations for $6.2 million. The real estate transaction was financed by a bank with a $5.0 million note payable.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Company had an additional acquisition during June 2008 that </w:t>
      </w:r>
      <w:r>
        <w:rPr>
          <w:rFonts w:ascii="Arial" w:cs="Arial" w:eastAsia="Arial" w:hAnsi="Arial"/>
          <w:sz w:val="17"/>
          <w:szCs w:val="17"/>
          <w:color w:val="auto"/>
        </w:rPr>
        <w:t>does not have a material effect on the Company’s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Inventory</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New and used truck and equipment inventory is reviewed quarterly and, if necessary, the Company makes adjustments to the value of specific units. During the quarter ended June 30, 2008, the Company recorded a used truck inventory write-down of $5.4 million, which was recorded as a charge to cost of goods sold. The Company took this action because, industry-wide, used truck valuations are down 15% to 20% since April due to an oversupply of used trucks and decreased demand for used trucks. The Company adjusted its used truck inventory to its estimated market value, which it considers to be the net realizable value plus a reasonable profit percentage.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Investments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On a quarterly basis, the Company assesses its investments for impairment. If the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income.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As of December 31, 2007, the Company did not carry any short-term investments, as its previous practice had been to liquidate its short-term investments near the end of each fiscal quarter. However, as of June 30, 2008, the Company holds $7.6 million of auction rate securities with underlying tax-exempt municipal bonds with stated maturities of 22 years. These bonds have credit wrap insurance and have been rated AAA by credit agencies.</w:t>
      </w:r>
    </w:p>
    <w:p>
      <w:pPr>
        <w:spacing w:after="0" w:line="1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a result of the recent liquidity issues experienced in the global credit and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believes that these investments will liquidate within the next twelve months and has classified them as a current asset on its consolidated balance sheet. The Company has the intent and ability to hold these investments until liquidity returns to the market. The Company does not believe that the lack of liquidity relating to auction rate securities will have a material impact on its ability to fund operations.</w:t>
      </w:r>
    </w:p>
    <w:p>
      <w:pPr>
        <w:spacing w:after="0" w:line="18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 believes that the credit quality and fair value of these assets has not been negatively impacted; therefore, no impairment charges have been recorded as of June 30, 2008. As of June 30, 2008, the Company has valued these investments at fair value, which approximates cost. The Company used observable inputs to determine fair value, including consideration of broker quotes, the overall quality of the underlying municipality, the credit quality of the insurance company, as well as successful subsequent auctions. Accordingly, the Company has considered this fair value to be a Level 2 valuation under SFAS No. 157, “Fair Value Measurement.” If the credit quality of these investments deteriorates, or adverse developments occur in the bond insurance market, the Company may be required to record an impairment charge on these investments in the future.</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 historically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 The Company has discontinued investing in auction rate securities and will reevaluate this investing strategy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Segment Information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currently has two reportable business segments: the Truck Segment and the Construction Equipment Segment. The Truck Segment operates a network of Rush Truck Centers that provides an integrated one-stop source for the trucking needs of its customers, including retail sales of new and used medium-duty and heavy-duty trucks; aftermarket parts, service and body shop facilities; and a wide array of financial services, including the financing of new and used truck purchases, insurance products and truck leasing and rentals. The Construction Equipment Segment operates a full-service John Deere construction equipment dealership that serves the Houston, Texas metropolitan area. Construction Equipment Segment operations include the retail sale of new and used construction equipment, aftermarket parts and service facilities, and the financing of new and used construction equipment.</w:t>
      </w:r>
    </w:p>
    <w:p>
      <w:pPr>
        <w:spacing w:after="0" w:line="16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the annual report. The Company evaluates performance based on income before income taxes not including extraordinary items.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quarters ended June 30, 2008 and 2007.</w:t>
      </w:r>
    </w:p>
    <w:p>
      <w:pPr>
        <w:spacing w:after="0" w:line="170" w:lineRule="exact"/>
        <w:rPr>
          <w:sz w:val="20"/>
          <w:szCs w:val="20"/>
          <w:color w:val="auto"/>
        </w:rPr>
      </w:pPr>
    </w:p>
    <w:p>
      <w:pPr>
        <w:jc w:val="both"/>
        <w:ind w:right="20" w:firstLine="648"/>
        <w:spacing w:after="0" w:line="340" w:lineRule="auto"/>
        <w:rPr>
          <w:sz w:val="20"/>
          <w:szCs w:val="20"/>
          <w:color w:val="auto"/>
        </w:rPr>
      </w:pPr>
      <w:r>
        <w:rPr>
          <w:rFonts w:ascii="Arial" w:cs="Arial" w:eastAsia="Arial" w:hAnsi="Arial"/>
          <w:sz w:val="15"/>
          <w:szCs w:val="15"/>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The following table contains summarized information about reportable segment profit or loss and segment assets for the periods ended June 30, 2008 and 2007 (in thousands):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4700" w:type="dxa"/>
        <w:tblCellMar>
          <w:top w:w="0" w:type="dxa"/>
          <w:left w:w="0" w:type="dxa"/>
          <w:bottom w:w="0" w:type="dxa"/>
          <w:right w:w="0" w:type="dxa"/>
        </w:tblCellMar>
      </w:tblPr>
      <w:tr>
        <w:trPr>
          <w:trHeight w:val="161"/>
        </w:trPr>
        <w:tc>
          <w:tcPr>
            <w:tcW w:w="920" w:type="dxa"/>
            <w:vAlign w:val="bottom"/>
            <w:vMerge w:val="restart"/>
          </w:tcPr>
          <w:p>
            <w:pPr>
              <w:jc w:val="center"/>
              <w:ind w:right="328"/>
              <w:spacing w:after="0"/>
              <w:rPr>
                <w:sz w:val="20"/>
                <w:szCs w:val="20"/>
                <w:color w:val="auto"/>
              </w:rPr>
            </w:pPr>
            <w:r>
              <w:rPr>
                <w:rFonts w:ascii="Arial" w:cs="Arial" w:eastAsia="Arial" w:hAnsi="Arial"/>
                <w:sz w:val="14"/>
                <w:szCs w:val="14"/>
                <w:b w:val="1"/>
                <w:bCs w:val="1"/>
                <w:color w:val="auto"/>
                <w:w w:val="94"/>
              </w:rPr>
              <w:t>Truck</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Construction</w:t>
            </w: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Equipment</w:t>
            </w:r>
          </w:p>
        </w:tc>
        <w:tc>
          <w:tcPr>
            <w:tcW w:w="14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All Other</w:t>
            </w:r>
          </w:p>
        </w:tc>
        <w:tc>
          <w:tcPr>
            <w:tcW w:w="84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87"/>
              </w:rPr>
              <w:t>Totals</w:t>
            </w:r>
          </w:p>
        </w:tc>
        <w:tc>
          <w:tcPr>
            <w:tcW w:w="0" w:type="dxa"/>
            <w:vAlign w:val="bottom"/>
          </w:tcPr>
          <w:p>
            <w:pPr>
              <w:spacing w:after="0"/>
              <w:rPr>
                <w:sz w:val="1"/>
                <w:szCs w:val="1"/>
                <w:color w:val="auto"/>
              </w:rPr>
            </w:pPr>
          </w:p>
        </w:tc>
      </w:tr>
      <w:tr>
        <w:trPr>
          <w:trHeight w:val="186"/>
        </w:trPr>
        <w:tc>
          <w:tcPr>
            <w:tcW w:w="920" w:type="dxa"/>
            <w:vAlign w:val="bottom"/>
          </w:tcPr>
          <w:p>
            <w:pPr>
              <w:jc w:val="center"/>
              <w:ind w:right="328"/>
              <w:spacing w:after="0"/>
              <w:rPr>
                <w:sz w:val="20"/>
                <w:szCs w:val="20"/>
                <w:color w:val="auto"/>
              </w:rPr>
            </w:pPr>
            <w:r>
              <w:rPr>
                <w:rFonts w:ascii="Arial" w:cs="Arial" w:eastAsia="Arial" w:hAnsi="Arial"/>
                <w:sz w:val="14"/>
                <w:szCs w:val="14"/>
                <w:b w:val="1"/>
                <w:bCs w:val="1"/>
                <w:color w:val="auto"/>
                <w:w w:val="87"/>
              </w:rPr>
              <w:t>Segment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4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926"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2936240</wp:posOffset>
            </wp:positionH>
            <wp:positionV relativeFrom="page">
              <wp:posOffset>88900</wp:posOffset>
            </wp:positionV>
            <wp:extent cx="34302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June 30, 2008</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425,165</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24,651</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4,902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1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8,147</w:t>
            </w:r>
          </w:p>
        </w:tc>
        <w:tc>
          <w:tcPr>
            <w:tcW w:w="5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1,850</w:t>
            </w:r>
          </w:p>
        </w:tc>
        <w:tc>
          <w:tcPr>
            <w:tcW w:w="5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989,906</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27,874</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28,247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1,046,027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Six months ended June 30, 2008</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802,298</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47,069</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9,209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858,576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1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22,183</w:t>
            </w:r>
          </w:p>
        </w:tc>
        <w:tc>
          <w:tcPr>
            <w:tcW w:w="5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3,768</w:t>
            </w:r>
          </w:p>
        </w:tc>
        <w:tc>
          <w:tcPr>
            <w:tcW w:w="5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(764)</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989,906</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27,874</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28,247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1,046,027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June 30, 2007</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488,188</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26,308</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4,908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519,404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1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18,651</w:t>
            </w:r>
          </w:p>
        </w:tc>
        <w:tc>
          <w:tcPr>
            <w:tcW w:w="5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2,303</w:t>
            </w:r>
          </w:p>
        </w:tc>
        <w:tc>
          <w:tcPr>
            <w:tcW w:w="50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1,080,838</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27,433</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25,099</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1,133,370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Six months ended June 30, 2007</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993,447</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47,777</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9,438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1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37,977</w:t>
            </w:r>
          </w:p>
        </w:tc>
        <w:tc>
          <w:tcPr>
            <w:tcW w:w="5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3,826</w:t>
            </w:r>
          </w:p>
        </w:tc>
        <w:tc>
          <w:tcPr>
            <w:tcW w:w="50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249</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1,080,838</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27,433</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25,099</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1,133,370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Revenues from segments below the quantitative thresholds requiring them to be reported separately are attributable to three operating segments of the Company. These segments include a tire company, an insurance agency, and a hunting lease operation. None of these segments has ever met any of the quantitative thresholds that would require them to be reported separately.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Income Taxes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June 2006, the Financial Accounting Standards Board (“FASB”) issued FASB Interpretation No. 48, “Accounting for Uncertainty in Income Taxes – an interpretation of FASB Statement No. 109” (“FIN 48”). FIN 48 clarifies the accounting for uncertainty in income taxes recognized in financial statements in accordance with FASB Statement No. 109, “Accounting for Income Taxes.” FIN 48 prescribes how a company should recognize, measure, present and disclose uncertain tax positions that the company has taken or expects to take in its income tax returns. FIN 48 requires that only income tax benefits meeting the “more likely than not” recognition threshold be recognized or continue to be recognized on its effective date. As required, the Company has adopted the provisions of FIN 48 effective January 1, 2007.</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included accruals for unrecognized income tax benefits totaling $2.0 million as a component of accrued liabilities as of June 30, 2008 and December 31, 2007. The unrecognized tax benefits of $2.0 million at June 30, 2008, if recognized, would impact the Company’s effective tax rate. As of June 30, 2008, the Company has accrued interest expense of $171,000 related to the unrecognized tax benefit. No amounts were accrued for penalties.</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June 30, 2008, the tax years ended December 31, 2004, through 2007 remained subject to examination by tax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Stock Repurchase Plan</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On July 22, 2008, the Company’s Board of Directors approved a stock repurchase program authorizing the Company to repurchase, from time to time, up to an aggregate of $20,000,000 of its shares of Class A common stock, $.01 par value per share, and/or Class B common stock, $.01 par value per share.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including those related to the ownership requirements of its dealership agreements with manufacturers it represents. The stock repurchase program has no expiration date and may be suspended or discontinued at any time. While the stock repurchase program does not obligate the Company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 acquire any particular amount or class of common stock, the Company anticipates that it will be repurchasing primarily shares of its Class B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 Recent Accounting Pronouncements</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In December 2007, the FASB issued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which establishes principles and requirements for how the acquirer: (a) recognizes and measures in its financial statements the identifiable assets acquired, the liabilities assumed, and any noncontrolling interest in the acquiree; (b) recognizes and measures the goodwill acquired in the business combination or a gain from a bargain purchase; and (c) determines what information to disclose to enable users of the financial statements to evaluate the nature and financial effects of the business combination. SFAS 141(R) requires contingent consideration to be recognized at its fair value on the acquisition date and, for certain arrangements, changes in fair value to be recognized in earnings until settled. SFAS 141(R) also requires acquisition-related transaction and restructuring costs to be expensed rather than treated as part of the cost of the acquisition. SFAS 141(R) applies prospectively to business combinations for which the acquisition date is on or after the beginning of the first annual reporting period beginning on or after December 15, 2008. The Company does not expect the adoption of SFAS 141(R) to have a significant impact on its consolidated results of operations and financial position, but will impact any business combinations that close on or after January 1, 2009.</w:t>
      </w:r>
    </w:p>
    <w:p>
      <w:pPr>
        <w:sectPr>
          <w:pgSz w:w="11900" w:h="16838" w:orient="portrait"/>
          <w:cols w:equalWidth="0" w:num="1">
            <w:col w:w="11400"/>
          </w:cols>
          <w:pgMar w:left="240" w:top="369" w:right="259" w:bottom="28" w:gutter="0" w:footer="0" w:header="0"/>
        </w:sectPr>
      </w:pPr>
    </w:p>
    <w:bookmarkStart w:id="8" w:name="page9"/>
    <w:bookmarkEnd w:id="8"/>
    <w:p>
      <w:pPr>
        <w:spacing w:after="0" w:line="13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In December 2007, the FASB issued SFAS No. 160, </w:t>
      </w:r>
      <w:r>
        <w:rPr>
          <w:rFonts w:ascii="Arial" w:cs="Arial" w:eastAsia="Arial" w:hAnsi="Arial"/>
          <w:sz w:val="18"/>
          <w:szCs w:val="18"/>
          <w:i w:val="1"/>
          <w:iCs w:val="1"/>
          <w:color w:val="auto"/>
        </w:rPr>
        <w:t>Noncontrolling Interests in Consolidated Financial Statements, an amendment of ARB No. 51</w:t>
      </w:r>
      <w:r>
        <w:rPr>
          <w:rFonts w:ascii="Arial" w:cs="Arial" w:eastAsia="Arial" w:hAnsi="Arial"/>
          <w:sz w:val="18"/>
          <w:szCs w:val="18"/>
          <w:color w:val="auto"/>
        </w:rPr>
        <w:t xml:space="preserve"> (“SFAS 160”). SFAS 160 amends ARB No. 51 to establish accounting and reporting standards for the noncontrolling interest in a subsidiary and for the deconsolidation of a subsidiary. It also amends certain of ARB No. 51’s consolidation procedures for consistency with the requirements of SFAS 141(R). SFAS 160 is effective for fiscal years, and interim periods within those fiscal years, beginning on or after December 15, 2008. The Company does not expect the adoption of SFAS 160 to have a significant impact on its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views and assumptions of Company management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2007 as well as future growth rates and margins for certain of our products and services, future demand for our products and services, competitive factors, general economic conditions, cyclicality,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other reports filed with the SEC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The Company undertakes no duty to update these forward-looking statements.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Used in This Form 10-Q</w:t>
      </w:r>
    </w:p>
    <w:p>
      <w:pPr>
        <w:spacing w:after="0" w:line="229" w:lineRule="exact"/>
        <w:rPr>
          <w:sz w:val="20"/>
          <w:szCs w:val="20"/>
          <w:color w:val="auto"/>
        </w:rPr>
      </w:pPr>
    </w:p>
    <w:p>
      <w:pPr>
        <w:ind w:right="40" w:firstLine="648"/>
        <w:spacing w:after="0" w:line="188"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PACCAR, Inc. GMC</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as registered trademark of General Motors Corporation. Hino</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Hino Motors, Ltd. UD</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Nissan Diesel Motor Co., Ltd. Isuzu</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Isuzu Motors Limited. John Deere</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Deere &amp; Company. Kenworth</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PACCAR, Inc. doing business as Kenworth Truck Company. Volvo</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Volvo Trademark Holding AB. Freightliner</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Freightliner Corporation. Mack</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Mack Trucks, Inc. Navistar</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Navistar International Corporation. Caterpillar</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Caterpillar, Inc. Cummins</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Cummins Engine Company, Inc. PacLease</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PACCAR Leasing Corporation. CitiCapital</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Citicorp. Ford</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Ford Motor Company. Cummins</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Cummins Intellectual Property, Inc. Eaton is a registered trademark of Eaton Corporation. Arvin Meritor</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Meritor Technology, Inc. Case is a registered trademark of Case Corporation. Komatsu</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Kabushiki Kaisha Komatsu Seisakusho Corporation Japan. The CIT Group</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CIT Group Holdings, Inc. JPMorgan Chase is a registered trademark of JP Morgan Chase &amp; Co. SAP</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SAP Aktiengesellschaft. International</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is a registered trademark of Navistar International Transportation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Rush Enterprises, Inc. was incorporated in Texas in 1965 and currently consists of two reportable segments: the Truck Segment and the Construction Equipment Segment. The Company currently conducts business through numerous subsidiaries, all of which are wholly owned, directly or indirectly, by it. Its principal offices are located at 555 IH 35 South, New Braunfels, Texas 78130.</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is a full-service, integrated retailer of premium transportation and construction equipment and related services. The Company’s Rush Truck Centers sell trucks manufactured by Peterbilt Motors Company (a division of PACCAR, Inc.), Volvo, International, GMC, Hino, UD, Ford or Isuzu. The Company also operates a John Deere construction equipment dealership at its Rush Equipment Center in Houston, Texas. Through its strategically located network of Rush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Truck Centers and its Rush Equipment Center, the Company provides one-stop service for the needs of its customers, including retail sales of new and used trucks and construction equipment, aftermarket parts sales, service and repair facilities, and financing, leasing and rental, and insurance products.</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50 Rush Truck Centers in Alabama, Arizona, California, Colorado, Florida, Georgia, New Mexico, North Carolina, Oklahoma, Tennessee and Texas.</w:t>
      </w:r>
    </w:p>
    <w:p>
      <w:pPr>
        <w:spacing w:after="0" w:line="18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w:t>
      </w:r>
    </w:p>
    <w:p>
      <w:pPr>
        <w:sectPr>
          <w:pgSz w:w="11900" w:h="16975" w:orient="portrait"/>
          <w:cols w:equalWidth="0" w:num="1">
            <w:col w:w="11420"/>
          </w:cols>
          <w:pgMar w:left="240" w:top="125" w:right="239" w:bottom="0" w:gutter="0" w:footer="0" w:header="0"/>
        </w:sectPr>
      </w:pPr>
    </w:p>
    <w:bookmarkStart w:id="9" w:name="page10"/>
    <w:bookmarkEnd w:id="9"/>
    <w:p>
      <w:pPr>
        <w:spacing w:after="0" w:line="2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develop our Rush Truck Centers and Rush Equipment Center as we extend our geographic focus through strategic acquisitions of new locations and expansions of our existing facilities and product lines.</w:t>
      </w:r>
    </w:p>
    <w:p>
      <w:pPr>
        <w:spacing w:after="0" w:line="17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 xml:space="preserve">In May 2008, the Company acquired certain assets of Peterbilt Carolina, Inc., which includes a Peterbilt, Hino and Isuzu heavy- and medium-duty truck dealership in Charlotte, North Carolina. </w:t>
      </w:r>
      <w:r>
        <w:rPr>
          <w:rFonts w:ascii="Arial" w:cs="Arial" w:eastAsia="Arial" w:hAnsi="Arial"/>
          <w:sz w:val="17"/>
          <w:szCs w:val="17"/>
          <w:color w:val="auto"/>
        </w:rPr>
        <w:t>The Company is operating the facility as a full-service Rush Truck Center offering Peterbilt heavy-duty and</w:t>
      </w:r>
      <w:r>
        <w:rPr>
          <w:rFonts w:ascii="Arial" w:cs="Arial" w:eastAsia="Arial" w:hAnsi="Arial"/>
          <w:sz w:val="18"/>
          <w:szCs w:val="18"/>
          <w:color w:val="auto"/>
        </w:rPr>
        <w:t xml:space="preserve"> </w:t>
      </w:r>
      <w:r>
        <w:rPr>
          <w:rFonts w:ascii="Arial" w:cs="Arial" w:eastAsia="Arial" w:hAnsi="Arial"/>
          <w:sz w:val="17"/>
          <w:szCs w:val="17"/>
          <w:color w:val="auto"/>
        </w:rPr>
        <w:t>medium-duty trucks as well as medium-duty trucks manufactured by Hino and Isuzu, and parts and service. The transaction was valued at approximately $13.4 million, with the purchase price paid in cash.</w:t>
      </w:r>
    </w:p>
    <w:p>
      <w:pPr>
        <w:spacing w:after="0" w:line="186"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In May 2008, the Company also acquired the common stock of Adams International Trucks, Inc., an International heavy- and medium-duty truck and Workhorse custom chassis dealership in Charlotte, North Carolina. </w:t>
      </w:r>
      <w:r>
        <w:rPr>
          <w:rFonts w:ascii="Arial" w:cs="Arial" w:eastAsia="Arial" w:hAnsi="Arial"/>
          <w:sz w:val="17"/>
          <w:szCs w:val="17"/>
          <w:color w:val="auto"/>
        </w:rPr>
        <w:t>The Company is operating the facility as a full-service Rush Truck Center offering</w:t>
      </w:r>
      <w:r>
        <w:rPr>
          <w:rFonts w:ascii="Arial" w:cs="Arial" w:eastAsia="Arial" w:hAnsi="Arial"/>
          <w:sz w:val="18"/>
          <w:szCs w:val="18"/>
          <w:color w:val="auto"/>
        </w:rPr>
        <w:t xml:space="preserve"> </w:t>
      </w:r>
      <w:r>
        <w:rPr>
          <w:rFonts w:ascii="Arial" w:cs="Arial" w:eastAsia="Arial" w:hAnsi="Arial"/>
          <w:sz w:val="17"/>
          <w:szCs w:val="17"/>
          <w:color w:val="auto"/>
        </w:rPr>
        <w:t xml:space="preserve">International heavy-duty and medium-duty trucks, parts and service and leasing. The transaction was valued at approximately $20.1 million, with the purchase price paid in cash. </w:t>
      </w:r>
      <w:r>
        <w:rPr>
          <w:rFonts w:ascii="Arial" w:cs="Arial" w:eastAsia="Arial" w:hAnsi="Arial"/>
          <w:sz w:val="18"/>
          <w:szCs w:val="18"/>
          <w:color w:val="auto"/>
        </w:rPr>
        <w:t>Included in the acquisition was the purchase of Adams Collision Center. The Company also purchased the real estate of the above</w:t>
      </w:r>
      <w:r>
        <w:rPr>
          <w:rFonts w:ascii="Arial" w:cs="Arial" w:eastAsia="Arial" w:hAnsi="Arial"/>
          <w:sz w:val="17"/>
          <w:szCs w:val="17"/>
          <w:color w:val="auto"/>
        </w:rPr>
        <w:t xml:space="preserve"> </w:t>
      </w:r>
      <w:r>
        <w:rPr>
          <w:rFonts w:ascii="Arial" w:cs="Arial" w:eastAsia="Arial" w:hAnsi="Arial"/>
          <w:sz w:val="18"/>
          <w:szCs w:val="18"/>
          <w:color w:val="auto"/>
        </w:rPr>
        <w:t>dealership operations for $6.2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40" w:firstLine="648"/>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truck and construction equipment inventory and by the first-in, first-out method for tires, parts and accessories. An allowance is provided when it is anticipated that cost will exceed net realizable value.</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During the quarter ended June 30, 2008, the Company recorded a used truck inventory write-down of $5.4 million, which was recorded as a charge to cost of goods sold. The Company took this action because used truck valuations, industry-wide, are down 15% to 20% since April due to an oversupply of used trucks and decreased demand for used trucks. The Company has adjusted its used truck inventory to its estimated market value, which it considers to be the net realizable value plus a reasonable profit percentage. If demand for, and valuations of, used trucks continue to decrease, we may record additional write-downs in future periods. Actual amounts realized from the sales of used truck inventory may differ from our estimates, and such differences could have a material impact on our future results of operations, cash flows and financial position.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The Company applies the provisions of Statement of Financial Accounting Standards No. 142, “Goodwill and Other Intangible Assets” (“SFAS 142”), in accounting for goodwill. SFAS 142 requires that goodwill and other intangible assets that have indefinite useful lives may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 assets for impairment. SFAS 142 requires management to make certain estimates and assumptions in order to allocate goodwill to reporting units and to determine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fair value of a reporting unit’s net assets and liabilities, including, among other things, an assessment of market condition, projected cash flows, interest rates and growth rates, which could significantly impact the reported value of goodwill and other intangible assets. SFAS 142 requires, in lieu of amortization, an annual impairment review of goodwill. The Company performs its annual review during the fourth quarter of each year and, therefore, did not record an impairment charge related to goodwill during the second quarter of 2008. Management is not aware of any impairment charge that may be required; however, a change in economic conditions, if one occurs, could result in an impairment charge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Income on the sale of a truck or a piece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recognized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Insurance Revenue Recognition</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Finance income related to the sale of a unit is recognized when the finance contract is sold to a finance company. The Company arranges financing for customers through various retail funding sources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and extended service contracts to customers. Revenue is recognized by the Company upon the sale of such finance and insurance contracts to the finance and insurance companies net of a provision for estimated repossession losses and interest charge backs on finance contracts. The Company is not the obligor under any of these underlying contracts. In the case of finance contracts, a customer may prepay, or fail to pay, thereby terminating the underlying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 back exposure is based on the Company’s historical charge back expense arising from similar contracts, including the impact of refinance and default rates on retail finance contracts and cancellation rates on other insurance products. The actual amount of historical charge-backs has not been significantly different than the Company’s estimates.</w:t>
      </w:r>
    </w:p>
    <w:p>
      <w:pPr>
        <w:sectPr>
          <w:pgSz w:w="11900" w:h="16859" w:orient="portrait"/>
          <w:cols w:equalWidth="0" w:num="1">
            <w:col w:w="11420"/>
          </w:cols>
          <w:pgMar w:left="240" w:top="125"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Company is partially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it performs.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has a valuation allowance related to deferred tax assets in certain states. Accordingly, the facts and financial circumstances impacting state deferred income tax assets are reviewed quarterly and management’s judgment is applied to determine the amount of valuation allowance required in any given period.</w:t>
      </w:r>
    </w:p>
    <w:p>
      <w:pPr>
        <w:spacing w:after="0" w:line="18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Effective January 1, 2007, the Company adopted FIN 48. This interpretation clarified the accounting for uncertainty in income taxes recognized in the financial statements by prescribing a recognition threshold and measurement attribute for a tax position taken or expected to be taken in a tax return. FIN 48 prescribes how a company should recognize, measure, present and disclose uncertain tax positions that the company has taken or expects to take in its income tax returns. FIN 48 requires that only income tax benefits that meet the “more likely than not” recognition threshold be recognized or continue to</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be recognized on its effective date. The Company’s income tax expense includes the impact of reserve provisions and changes to reserves that it considers appropriate, as well as related interest. Unfavorable settlement of any particular issue would require use of the Company’s cash and a charge to income tax expense. Favorable resolution would be recognized as a reduction to income tax expense at the time of resolution.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Company applies the provisions of Statement of Financial Accounting Standards No. 123 (revised 2004), “Share-Based Payment” (“SFAS 123(R)”), which requires the measurement and recognition of compensation expense for all share-based payment awards made to employees and directors including grants of employee stock options and employee stock purchases under the Employee Stock Purchase Plan based on estimated fair values.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Income.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six months ended June 30, 2008 and 2007.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5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3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Borders>
              <w:bottom w:val="single" w:sz="8" w:color="auto"/>
            </w:tcBorders>
            <w:gridSpan w:val="3"/>
          </w:tcPr>
          <w:p>
            <w:pPr>
              <w:jc w:val="center"/>
              <w:ind w:left="653"/>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9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Parts and service</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23.2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Lease and rental</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 of products sold</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83.6</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82.3</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82.3</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Operating income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41" w:right="279" w:bottom="0" w:gutter="0" w:footer="0" w:header="0"/>
        </w:sectPr>
      </w:pPr>
    </w:p>
    <w:bookmarkStart w:id="11" w:name="page12"/>
    <w:bookmarkEnd w:id="11"/>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0.8</w:t>
            </w: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1.5</w:t>
            </w: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1.1</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1.5</w:t>
            </w:r>
          </w:p>
        </w:tc>
      </w:tr>
      <w:tr>
        <w:trPr>
          <w:trHeight w:val="223"/>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and used trucks and the absorption rate for the periods indicated (revenue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Six Months Ended</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0"/>
                <w:szCs w:val="10"/>
                <w:color w:val="auto"/>
              </w:rPr>
            </w:pPr>
          </w:p>
        </w:tc>
        <w:tc>
          <w:tcPr>
            <w:tcW w:w="960" w:type="dxa"/>
            <w:vAlign w:val="bottom"/>
          </w:tcPr>
          <w:p>
            <w:pPr>
              <w:jc w:val="right"/>
              <w:ind w:right="313"/>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0"/>
                <w:szCs w:val="10"/>
                <w:color w:val="auto"/>
              </w:rPr>
            </w:pPr>
          </w:p>
        </w:tc>
        <w:tc>
          <w:tcPr>
            <w:tcW w:w="960" w:type="dxa"/>
            <w:vAlign w:val="bottom"/>
          </w:tcPr>
          <w:p>
            <w:pPr>
              <w:jc w:val="right"/>
              <w:ind w:right="313"/>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Truck unit sales:</w:t>
            </w: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New heavy-duty trucks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1,869</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3,899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trucks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w:t>
            </w: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vMerge w:val="restart"/>
          </w:tcPr>
          <w:p>
            <w:pPr>
              <w:ind w:left="160"/>
              <w:spacing w:after="0"/>
              <w:rPr>
                <w:sz w:val="20"/>
                <w:szCs w:val="20"/>
                <w:color w:val="auto"/>
              </w:rPr>
            </w:pPr>
            <w:r>
              <w:rPr>
                <w:rFonts w:ascii="Arial" w:cs="Arial" w:eastAsia="Arial" w:hAnsi="Arial"/>
                <w:sz w:val="18"/>
                <w:szCs w:val="18"/>
                <w:color w:val="auto"/>
              </w:rPr>
              <w:t>Total new truck unit sales</w:t>
            </w: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3,193</w:t>
            </w:r>
          </w:p>
        </w:tc>
        <w:tc>
          <w:tcPr>
            <w:tcW w:w="220" w:type="dxa"/>
            <w:vAlign w:val="bottom"/>
            <w:vMerge w:val="continue"/>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6,662</w:t>
            </w:r>
          </w:p>
        </w:tc>
        <w:tc>
          <w:tcPr>
            <w:tcW w:w="200" w:type="dxa"/>
            <w:vAlign w:val="bottom"/>
            <w:vMerge w:val="continue"/>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Used truck unit sales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984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2,061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Truck revenue: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New heavy-duty trucks</w:t>
            </w: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225.9</w:t>
            </w: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New medium-duty trucks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149.8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Total new truck revenue</w:t>
            </w:r>
          </w:p>
        </w:tc>
        <w:tc>
          <w:tcPr>
            <w:tcW w:w="3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220" w:type="dxa"/>
            <w:vAlign w:val="bottom"/>
            <w:tcBorders>
              <w:lef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220" w:type="dxa"/>
            <w:vAlign w:val="bottom"/>
            <w:vMerge w:val="continue"/>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220" w:type="dxa"/>
            <w:vAlign w:val="bottom"/>
            <w:tcBorders>
              <w:lef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20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Used truck revenue</w:t>
            </w: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w:t>
            </w: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revenue:</w:t>
            </w:r>
            <w:r>
              <w:rPr>
                <w:rFonts w:ascii="Arial" w:cs="Arial" w:eastAsia="Arial" w:hAnsi="Arial"/>
                <w:sz w:val="18"/>
                <w:szCs w:val="18"/>
                <w:color w:val="auto"/>
              </w:rPr>
              <w:t>(1)</w:t>
            </w: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Absorption rate:</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w:t>
            </w: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Includes sales of truck bodies, trailers and other new truck equipment.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Absorption Rate. </w:t>
      </w:r>
      <w:r>
        <w:rPr>
          <w:rFonts w:ascii="Arial" w:cs="Arial" w:eastAsia="Arial" w:hAnsi="Arial"/>
          <w:sz w:val="17"/>
          <w:szCs w:val="17"/>
          <w:color w:val="auto"/>
        </w:rPr>
        <w:t>The management of the Company uses several performance metrics to evaluate the performance of its dealerships.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considers its “absorption rate” to be of critical importance. Absorption rate is calculated by dividing the gross profit from the parts, service and body shop departments by the overhead expenses of all of a dealership’s departments, except for the selling expenses of the new and used truck departments and carrying costs of new and used truck inventory. When 100% absorption is achieved, then gross profit from the sale of a truck, after sales commissions and inventory carrying costs, directly impacts operating profit. In 1999, the Company’s truck dealerships absorption rate was approximately 80%. The Company has made a concerted effort to increase its absorption rate since then. Management believes that maintaining an absorption rate in excess of 100% is critical to the Company’s ability to generate consistent earnings in a cyclical business. The Company’s truck dealerships achieved a 104.5% absorption rate for the year in 2007 and 105.1% absorption rate for the first six months of 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2008 Compared to Three Months Ended June 30, 2007</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Class 8 and medium-duty new and used truck markets remained weak through the second quarter of 2008. This was not unexpected given the current freight environment, record fuel prices, tightening credit and overall challenging general economic conditions throughout the country. The Company expects truck sales to remain slow through the remainder of 2008 and the beginning of 2009. However, we continue to believe that replacement cycles of vehicles purchased between 2004 and 2006 combined with impending 2010 emissions regulations will create increased demand for Class 8 trucks in 2009. A.C.T. Research Co., LLC (“A.C.T. Research”), a truck industry data and forecasting service provider, currently predicts retail sales of Class 8 trucks of approximately 141,000 units in 2008, a 10% decline from the number of deliveries in 2007, and 197,000 units in 2009. A.C.T. Research currently estimates retail sales of Class 4 through 7 trucks in the U.S. to be down 17.4% in 2008 compared to 2007.</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Used truck revenues were down 25.7% in the second quarter of 2008 as compared to the second quarter of last year. Used truck valuations are down, industry-wide, 15% to 20% since April due to an oversupply of used trucks and decreased demand for used trucks. The Company recorded a $5.4 million write-down of used truck inventory in the second quarter of 2008 to better reflect these market conditions.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Parts, service and body shop sales remained flat in the second quarter of 2008 compared to the second quarter of 2007. However, gross margins from these operations were down slightly from the prior year. Consequently, our absorption rate was 105.4% for the second quarter of 2008. This is in line with our goal of achieving a 105% absorption rate for the year. Our ability to maintain an acceptable absorption rate in the second quarter of 2008 was due in large part to significant action taken early in 2008 to reduce overhead expense to a level more reflective of anticipated declining business conditions. We will continue our efforts to pursue further expense reductions while maximizing our efforts to create incremental growth opportunities to help offset the soft new and used truck sales environment.</w:t>
      </w:r>
    </w:p>
    <w:p>
      <w:pPr>
        <w:spacing w:after="0" w:line="19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Company’s construction equipment segment’s revenue decreased $1.7 million in the second quarter of 2008 compared to the second quarter of 2007. This decrease was largely attributable to the weakening housing construction market in the Houston area.</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 remains committed to its strategy to diversify its earnings base, expand its geographic network and focus on less cyclical niche markets and aftermarket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ectPr>
          <w:pgSz w:w="11900" w:h="16838" w:orient="portrait"/>
          <w:cols w:equalWidth="0" w:num="1">
            <w:col w:w="11420"/>
          </w:cols>
          <w:pgMar w:left="240" w:top="125" w:right="239" w:bottom="32" w:gutter="0" w:footer="0" w:header="0"/>
        </w:sectPr>
      </w:pPr>
    </w:p>
    <w:bookmarkStart w:id="12" w:name="page13"/>
    <w:bookmarkEnd w:id="12"/>
    <w:p>
      <w:pPr>
        <w:spacing w:after="0" w:line="68"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Revenues decreased $64.7 million, or 12.5%, in the second quarter of 2008 compared to the second quarter of 2007. Sales of new and used trucks decreased $59.3 million, or 16.6%, in the second quarter of 2008 compared to the second quarter of 2007. Uncertain economic conditions in the U.S. and decreased freight demand contributed to decreased demand for Class 8, medium-duty and used trucks in the second quarter of 2008.</w:t>
      </w:r>
    </w:p>
    <w:p>
      <w:pPr>
        <w:spacing w:after="0" w:line="14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Unit sales of new Class 8 trucks decreased 10.9% in the second quarter of 2008 compared to the second quarter of 2007. New Class 8 truck sales revenue decreased approximately $25.0 million, or 11.1%, in the second quarter of 2008 compared to the second quarter of 2007. A.C.T. Research estimates that unit sales of Class 8 trucks in the U.S. decreased approximately 2.2% in the second quarter of 2008 compared to the second quarter of 2007. In 2007, the Company’s share of the U.S. Class 8 truck market was 4.6%. The Company expects its share to range between 4.1% and 4.5% of the U.S. Class 8 truck market in 2008, which would result in the sale of approximately 5,700 to 6,300 Class 8 trucks based on current retail sales estimates of 141,000 units.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Unit sales of new medium-duty trucks decreased 26.1% in the second quarter of 2008 compared to the second quarter of 2007. New medium-duty truck sales revenue decreased approximately $16.2 million, or 22.1%, in the second quarter of 2008 compared to the second quarter of 2007. A.C.T. Research estimates that unit sales of Class 4 through 7 trucks in the U.S. decreased approximately 19.7% in the second quarter of 2008 compared to the second quarter of 2007. A.C.T. Research currently expects a 17.4% decline in United States retail sales of Class 4, 5, 6, and 7 medium-duty trucks during 2008. In 2007, the Company achieved a 2.2% share of the Class 4 through 7 truck sales market in the U.S. The Company expects its share to range between 1.9% and 2.2% of the U.S. Class 4 through 7 truck sales market in 2008, which would result in the sale of approximately 3,800 to 4,400 Class 4 through Class 7 trucks based on A.C.T. Research’s current 2008 U.S. retail sales estimates of 198,000 units.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Unit sales of used trucks decreased 19.2% in the second quarter of 2008 compared to the second quarter of 2007. During the second quarter of 2008, average revenue per used truck unit decreased by approximately 8.1%. In 2008, used truck sales volumes and prices will be primarily driven by general economic conditions, fuel prices and tightening credit markets, which, collectively have had a severe impact on this market during the first half of 2008. The Company expects to sell approximately 3,400 to 4,000 used trucks in 2008.</w:t>
      </w:r>
    </w:p>
    <w:p>
      <w:pPr>
        <w:spacing w:after="0" w:line="187"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Parts and service sales remained flat in the second quarter of 2008 compared to the second quarter of 2007. Parts and service sales were below management’s expectations, which take into account general economic conditions, business development and price increases for parts and labor. The Company expects parts and service sales to remain flat during 2008 compared to 2007.</w:t>
      </w:r>
    </w:p>
    <w:p>
      <w:pPr>
        <w:spacing w:after="0" w:line="181"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Sales of new and used construction equipment decreased $1.7 million, or 8.4%, in the second quarter of 2008 compared to the second quarter of 2007. The Company is continuing to make a concerted effort to increase its market share in the Houston area. John Deere’s rolling twelve month average market share in the Houston area construction equipment market increased slightly to 22.0% as of June 30, 2008 from a rolling twelve month average of 21.3% as of June 30, 2007. In 2008, the Company expects new construction equipment unit sales to decrease approximately 7% to 10% in our area of responsibility to approximately 2,700 units.</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Truck lease and rental revenues remained flat in the second quarter of 2008 compared to the second quarter of 2007. The Company expects lease and rental revenue to increase slightly in 2008 compared to 2007.</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Finance and insurance revenues decreased $3.1 million, or 49.1%, in the second quarter of 2008 compared to the second quarter of 2007. The Company expects finance income from truck sales to decrease during 2008 compared to 2007 because of the decline in truck sales combined with the increase in the percentage of sales to fleet customers. Finance and insurance revenues have limited direct costs and, therefore, contribute a disproportionate share of the Company’s operating profits.</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Other income decreased $0.7 million, or 31.7%, in the second quarter of 2008 compared to the second quarter of 2007. Other income consists of the gain on sale realized on trucks from the lease and rental fleet, commissions earned from John Deere for direct manufacturer sales into our area of responsibility, document fees related to truck sales and purchase discounts.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Gross profit decreased $17.3 million, or 18.9%, in the second quarter of 2008 compared to the second quarter of 2007. Gross profit as a percentage of sales decreased to 16.4% in the second quarter of 2008 from 17.7% in the second quarter of 2007. This decrease includes the $5.4 million write-down of used truck inventory in the second quarter of 2008. The remainder of the decrease in gross profit is largely attributable to the decline in truck sales.</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Gross margins on Class 8 truck sales decreased to 7.6% in the second quarter of 2008 from 8.3% in the second quarter of 2007. For the remainder of 2008, the Company expects overall gross margins from Class 8 truck sales of approximately 7.0% to 8.0% due to the current weak Class 8 truck market and an increase in the percentage of sales to fleet customers.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Gross margins on medium-duty truck sales decreased to 5.2% in the second quarter of 2008 from 6.2% in the second quarter of 2007. For 2008, the Company expects overall gross margins from medium-duty truck sales of approximately 5.0% to 6.5%. The Company’s gross margins on medium-duty trucks are difficult to forecast accurately because gross margins vary significantly depending upon the mix of fleet and non-fleet purchasers and types of medium-duty trucks sold.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Excluding the $5.4 million write-down of used truck inventory, gross margins on used truck sales decreased to 8.0% in the second quarter of 2008 from 8.4% in the second quarter of 2007. The decrease is attributable to an oversupply of used trucks in the market combined with decreased demand for used trucks as a result of decreased freight demand and recent rapid increases in diesel fuel prices and the tightening credit market. The $5.4 million write-down of used truck inventory caused gross margins on used truck sales to decrease to a negative 6.1% for the second quarter of 2008. The Company believes it will be able to achieve margins of approximately 7.0% to 8.5% during the remainder of 2008, excluding adjustments for any additional write-downs the Company may take.</w:t>
      </w:r>
    </w:p>
    <w:p>
      <w:pPr>
        <w:sectPr>
          <w:pgSz w:w="11900" w:h="16906" w:orient="portrait"/>
          <w:cols w:equalWidth="0" w:num="1">
            <w:col w:w="11420"/>
          </w:cols>
          <w:pgMar w:left="240" w:top="125" w:right="239" w:bottom="0" w:gutter="0" w:footer="0" w:header="0"/>
        </w:sectPr>
      </w:pPr>
    </w:p>
    <w:bookmarkStart w:id="13" w:name="page14"/>
    <w:bookmarkEnd w:id="13"/>
    <w:p>
      <w:pPr>
        <w:spacing w:after="0" w:line="2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Gross margins from the Company’s parts, service and body shop operations decreased to 41.9% in the second quarter of 2008 from 42.2% in the second quarter of 2007. Gross profit for the parts, service and body shop departments was $50.5 million in the second quarter of 2008 compared to $50.9 million in the second quarter of 2007. The Company expects gross margins on parts, service and body shop operations of approximately 40.0% to 42.0% for the remainder of 2008.</w:t>
      </w:r>
    </w:p>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Gross margins on new and used construction equipment sales decreased to 9.3% in the second quarter of 2008 compared to 11.1% in the second quarter of 2007. This decrease in gross margin is primarily attributable to decreased demand for construction equipment in the Houston market and our continued efforts to increase John Deere’s market share. The Company expects 2008 gross margins on new and used construction equipment sales to remain in a range of approximately 9.0% to 11.0% as the Company attempts to increase its market share.</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Gross margins from truck lease and rental sales decreased to 11.6% in the second quarter of 2008 from approximately 17.3% in the second quarter of 2007. The decrease in the gross margin from lease and rental sales is primarily due to the decreased utilization of crane mounted trucks in the rental fleet of our crane division. The Company expects gross margins from lease and rental sales of approximately 11.0% to 15.0% during 2008.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Selling, general and administrative (“SG&amp;A”) expenses decreased $3.5 million, or 5.6%, in the second quarter of 2008 compared to the second quarter of 2007. SG&amp;A expenses as a percentage of sales was 13.0% in the second quarter of 2008 and 12.0% in the second quarter of 2007. SG&amp;A expenses as a percentage of sales have historically ranged from 10.0% to 15.0%. In 2008, the Company expects the selling portion of SG&amp;A expenses to be approximately 23% to 25% of truck and construction equipment gross profit. The selling portion of SG&amp;A varies based on the gross profit derived from truck sales. The Company took actions in the first quarter of 2008 to reduce overhead expenses to a level more appropriate to serve the current market. As a result of the Company’s expense reduction efforts, the Company expects the same store general and administrative portion of SG&amp;A to remain relatively flat in 2008 compared to 2007. Overall, the Company expects the general and administrative portion of SG&amp;A to increase 3% to 5% in 2008 compared to 2007 due to acquisitions.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Net interest expense decreased $2.8 million, or 60.9%, in the second quarter of 2008 compared to the second quarter of 2007. This decrease is primarily due to the decrease in floor plan notes payable and lower floor plan interest rates. The Company expects net interest expense for the remainder of 2008 to decrease approximately 50.0% compared to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Income before income taxes decreased $11.3 million, or 53.9%, in the second quarter of 2008 compared to the second quarter of 2007. The Company believes that income from continuing operations in 2008 will decrease compared to 2007 based on factors described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Income taxes decreased $4.4 million, or 54.5%, in the second quarter of 2008 compared to the second quarter of 2007. The Company provided for taxes at an effective rate of 37.5% in the second quarter of 2008 and 38.0% in the second quarter of 2007. During the remainder of 2008, the Company expects to apply for alternative fuel vehicle tax credits based on sales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alternative fuel vehicles to entities that are unable to claim such credits. These transactions will increase our SG&amp;A expense and in turn reduce our federal income tax expense and effective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2008 Compared to Six Months Ended June 30, 2007</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Unless otherwise stated below, the Company’s variance explanations and future expectations with regard to the items discussed in this section are set forth in the discussion of the “Three Months Ended June 30, 2008 Compared to Three Months Ended June 30, 2007.”</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Revenues decreased $192.1 million, or 18.3%, in the first six months of 2008 compared to the first six months of 2007. Sales of new and used trucks decreased $185.5 million, or 25.3%, in the first six months of 2008 compared to the first six months of 2007.</w:t>
      </w:r>
    </w:p>
    <w:p>
      <w:pPr>
        <w:spacing w:after="0" w:line="170"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Unit sales of new Class 8 trucks decreased 24.8% in the first six months of 2008 compared to the first six months of 2007. New Class 8 truck sales revenue decreased approximately $112.9 million, or 24.2%, in the first six months of 2008 compared to the first six months of 2007. A.C.T. Research estimates that unit sales of Class 8 trucks in the U.S decreased approximately 23.5% in the first six months of 2008 compared to the first six months of 2007.</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Unit sales of new medium-duty trucks decreased 29.4% in the first six months of 2008 compared to the first six months of 2007. New medium-duty truck sales revenue decreased approximately $37.5 million, or 25.0%, in the first six months of 2008 compared to the first six months of 2007. A.C.T. Research estimates that unit sales of Class 4 through 7 trucks in the U.S decreased approximately 21.1% in the first six months of 2008 compared to the first six months of 2007.</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Unit sales of used trucks decreased 17.8% in the first six months of 2008 compared to the first six months of 2007. Used truck average revenue per unit decreased by approximately 6.5%.</w:t>
      </w:r>
    </w:p>
    <w:p>
      <w:pPr>
        <w:sectPr>
          <w:pgSz w:w="11900" w:h="16861" w:orient="portrait"/>
          <w:cols w:equalWidth="0" w:num="1">
            <w:col w:w="11420"/>
          </w:cols>
          <w:pgMar w:left="240" w:top="341" w:right="239" w:bottom="0" w:gutter="0" w:footer="0" w:header="0"/>
        </w:sectPr>
      </w:pPr>
    </w:p>
    <w:bookmarkStart w:id="14" w:name="page15"/>
    <w:bookmarkEnd w:id="14"/>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Parts and service sales increased $0.2 million, or 0.1%, in the first six months of 2008 compared to the first six months of 2007.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Sales of new and used construction equipment decreased $1.5 million, or 4.1%, in the first six months of 2008 compared to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Truck lease and rental revenues increased $1.1 million, or 4.3%, in the first six months of 2008 compared to the first six months of 2007.</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Finance and insurance revenues decreased $5.0 million, or 42.3%, in the first six months of 2008 compared to the first six months of 2007.</w:t>
      </w:r>
    </w:p>
    <w:p>
      <w:pPr>
        <w:spacing w:after="0" w:line="23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Other income decreased $1.4 million, or 34.0%, in the first six months of 2008 compared to the first six months of 2007. Other income consists of the gain on sale realized on trucks from the lease and rental fleet, commissions earned from John Deere for direct manufacturer sales into our area of responsibility, document fees related to truck sales and purchase discounts.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Gross profit decreased $28.6 million, or 15.8%, in the first six months of 2008 compared to the first six months of 2007. Gross profit as a percentage of sales increased to 17.8% in the first six months of 2008 from 17.2% in the first six months of 2007. This increase is primarily a result of a change in our product sales mix. Truck sales, a lower margin revenue item, decreased as a percentage of total revenue to 63.9% in the first six months of 2008 from 69.9% in the first six months of 2007. Parts and service revenue, a higher margin revenue item, increased as a percentage of total revenue to 27.7% in the first six months of 2008 from 22.6% in the first six months of 2007. Gross profit was further reduced by the $5.4 million write-down of used truck inventory in the second quarter of 2008.</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Class 8 truck sales decreased to 8.3% in the first six months of 2008 from 8.4% in the first six months of 2007.</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Gross margins on medium-duty truck sales decreased to 5.6% in the first six months of 2008 from 5.7% in the first six months of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Gross margins on used truck sales decreased to 0.6% in the first six months of 2008 from 8.9% in the first six months of 2007. The decrease in gross margins was the result of the $5.4 million write-down of used truck inventory in the second quarter of 2008. Excluding the write-down of used truck inventory, gross margins on used truck sales were 7.3%.</w:t>
      </w:r>
    </w:p>
    <w:p>
      <w:pPr>
        <w:spacing w:after="0" w:line="18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Gross margins from the Company’s parts, service and body shop operations decreased slightly to 41.8% in the first six months of 2008 from 41.9% in the first six months of 2007. Gross profit for the parts, service and body shop departments was $99.4 million in the first six months of 2008 compared to $99.7 million in the first six months of 2007.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new and used construction equipment sales was 9.8% in the first six months of 2008 compared to 10.8% in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from truck lease and rental sales decreased to 14.2% in the first six months of 2008 from approximately 15.4% in the first six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2007.</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Selling, general and administrative (“SG&amp;A”) expenses decreased $7.0 million, or 5.7%, in the first six months of 2008 compared to the first six months of 2007. SG&amp;A expenses as a percentage of sales was 13.5% in the first six months of 2008 and 11.7% in the first six months of 2007.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decreased $5.4 million, or 59.2%, in the first six months of 2008 compared to the first six months of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decreased $16.9 million, or 40.1%, in the first six months of 2008 compared to the first six months of 2007.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Income taxes decreased $6.5 million, or 40.9%, in the first six months of 2008 compared to the first six months of 2007. The Company provided for taxes at an effective rate of 37.5% in the first six months of 2008 and 38.0% in the first six months of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Company’s short-term cash requirements are primarily for working capital, inventory financing, the improvement and expansion of existing facilities, the construction of new facilities and technology improvements. Historically, these cash requirements have been met through the retention of profits and borrowings under our floor plan arrangements. As of June 30, 2008, the Company had working capital of approximately $188.8 million, including $158.1 million in cash available to fund our operations.</w:t>
      </w:r>
    </w:p>
    <w:p>
      <w:pPr>
        <w:spacing w:after="0" w:line="18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may request working capital advances in the minimum amount of $100,000 from GE Capital, its primary truck lender. However, such working capital advances may not cause the total indebtedness owed GE Capital to exceed an amount equal to the wholesale advances made against the then</w:t>
      </w:r>
    </w:p>
    <w:p>
      <w:pPr>
        <w:sectPr>
          <w:pgSz w:w="11900" w:h="16908" w:orient="portrait"/>
          <w:cols w:equalWidth="0" w:num="1">
            <w:col w:w="11420"/>
          </w:cols>
          <w:pgMar w:left="240" w:top="341" w:right="239" w:bottom="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current inventory less any payment reductions due to GE Capital on the inventory. There were no working capital advances outstanding under this agreement at June 30, 2008.</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Company has a secured line of credit that provides for a maximum borrowing of $8.0 million. There were no advances outstanding under this secured line of credit at June 30, 2008, however, $6.2 million was pledged to secure various letters of credit related to self-insurance products, leaving $1.8 million available for future borrowings as of June 30, 2008.</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Titan Technology Partners is currently implementing SAP enterprise software and a new SAP dealership management system for the Company. The total cost of the SAP software and implementation is estimated to be approximately $20 million to $23 million. As of June 30, 2008, the Company had expenditures of $16.2 million related to the SAP project.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On July 22, 2008, the Company’s Board of Directors approved a stock repurchase program authorizing the Company to repurchase, from time to time, up to an aggregate of $20,000,000 of its shares of Class A common stock, $.01 par value per share, and/or Class B common stock, $.01 par value per share.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including those related to the ownership requirements of its dealership agreements with manufacturers it represents. The stock repurchase program has no expiration date and may be suspended or discontinued at any time. While the stock repurchase program does not obligate the Company to acquire any particular amount or class of common stock, the Company anticipates that it will be repurchasing primarily shares of its Class B common stock.</w:t>
      </w:r>
    </w:p>
    <w:p>
      <w:pPr>
        <w:spacing w:after="0" w:line="1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has no other material commitments for capital expenditures as of June 30, 2008. However, the Company will continue to purchase vehicles that are necessary to operate its lease and rental division. Furthermore, management will continue to authorize capital expenditures for improvement and expansion of dealership facilities based on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Cash and cash equivalents decreased by $28.9 million during the six months ended June 30, 2008 and increased by $4.1 million during the six months ended June 30, 2007.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six months of 2008, operating activities resulted in net cash provided by operations of $37.5 million. Cash used in operating activities was primarily impacted by the decrease in accounts payable, the decrease in accrued expenses and the decrease in inventories. During the first six months of 2007, operating activities resulted in net cash provided by operations of $65.2 million.</w:t>
      </w:r>
    </w:p>
    <w:p>
      <w:pPr>
        <w:spacing w:after="0" w:line="18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Generally, floor plan borrowings are required by all vehicle and construction equipment dealers for the purchase of new vehicles and construction equipment, and our agreements with our floor plan providers require us to repay amounts borrowed for the purchase of such vehicles and equipment immediately after they are sold. As a result, changes in floor plan notes payable are generally linked to changes in new vehicle and construction equipment inventory and, therefore, are an integral part of understanding changes in our working capital and operating cash flow. Consequently, as required by Regulation G with respect to Non-GAAP financial information, set forth below is a reconciliation of cash flow from operating activities as reported in our consolidated statement of cash flows, as if all changes in floor plan notes payable were classified as an operating activity (in thousands).</w:t>
      </w:r>
    </w:p>
    <w:p>
      <w:pPr>
        <w:spacing w:after="0" w:line="15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as reported</w:t>
            </w:r>
          </w:p>
        </w:tc>
        <w:tc>
          <w:tcPr>
            <w:tcW w:w="980" w:type="dxa"/>
            <w:vAlign w:val="bottom"/>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37,517</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Draws (payments) on floor plan notes payable as reported</w:t>
            </w: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8,387</w:t>
            </w: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(27,432)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8"/>
              </w:rPr>
              <w:t>Net cash provided by operating activities including all floor plan notes payable</w:t>
            </w:r>
          </w:p>
        </w:tc>
        <w:tc>
          <w:tcPr>
            <w:tcW w:w="980" w:type="dxa"/>
            <w:vAlign w:val="bottom"/>
          </w:tcPr>
          <w:p>
            <w:pPr>
              <w:jc w:val="right"/>
              <w:ind w:right="82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45,904</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37,772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Cash flows used in investing activities consist primarily of cash used for capital expenditures and purchase of investments net of proceeds from the sale of investments. During the first six months of 2008, the Company used $65.8 million in investing activities. The Company purchased investments of $355.6 million which was offset by proceeds from the sale of these investments of $348.0 million. See Note 8 - Investments of Notes to Consolidated Financial Statements for an explanation of these investments. Capital expenditures consisted of purchases of property and equipment, and improvements to our existing dealership facilities of $21.0 million. Property and equipment purchases during the first six months of 2008 consisted of $6.2 million for additional units for the rental and leasing operations, which was directly offset by borrowings of long-term debt. The Company expects to purchase trucks worth approximately $24.0 million for its leasing operations in 2008, depending on customer demand. Cash used in business acquisitions was $37.4 million during the first six months of 2008 (See Note 6 - Acquisitions of Notes to Consolidated Financial Statements). During the remainder of 2008, the Company expects to make capital expenditures for recurring items such as computers, shop equipment and vehicles of</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approximately $0.7 million to $1.0 million per month and an additional $1.5 million for the SAP software implementation described above.</w:t>
      </w:r>
    </w:p>
    <w:p>
      <w:pPr>
        <w:sectPr>
          <w:pgSz w:w="11900" w:h="16838" w:orient="portrait"/>
          <w:cols w:equalWidth="0" w:num="1">
            <w:col w:w="11360"/>
          </w:cols>
          <w:pgMar w:left="240" w:top="125" w:right="299" w:bottom="86" w:gutter="0" w:footer="0" w:header="0"/>
        </w:sectPr>
      </w:pPr>
    </w:p>
    <w:bookmarkStart w:id="16" w:name="page17"/>
    <w:bookmarkEnd w:id="16"/>
    <w:p>
      <w:pPr>
        <w:jc w:val="both"/>
        <w:ind w:right="60" w:firstLine="648"/>
        <w:spacing w:after="0" w:line="259" w:lineRule="auto"/>
        <w:rPr>
          <w:sz w:val="20"/>
          <w:szCs w:val="20"/>
          <w:color w:val="auto"/>
        </w:rPr>
      </w:pPr>
      <w:r>
        <w:rPr>
          <w:rFonts w:ascii="Arial" w:cs="Arial" w:eastAsia="Arial" w:hAnsi="Arial"/>
          <w:sz w:val="18"/>
          <w:szCs w:val="18"/>
          <w:color w:val="auto"/>
        </w:rPr>
        <w:t>During the first six months of 2007, the Company used $40.5 million in investing activities. Capital expenditures consisted of purchases of property and equipment, and improvements to our existing dealership facilities of $36.1 million. Property and equipment purchases during the first six months of 2007 consisted of $21.4 million for additional units for the rental and leasing operations, which was directly offset by borrowings of long-term debt. Cash used in business acquisitions was $7.0 million during the first six months of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480" w:firstLine="648"/>
        <w:spacing w:after="0" w:line="257"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Cash used in financing activities was $0.6 million during the first six months of 2008. The Company had borrowings of long-term debt of $11.7 million and repayments of long-term debt of $19.6 million during the first six months of 2008. The Company had net draws of floor plan notes payable of $8.4 million during the first six months of 2008. The borrowings of long-term debt were primarily related to refinancing of real estate and financing of lease and rental fleet.</w:t>
      </w:r>
    </w:p>
    <w:p>
      <w:pPr>
        <w:spacing w:after="0" w:line="188" w:lineRule="exact"/>
        <w:rPr>
          <w:sz w:val="20"/>
          <w:szCs w:val="20"/>
          <w:color w:val="auto"/>
        </w:rPr>
      </w:pPr>
    </w:p>
    <w:p>
      <w:pPr>
        <w:ind w:right="500" w:firstLine="648"/>
        <w:spacing w:after="0" w:line="259" w:lineRule="auto"/>
        <w:rPr>
          <w:sz w:val="20"/>
          <w:szCs w:val="20"/>
          <w:color w:val="auto"/>
        </w:rPr>
      </w:pPr>
      <w:r>
        <w:rPr>
          <w:rFonts w:ascii="Arial" w:cs="Arial" w:eastAsia="Arial" w:hAnsi="Arial"/>
          <w:sz w:val="18"/>
          <w:szCs w:val="18"/>
          <w:color w:val="auto"/>
        </w:rPr>
        <w:t>Cash used in financing activities was $20.6 million during the first six months of 2007. The Company had borrowings of long-term debt of $23.1 million and repayments of long-term debt of $17.1 million during the first six months of 2007. The Company had net payments of floor plan notes payable of $27.4 million during the first six months of 2007. The borrowings of long-term debt were primarily related to the increase in the lease and rental fleet.</w:t>
      </w:r>
    </w:p>
    <w:p>
      <w:pPr>
        <w:spacing w:after="0" w:line="18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Substantially all of the Company’s truck purchases are made on terms requiring payment within 15 days or less from the date the trucks are invoiced from the factory. Effective August 1, 2007, the Company entered into an Amended and Restated Wholesale Security Agreement with GE Capital. Interest under the floor plan financing agreement is payable monthly and the rate varies from LIBOR plus 1.15% to LIBOR plus 1.50% depending on the average aggregate month-end balance of debt. The Company finances substantially all of the purchase price of its new truck inventory, and the loan value of its used truck inventory under the floor plan financing agreement with GE Capital, under which GE Capital pays the manufacturer directly with respect to new trucks. The Company makes monthly interest payments to GE Capital on the amount financed, but is not required to commence loan principal repayments on any vehicle until such vehicle has been floor planned for 12 months or is sold. The floor plan financing agreement allows for prepayments and working capital advances with monthly adjustments to the interest due on outstanding advances. On June 30, 2008, the Company had approximately $268.2 million outstanding under its floor plan financing agreement with GE Capital.</w:t>
      </w:r>
    </w:p>
    <w:p>
      <w:pPr>
        <w:spacing w:after="0" w:line="18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Substantially all of the Company’s new construction equipment purchases are financed by John Deere and JPMorgan Chase (“Chase”). The agreement with John Deere provides an interest free financing period after which time the amount financed is required to be paid in full. When construction equipment is sold prior to the expiration of the interest free finance period, the Company is required to repay the principal within approximately ten days of the sale. If the construction equipment financed by John Deere is not sold within the interest free finance period, it is transferred to the Chase floor plan</w:t>
      </w:r>
    </w:p>
    <w:p>
      <w:pPr>
        <w:spacing w:after="0" w:line="2"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arrangement. The Company makes principal payments for sold inventory to Chase on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each month. Construction equipment is financed to a maximum of book value under a floor plan arrangement with Chase. The Company makes monthly interest payments on the amount financed and is required to commence loan principal repayments on construction equipment as book value is reduced. Principal payments for sold used construction equipment are</w:t>
      </w:r>
    </w:p>
    <w:p>
      <w:pPr>
        <w:spacing w:after="0" w:line="2"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made no later than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each month following the sale. The loans are collateralized by a lien on the construction equipment. As of June 30, 2008, the Company’s floor plan arrangement with Chase permitted the financing of up to $20.0 million in construction equipment. On June 30, 2008, the Company had $2.9 million outstanding under its floor plan financing arrangements with John Deere and $14.1 million outstanding under its floor plan financing arrangement with Chase.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June 30, 2008, the Company’s backlog of truck orders was approximately $220.9 million compared to a backlog of truck orders of approximately $216.3 million on June 30, 2007. The Company includes only confirmed orders in its backlog. The Company sells the majority of its new trucks by customer special order, with the remainder sold out of inventory. The delivery time for a custom-ordered truck varies depending on the truck specifications and demand for the particular model ordered; however, due to the decreased demand for trucks, delivery times for heavy-duty trucks have decreased significantly from delivery times during periods of peak demand. As a result, purchasers of heavy-duty trucks do not need to place orders several months in advance.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Company’s truck business is moderately seasonal. Seasonal effects on new truck sales related to the seasonal purchasing patterns of any single customer type are mitigated by the Company’s diverse customer base, including small and large fleets, governments, corporations and owner operators. However, truck parts and service operations historically have experienced higher volumes of sales in the second and third quarters.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Seasonal effects in the construction equipment business are weather related.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Company’s business is dependent on a number of factors relating to general economic conditions, including fuel prices, interest rate fluctuations, economic recessions, environmental and other government regulations and customer business cycles. Unit sales of new trucks have historically been subject to substantial cyclical variation based on these general economic conditions. According to data published by A.C.T. Research, in recent years total domestic retail sales of new Class 8 trucks have ranged from a low of approximately 140,000 in 2001 to a high of approximately 291,000 in 2006. Through geographic expansion, concentration on higher margin parts and service operations and diversification of its customer base, the Company believes it can reduce the negative impact on the Company’s earnings of adverse general economic conditions or cyclical trends affecting the heavy-duty truck industry.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ectPr>
          <w:pgSz w:w="11900" w:h="16838" w:orient="portrait"/>
          <w:cols w:equalWidth="0" w:num="1">
            <w:col w:w="11420"/>
          </w:cols>
          <w:pgMar w:left="240" w:top="125" w:right="239" w:bottom="0" w:gutter="0" w:footer="0" w:header="0"/>
        </w:sectPr>
      </w:pPr>
    </w:p>
    <w:bookmarkStart w:id="17" w:name="page18"/>
    <w:bookmarkEnd w:id="17"/>
    <w:p>
      <w:pPr>
        <w:ind w:right="420" w:firstLine="648"/>
        <w:spacing w:after="0" w:line="288" w:lineRule="auto"/>
        <w:rPr>
          <w:sz w:val="20"/>
          <w:szCs w:val="20"/>
          <w:color w:val="auto"/>
        </w:rPr>
      </w:pPr>
      <w:r>
        <w:rPr>
          <w:rFonts w:ascii="Arial" w:cs="Arial" w:eastAsia="Arial" w:hAnsi="Arial"/>
          <w:sz w:val="16"/>
          <w:szCs w:val="16"/>
          <w:color w:val="auto"/>
        </w:rPr>
        <w:t>Our operations are subject to numerous federal, state and local laws and regulations, including laws and regulations designed to protect the environment by regulating the discharge of materials into the environment. EPA emission guidelines have a major impact on our operations. The EPA mandated that diesel engine manufacturers meet new, stricter emissions guidelines regarding nitrous oxides for all engines built subsequent to January 1,</w:t>
      </w:r>
    </w:p>
    <w:p>
      <w:pPr>
        <w:spacing w:after="0" w:line="261" w:lineRule="auto"/>
        <w:rPr>
          <w:sz w:val="20"/>
          <w:szCs w:val="20"/>
          <w:color w:val="auto"/>
        </w:rPr>
      </w:pPr>
      <w:r>
        <w:rPr>
          <w:rFonts w:ascii="Arial" w:cs="Arial" w:eastAsia="Arial" w:hAnsi="Arial"/>
          <w:sz w:val="18"/>
          <w:szCs w:val="18"/>
          <w:color w:val="auto"/>
        </w:rPr>
        <w:t>2007. The 2007 emission guidelines caused the heavy-duty truck industry to experience a significant increase in demand for trucks during 2005, 2006 and the first quarter of 2007 which has been followed by a decrease in demand for heavy-duty trucks.</w:t>
      </w:r>
    </w:p>
    <w:p>
      <w:pPr>
        <w:spacing w:after="0" w:line="18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Even stricter EPA emissions guidelines regarding nitrous oxides are scheduled to go into effect for all diesel engines built subsequent to January 1, 2010. The 2010 emissions guidelines may create an increase in demand for heavy- and medium-duty trucks in 2009. The magnitude of any pre-buy will be largely dependent upon general economic conditions in the U.S. The EPA has also proposed regulations requiring emissions controls systems on 2010 and later heavy- and medium-duty trucks to be monitored for malfunctions via an onboard diagnostic system similar to those required in passenger vehicles since the mid-1990s, which could also impact demand for trucks.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The Company believes that the relatively moderate rates of inflation over the last few years have not had a significant impact on revenues or profitability. The Company does not expect inflation to have any near-term material effects on the sale of its products and services.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is exposed to some market risk through interest rates related to our floor plan borrowing arrangements, variable rate debt and discount rates related to finance sales. Floor plan borrowings are based on LIBOR and are used to meet working capital needs. As of June 30, 2008, the Company had floor plan borrowings of approximately $285.2 million. Assuming an increase in LIBOR of 100 basis points, interest expense could increase by approximately $2.9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8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which totaled $158.1 million on June 30, 2008. These funds are generally invested in highly liquid money market accounts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interest income could correspondingly increase or decrease by approximately $1.6 million.</w:t>
      </w:r>
    </w:p>
    <w:p>
      <w:pPr>
        <w:spacing w:after="0" w:line="19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7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of June 30, 2008, the Company holds $7.6 million of auction rate securities with underlying tax-exempt municipal bonds with stated maturities of 22 years. If the Company determines that the fair value of these securities has temporarily increased or decreased by 10%, the Company’s equity could correspondingly increase or decrease by approximately $0.8 million. If it is determined that the fair value of these securities is other-than-temporarily impaired by 10%, we could record a loss in our Consolidated Statements of Operations of approximately $0.8 million.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used derivative financial instruments in our investment portfolio.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6"/>
          <w:szCs w:val="16"/>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June 30, 2008 to provide reasonable assurance that information required to be disclosed in the reports filed or submitted under the Securities Exchange Act of 1934 is</w:t>
      </w:r>
    </w:p>
    <w:p>
      <w:pPr>
        <w:spacing w:after="0" w:line="2" w:lineRule="exact"/>
        <w:rPr>
          <w:sz w:val="20"/>
          <w:szCs w:val="20"/>
          <w:color w:val="auto"/>
        </w:rPr>
      </w:pPr>
    </w:p>
    <w:p>
      <w:pPr>
        <w:ind w:right="80" w:firstLine="8"/>
        <w:spacing w:after="0" w:line="255"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19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three months ended June 30, 2008 that has materially affected, or is reasonably likely to materially affect, the Company’s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ectPr>
          <w:pgSz w:w="11900" w:h="16838" w:orient="portrait"/>
          <w:cols w:equalWidth="0" w:num="1">
            <w:col w:w="11420"/>
          </w:cols>
          <w:pgMar w:left="240" w:top="125" w:right="239" w:bottom="0" w:gutter="0" w:footer="0" w:header="0"/>
        </w:sectPr>
      </w:pPr>
    </w:p>
    <w:bookmarkStart w:id="18" w:name="page19"/>
    <w:bookmarkEnd w:id="18"/>
    <w:p>
      <w:pPr>
        <w:spacing w:after="0" w:line="3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While we attempt to identify, manage and mitigate risks and uncertainties associated with our business to the extent practical under the circumstances, some level of risk and uncertainty will always be present. Item 1A of our 2007 Annual Report on Form 10-K describes some of the risks and uncertainties associated with our business which have the potential to materially affect our business, financial condition or results of operations. There have been no material changes in our risk factors disclosed in our Annual Report on Form 10-K for the year ended December 31, 2007, except as such risk factors were updated in our Quarterly Report on Form 10-Q for the quarter ended March 31, 2008.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did not make any unregistered sales of equity securities during the second quarter of 2008, nor did it repurchase any shares of its Class A Common Stock or Class B Common Stock during the second quarter of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matters were voted upon at the Annual Meeting of Shareholders held on May 20, 2008, and received the votes set forth below:</w:t>
      </w:r>
    </w:p>
    <w:p>
      <w:pPr>
        <w:spacing w:after="0" w:line="237" w:lineRule="exact"/>
        <w:rPr>
          <w:sz w:val="20"/>
          <w:szCs w:val="20"/>
          <w:color w:val="auto"/>
        </w:rPr>
      </w:pPr>
    </w:p>
    <w:p>
      <w:pPr>
        <w:ind w:left="1300" w:right="600" w:hanging="644"/>
        <w:spacing w:after="0" w:line="277" w:lineRule="auto"/>
        <w:tabs>
          <w:tab w:leader="none" w:pos="1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of the following persons nominated were reelected to serve as directors and received the number of votes set forth opposite their respective names:</w:t>
      </w:r>
    </w:p>
    <w:p>
      <w:pPr>
        <w:spacing w:after="0" w:line="150"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 Votes</w:t>
            </w: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Number of Votes</w:t>
            </w:r>
          </w:p>
        </w:tc>
        <w:tc>
          <w:tcPr>
            <w:tcW w:w="0" w:type="dxa"/>
            <w:vAlign w:val="bottom"/>
          </w:tcPr>
          <w:p>
            <w:pPr>
              <w:spacing w:after="0"/>
              <w:rPr>
                <w:sz w:val="1"/>
                <w:szCs w:val="1"/>
                <w:color w:val="auto"/>
              </w:rPr>
            </w:pPr>
          </w:p>
        </w:tc>
      </w:tr>
      <w:tr>
        <w:trPr>
          <w:trHeight w:val="171"/>
        </w:trPr>
        <w:tc>
          <w:tcPr>
            <w:tcW w:w="3020" w:type="dxa"/>
            <w:vAlign w:val="bottom"/>
            <w:gridSpan w:val="2"/>
            <w:vMerge w:val="continue"/>
          </w:tcPr>
          <w:p>
            <w:pPr>
              <w:spacing w:after="0"/>
              <w:rPr>
                <w:sz w:val="14"/>
                <w:szCs w:val="14"/>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w:t>
            </w: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210"/>
        </w:trPr>
        <w:tc>
          <w:tcPr>
            <w:tcW w:w="2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Marvin Rush</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12,851,365</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441,226</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W.M. “Rusty” Rush</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13,065,007</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227,583</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Krause</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12,911,739</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380,851</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James C. Underwood</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13,102,591</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189,999</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D. Marshall</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13,044,816</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247,774</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Thomas A. Akin</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13,048,305</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244,285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300" w:right="120" w:hanging="644"/>
        <w:spacing w:after="0" w:line="277" w:lineRule="auto"/>
        <w:tabs>
          <w:tab w:leader="none" w:pos="1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approve the adoption of the Amended and Restated 2006 Non-Employee Director Stock Plan received 7,600,455 votes FOR and 4,646,337 votes AGAINST, with 12,365 abstentions and 1,033,434 broker non-votes.</w:t>
      </w:r>
    </w:p>
    <w:p>
      <w:pPr>
        <w:spacing w:after="0" w:line="170" w:lineRule="exact"/>
        <w:rPr>
          <w:rFonts w:ascii="Arial" w:cs="Arial" w:eastAsia="Arial" w:hAnsi="Arial"/>
          <w:sz w:val="18"/>
          <w:szCs w:val="18"/>
          <w:color w:val="auto"/>
        </w:rPr>
      </w:pPr>
    </w:p>
    <w:p>
      <w:pPr>
        <w:ind w:left="1300" w:right="180" w:hanging="644"/>
        <w:spacing w:after="0" w:line="277" w:lineRule="auto"/>
        <w:tabs>
          <w:tab w:leader="none" w:pos="1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ratify the appointment of Ernst &amp; Young LLP as the Company’s independent registered public accounting firm for the 2008 fiscal year received 13,111,845 votes FOR and 179,562 votes AGAINST, with 1,184 abstentions.</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All three proposals submitted at the Annual Meeting of Shareholders held on May 20, 2008 received more than the number of favorable votes required for approval, and were therefore duly and validly approved by the Company’s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240" w:type="dxa"/>
            <w:vAlign w:val="bottom"/>
            <w:vMerge w:val="restart"/>
          </w:tcPr>
          <w:p>
            <w:pPr>
              <w:ind w:left="47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10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Restated Articles of Incorporation of Rush Enterprises, Inc.</w:t>
            </w:r>
          </w:p>
        </w:tc>
        <w:tc>
          <w:tcPr>
            <w:tcW w:w="0" w:type="dxa"/>
            <w:vAlign w:val="bottom"/>
          </w:tcPr>
          <w:p>
            <w:pPr>
              <w:spacing w:after="0"/>
              <w:rPr>
                <w:sz w:val="1"/>
                <w:szCs w:val="1"/>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6"/>
              </w:rPr>
              <w:t>Certification of CEO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32"/>
        </w:trPr>
        <w:tc>
          <w:tcPr>
            <w:tcW w:w="880" w:type="dxa"/>
            <w:vAlign w:val="bottom"/>
            <w:gridSpan w:val="2"/>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6"/>
              </w:rPr>
              <w:t>Certification of CFO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32"/>
        </w:trPr>
        <w:tc>
          <w:tcPr>
            <w:tcW w:w="880" w:type="dxa"/>
            <w:vAlign w:val="bottom"/>
            <w:gridSpan w:val="2"/>
          </w:tcPr>
          <w:p>
            <w:pPr>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Certification of CEO pursuant to 18 U.S.C. Section 1350 as adopted pursuant to Section 906 of the Sarbanes-Oxley Act of 2002.</w:t>
            </w:r>
          </w:p>
        </w:tc>
        <w:tc>
          <w:tcPr>
            <w:tcW w:w="0" w:type="dxa"/>
            <w:vAlign w:val="bottom"/>
          </w:tcPr>
          <w:p>
            <w:pPr>
              <w:spacing w:after="0"/>
              <w:rPr>
                <w:sz w:val="1"/>
                <w:szCs w:val="1"/>
                <w:color w:val="auto"/>
              </w:rPr>
            </w:pPr>
          </w:p>
        </w:tc>
      </w:tr>
    </w:tbl>
    <w:p>
      <w:pPr>
        <w:sectPr>
          <w:pgSz w:w="11900" w:h="16870" w:orient="portrait"/>
          <w:cols w:equalWidth="0" w:num="1">
            <w:col w:w="11420"/>
          </w:cols>
          <w:pgMar w:left="240" w:top="341" w:right="239" w:bottom="0" w:gutter="0" w:footer="0" w:header="0"/>
        </w:sectPr>
      </w:pPr>
    </w:p>
    <w:bookmarkStart w:id="19" w:name="page20"/>
    <w:bookmarkEnd w:id="19"/>
    <w:p>
      <w:pPr>
        <w:spacing w:after="0"/>
        <w:tabs>
          <w:tab w:leader="none" w:pos="11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7665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RUSH ENTERPRISES,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360" w:type="dxa"/>
            <w:vAlign w:val="bottom"/>
            <w:gridSpan w:val="5"/>
          </w:tcPr>
          <w:p>
            <w:pPr>
              <w:spacing w:after="0"/>
              <w:rPr>
                <w:sz w:val="20"/>
                <w:szCs w:val="20"/>
                <w:color w:val="auto"/>
              </w:rPr>
            </w:pPr>
            <w:r>
              <w:rPr>
                <w:rFonts w:ascii="Arial" w:cs="Arial" w:eastAsia="Arial" w:hAnsi="Arial"/>
                <w:sz w:val="18"/>
                <w:szCs w:val="18"/>
                <w:color w:val="auto"/>
              </w:rPr>
              <w:t>Date:  August 11, 2008</w:t>
            </w:r>
          </w:p>
        </w:tc>
        <w:tc>
          <w:tcPr>
            <w:tcW w:w="2900" w:type="dxa"/>
            <w:vAlign w:val="bottom"/>
          </w:tcPr>
          <w:p>
            <w:pPr>
              <w:ind w:left="23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W.M. “RUSTY” RUSH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W.M. “Rusty” Rush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360" w:type="dxa"/>
            <w:vAlign w:val="bottom"/>
            <w:gridSpan w:val="5"/>
          </w:tcPr>
          <w:p>
            <w:pPr>
              <w:spacing w:after="0"/>
              <w:rPr>
                <w:sz w:val="20"/>
                <w:szCs w:val="20"/>
                <w:color w:val="auto"/>
              </w:rPr>
            </w:pPr>
            <w:r>
              <w:rPr>
                <w:rFonts w:ascii="Arial" w:cs="Arial" w:eastAsia="Arial" w:hAnsi="Arial"/>
                <w:sz w:val="18"/>
                <w:szCs w:val="18"/>
                <w:color w:val="auto"/>
              </w:rPr>
              <w:t>Date:  August 11, 2008</w:t>
            </w:r>
          </w:p>
        </w:tc>
        <w:tc>
          <w:tcPr>
            <w:tcW w:w="2900" w:type="dxa"/>
            <w:vAlign w:val="bottom"/>
          </w:tcPr>
          <w:p>
            <w:pPr>
              <w:ind w:left="23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Steven L. Keller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900" w:type="dxa"/>
            <w:vAlign w:val="bottom"/>
          </w:tcPr>
          <w:p>
            <w:pPr>
              <w:jc w:val="right"/>
              <w:ind w:right="374"/>
              <w:spacing w:after="0"/>
              <w:rPr>
                <w:sz w:val="20"/>
                <w:szCs w:val="20"/>
                <w:color w:val="auto"/>
              </w:rPr>
            </w:pPr>
            <w:r>
              <w:rPr>
                <w:rFonts w:ascii="Arial" w:cs="Arial" w:eastAsia="Arial" w:hAnsi="Arial"/>
                <w:sz w:val="18"/>
                <w:szCs w:val="18"/>
                <w:color w:val="auto"/>
              </w:rPr>
              <w:t>29</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gridSpan w:val="2"/>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5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6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9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8060" w:type="dxa"/>
            <w:vAlign w:val="bottom"/>
            <w:gridSpan w:val="2"/>
          </w:tcPr>
          <w:p>
            <w:pPr>
              <w:jc w:val="center"/>
              <w:ind w:right="325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6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Exhibit Title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6"/>
                <w:szCs w:val="16"/>
                <w:color w:val="auto"/>
              </w:rPr>
            </w:pPr>
          </w:p>
        </w:tc>
        <w:tc>
          <w:tcPr>
            <w:tcW w:w="51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Restated Articles of Incorporation of Rush Enterprises, Inc.</w:t>
            </w:r>
          </w:p>
        </w:tc>
        <w:tc>
          <w:tcPr>
            <w:tcW w:w="51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8"/>
                <w:szCs w:val="18"/>
                <w:color w:val="auto"/>
              </w:rPr>
            </w:pPr>
          </w:p>
        </w:tc>
        <w:tc>
          <w:tcPr>
            <w:tcW w:w="10320" w:type="dxa"/>
            <w:vAlign w:val="bottom"/>
            <w:gridSpan w:val="4"/>
          </w:tcPr>
          <w:p>
            <w:pPr>
              <w:spacing w:after="0"/>
              <w:rPr>
                <w:sz w:val="20"/>
                <w:szCs w:val="20"/>
                <w:color w:val="auto"/>
              </w:rPr>
            </w:pPr>
            <w:r>
              <w:rPr>
                <w:rFonts w:ascii="Arial" w:cs="Arial" w:eastAsia="Arial" w:hAnsi="Arial"/>
                <w:sz w:val="18"/>
                <w:szCs w:val="18"/>
                <w:color w:val="auto"/>
                <w:w w:val="97"/>
              </w:rPr>
              <w:t>Certification of CEO pursuant to Rules 13a-14(a) and 15d-14(a) adopted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8"/>
                <w:szCs w:val="18"/>
                <w:color w:val="auto"/>
              </w:rPr>
            </w:pPr>
          </w:p>
        </w:tc>
        <w:tc>
          <w:tcPr>
            <w:tcW w:w="10320" w:type="dxa"/>
            <w:vAlign w:val="bottom"/>
            <w:gridSpan w:val="4"/>
          </w:tcPr>
          <w:p>
            <w:pPr>
              <w:spacing w:after="0"/>
              <w:rPr>
                <w:sz w:val="20"/>
                <w:szCs w:val="20"/>
                <w:color w:val="auto"/>
              </w:rPr>
            </w:pPr>
            <w:r>
              <w:rPr>
                <w:rFonts w:ascii="Arial" w:cs="Arial" w:eastAsia="Arial" w:hAnsi="Arial"/>
                <w:sz w:val="18"/>
                <w:szCs w:val="18"/>
                <w:color w:val="auto"/>
                <w:w w:val="97"/>
              </w:rPr>
              <w:t>Certification of CFO pursuant to Rules 13a-14(a) and 15d-14(a) adopted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8"/>
                <w:szCs w:val="18"/>
                <w:color w:val="auto"/>
              </w:rPr>
            </w:pPr>
          </w:p>
        </w:tc>
        <w:tc>
          <w:tcPr>
            <w:tcW w:w="10320" w:type="dxa"/>
            <w:vAlign w:val="bottom"/>
            <w:gridSpan w:val="4"/>
          </w:tcPr>
          <w:p>
            <w:pPr>
              <w:spacing w:after="0"/>
              <w:rPr>
                <w:sz w:val="20"/>
                <w:szCs w:val="20"/>
                <w:color w:val="auto"/>
              </w:rPr>
            </w:pPr>
            <w:r>
              <w:rPr>
                <w:rFonts w:ascii="Arial" w:cs="Arial" w:eastAsia="Arial" w:hAnsi="Arial"/>
                <w:sz w:val="18"/>
                <w:szCs w:val="18"/>
                <w:color w:val="auto"/>
              </w:rPr>
              <w:t>Certification of CEO pursuant to 18 U.S.C. Section 1350 as adopted pursuant to Section 906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gridSpan w:val="2"/>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0"/>
                <w:szCs w:val="20"/>
                <w:color w:val="auto"/>
              </w:rPr>
            </w:pPr>
          </w:p>
        </w:tc>
        <w:tc>
          <w:tcPr>
            <w:tcW w:w="10320" w:type="dxa"/>
            <w:vAlign w:val="bottom"/>
            <w:gridSpan w:val="4"/>
          </w:tcPr>
          <w:p>
            <w:pPr>
              <w:spacing w:after="0"/>
              <w:rPr>
                <w:sz w:val="20"/>
                <w:szCs w:val="20"/>
                <w:color w:val="auto"/>
              </w:rPr>
            </w:pPr>
            <w:r>
              <w:rPr>
                <w:rFonts w:ascii="Arial" w:cs="Arial" w:eastAsia="Arial" w:hAnsi="Arial"/>
                <w:sz w:val="18"/>
                <w:szCs w:val="18"/>
                <w:color w:val="auto"/>
              </w:rPr>
              <w:t>Certification of CFO pursuant to 18 U.S.C. Section 1350 as adopted pursuant to Section 906 of the Sarbanes-Oxley Act of 2002.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-1682115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-1682115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7665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ARTICLES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w:t>
      </w:r>
    </w:p>
    <w:p>
      <w:pPr>
        <w:spacing w:after="0" w:line="229" w:lineRule="exact"/>
        <w:rPr>
          <w:sz w:val="20"/>
          <w:szCs w:val="20"/>
          <w:color w:val="auto"/>
        </w:rPr>
      </w:pPr>
    </w:p>
    <w:p>
      <w:pPr>
        <w:ind w:right="60" w:firstLine="656"/>
        <w:spacing w:after="0" w:line="264" w:lineRule="auto"/>
        <w:tabs>
          <w:tab w:leader="none" w:pos="1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Pursuant to the provisions of Article 4.07 of the Texas Business Corporation Act, Rush Enterprises, Inc., a Texas corporation, hereby adopts Restated Articles of Incorporation, which accurately copy the Articles of Incorporation and all amendments thereto that are in effect to date and which contain no change in any provision thereof.</w:t>
      </w:r>
    </w:p>
    <w:p>
      <w:pPr>
        <w:spacing w:after="0" w:line="181" w:lineRule="exact"/>
        <w:rPr>
          <w:rFonts w:ascii="Arial" w:cs="Arial" w:eastAsia="Arial" w:hAnsi="Arial"/>
          <w:sz w:val="18"/>
          <w:szCs w:val="18"/>
          <w:color w:val="auto"/>
        </w:rPr>
      </w:pPr>
    </w:p>
    <w:p>
      <w:pPr>
        <w:ind w:right="300" w:firstLine="656"/>
        <w:spacing w:after="0" w:line="277" w:lineRule="auto"/>
        <w:tabs>
          <w:tab w:leader="none" w:pos="1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Articles of Incorporation and all amendments and supplements thereto are hereby superseded by the following Restated Articles of Incorporation, which accurately copy the entire text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ONE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Rush Enterprises,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TWO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period of duration of the corporation is perpetual.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THREE</w:t>
      </w:r>
    </w:p>
    <w:p>
      <w:pPr>
        <w:spacing w:after="0" w:line="22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corporation is organized to transact any and all lawful business for which a corporation may be incorporated under the Texas Business Corporation 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FOUR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total number of shares of all classes of stock which the corporation shall be authorized to issue is 81,000,000 shares, divided into the following:</w:t>
      </w:r>
    </w:p>
    <w:p>
      <w:pPr>
        <w:spacing w:after="0" w:line="46" w:lineRule="exact"/>
        <w:rPr>
          <w:sz w:val="20"/>
          <w:szCs w:val="20"/>
          <w:color w:val="auto"/>
        </w:rPr>
      </w:pPr>
    </w:p>
    <w:p>
      <w:pPr>
        <w:jc w:val="both"/>
        <w:ind w:right="40" w:firstLine="8"/>
        <w:spacing w:after="0" w:line="323"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1,000,000 shares of preferred stock, of the par value $.01 per share (“Preferred Stock”), (ii) 60,000,000 shares of Class A Common Stock, of the par value $.01 per share (“Class A Common Stock”) and (iii) 20,000,000 shares of Class B Common Stock, of the par value $.01 per share (“Class B Common Stock”).</w:t>
      </w:r>
    </w:p>
    <w:p>
      <w:pPr>
        <w:spacing w:after="0" w:line="13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description of the respective classes of stock and a statement of the designations, preferences, limitations and relative rights of such classes of stock and the limitations on or denial of the voting rights of the shares of such classes of stock are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PREFERRED STOCK</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Preferred Stock may be issued from time to time in one or more series and in such amounts as may be fixed and determined herein or by the board of directors. The designations, preferences, limitations and relative rights, including voting rights, of each series of Preferred Stock shall be such as are fixed by the board of directors, and stated and expressed in a resolution or resolutions adopted by the board of directors providing for the establishment of any such series of Preferred Stock. The board of directors is hereby expressly authorized to establish any series of unissued shares of Preferred Stock by fixing and determining the designations, preferences, limitations and relative rights, including voting rights, of the shares of any series so established, within the limitations set forth in Article 2.13 of the Texas Business Corporation Act and herein, and to increase or decrease the number of shares within each such series; provided, however, that the board of directors may not decrease the number of shares within a series below the number of shares within such series that is then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Except in respect of the particulars fixed by the board of directors for series established by the board of directors as permitted hereby, all shares of Preferred Stock shall be of equal rank and shall be identical. All shares of any one series of Preferred Stock so designated by the board of directors shall be alike in every particular, except that shares of any one series issued at different times may differ as to the dates from which dividends thereon shall be cumulative.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CLASS A AND CLASS B COMMON STOCK</w:t>
      </w:r>
    </w:p>
    <w:p>
      <w:pPr>
        <w:spacing w:after="0" w:line="211" w:lineRule="exact"/>
        <w:rPr>
          <w:sz w:val="20"/>
          <w:szCs w:val="20"/>
          <w:color w:val="auto"/>
        </w:rPr>
      </w:pPr>
    </w:p>
    <w:p>
      <w:pPr>
        <w:ind w:right="100" w:firstLine="656"/>
        <w:spacing w:after="0" w:line="277" w:lineRule="auto"/>
        <w:tabs>
          <w:tab w:leader="none" w:pos="136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Junior Stock</w:t>
      </w:r>
      <w:r>
        <w:rPr>
          <w:rFonts w:ascii="Arial" w:cs="Arial" w:eastAsia="Arial" w:hAnsi="Arial"/>
          <w:sz w:val="18"/>
          <w:szCs w:val="18"/>
          <w:color w:val="auto"/>
        </w:rPr>
        <w:t>. Class A Common Stock and Class B Common Stock are junior to each series of Preferred Stock and are subject to all of the rights, privileges and preferences and priorities of Preferred Stock as herein set forth.</w:t>
      </w:r>
    </w:p>
    <w:p>
      <w:pPr>
        <w:spacing w:after="0" w:line="170" w:lineRule="exact"/>
        <w:rPr>
          <w:rFonts w:ascii="Arial" w:cs="Arial" w:eastAsia="Arial" w:hAnsi="Arial"/>
          <w:sz w:val="18"/>
          <w:szCs w:val="18"/>
          <w:color w:val="auto"/>
        </w:rPr>
      </w:pPr>
    </w:p>
    <w:p>
      <w:pPr>
        <w:ind w:right="20" w:firstLine="656"/>
        <w:spacing w:after="0" w:line="269" w:lineRule="auto"/>
        <w:tabs>
          <w:tab w:leader="none" w:pos="1368"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Subject to all rights of each series of Preferred Stock, dividends may be paid on Class A Common Stock and Class B Common Stock as and when declared by the board of directors of the corporation out of any funds of the corporation legally available for the payment thereof. The holders of record of Class A Common Stock and the holders of record of Class B Common Stock shall have equal rights and rank per share with respect to any and all dividends and distributions declared on the common stock of the corporation, and no dividend or distribution shall be declared or made with respect to either Class A Common Stock or Class B Common Stock unless that dividend or distribution is declared and made with respect to both such classes; except that a dividend or distribution upon Class A Common Stock which will be paid in shares of common stock of the corporation shall be declared and made only in shares of Class A Common Stock and a dividend or distribution upon Class B Common Stock which will be paid in shares of common stock of the Corporation shall be declared and made only in shares of Class B Common Stock, and if a dividend or distribution is so declared and paid in shares of one class of common stock to the holder of each share of that class, a per-share dividend or distribution in an equal number of shares of the other class of common stock shall be concurrently declared and paid to the holder of each share of such other class, so that the number of shares of Class A Common Stock paid as a dividend or distribution on a share of Class A Common Stock shall be equal to the number of shares of Class B Common Stock paid as a dividend or distribution on a share of Class B Common Stock.</w:t>
      </w:r>
    </w:p>
    <w:p>
      <w:pPr>
        <w:sectPr>
          <w:pgSz w:w="11900" w:h="16838" w:orient="portrait"/>
          <w:cols w:equalWidth="0" w:num="1">
            <w:col w:w="11420"/>
          </w:cols>
          <w:pgMar w:left="240" w:top="121" w:right="239" w:bottom="0" w:gutter="0" w:footer="0" w:header="0"/>
        </w:sectPr>
      </w:pPr>
    </w:p>
    <w:bookmarkStart w:id="21" w:name="page22"/>
    <w:bookmarkEnd w:id="21"/>
    <w:p>
      <w:pPr>
        <w:ind w:firstLine="656"/>
        <w:spacing w:after="0" w:line="255" w:lineRule="auto"/>
        <w:tabs>
          <w:tab w:leader="none" w:pos="136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 Subject to all of the rights, privileges and preferences and priorities of each series of Preferred Stock, after payment shall have been made in full to the holders of each series of Preferred Stock in the event of any liquidation, dissolution or winding up of the corporation, to the extent of the liquidation preferences of such classes of stock, the remaining assets and funds of the corporation shall be distributed ratably to the holders of Class A Common Stock and Class B Common Stock according to their respective shares. Each share of Class A Common Stock and Class B Common Stock shall rank equally with respect to any distribution to be received by holders of common stock upon or with respect to liquidation, dissolution or winding up.</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CLASS A COMMON STOCK</w:t>
      </w:r>
    </w:p>
    <w:p>
      <w:pPr>
        <w:spacing w:after="0" w:line="211" w:lineRule="exact"/>
        <w:rPr>
          <w:sz w:val="20"/>
          <w:szCs w:val="20"/>
          <w:color w:val="auto"/>
        </w:rPr>
      </w:pPr>
    </w:p>
    <w:p>
      <w:pPr>
        <w:ind w:right="180" w:firstLine="656"/>
        <w:spacing w:after="0" w:line="279" w:lineRule="auto"/>
        <w:tabs>
          <w:tab w:leader="none" w:pos="136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Subject to all of the rights, privileges and preferences and priorities of each series of Preferred Stock, (i) the holders of Class A Common Stock are entitled to one-twentieth (1/20th) of one vote per share on all questions presented to the shareholders. In all elections of directors of the corporation, each holder of Class A Common Stock shall have the right to vote in person or by proxy one-twentieth (1/20th) of one vote for each share of Class A Common Stock held by such holder for as many persons as there are directors to be elected.</w:t>
      </w:r>
    </w:p>
    <w:p>
      <w:pPr>
        <w:spacing w:after="0" w:line="17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Any provision of the Articles of Incorporation or By-Laws of the corporation requiring the affirmative vote of a specified percentage of shares of the corporation shall be read to give effect to the lesser voting rights of the holders of Class A Common Stock as described above; specifically, a provision that the affirmative vote of a specified percentage of the shares of the corporation is required shall require the affirmative vote of the holders of that percentage of the aggregate voting power of the corporation.</w:t>
      </w:r>
    </w:p>
    <w:p>
      <w:pPr>
        <w:spacing w:after="0" w:line="187" w:lineRule="exact"/>
        <w:rPr>
          <w:sz w:val="20"/>
          <w:szCs w:val="20"/>
          <w:color w:val="auto"/>
        </w:rPr>
      </w:pPr>
    </w:p>
    <w:p>
      <w:pPr>
        <w:ind w:left="1380" w:hanging="724"/>
        <w:spacing w:after="0"/>
        <w:tabs>
          <w:tab w:leader="none" w:pos="138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Convertibility</w:t>
      </w:r>
      <w:r>
        <w:rPr>
          <w:rFonts w:ascii="Arial" w:cs="Arial" w:eastAsia="Arial" w:hAnsi="Arial"/>
          <w:sz w:val="17"/>
          <w:szCs w:val="17"/>
          <w:color w:val="auto"/>
        </w:rPr>
        <w:t>. The Class A Common Stock is not convertible into shares of Class B Common Stock or any other security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CLASS B COMMON STOCK</w:t>
      </w:r>
    </w:p>
    <w:p>
      <w:pPr>
        <w:spacing w:after="0" w:line="211" w:lineRule="exact"/>
        <w:rPr>
          <w:sz w:val="20"/>
          <w:szCs w:val="20"/>
          <w:color w:val="auto"/>
        </w:rPr>
      </w:pPr>
    </w:p>
    <w:p>
      <w:pPr>
        <w:ind w:right="360" w:firstLine="656"/>
        <w:spacing w:after="0" w:line="264" w:lineRule="auto"/>
        <w:tabs>
          <w:tab w:leader="none" w:pos="136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The holders of Class B Common Stock are entitled to one vote per share on all questions presented to the shareholders. In all elections of directors of the corporation, each holder of Class B Common Stock shall have the right to vote in person or by proxy the number of shares of Class B Common Stock held by such holder for as many persons as there are directors to be elected.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Convertibility</w:t>
      </w:r>
      <w:r>
        <w:rPr>
          <w:rFonts w:ascii="Arial" w:cs="Arial" w:eastAsia="Arial" w:hAnsi="Arial"/>
          <w:sz w:val="16"/>
          <w:szCs w:val="16"/>
          <w:color w:val="auto"/>
        </w:rPr>
        <w:t>. Class B Common Stock is not convertible into shares of Class A Common Stock or any other security of the Corporation.</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11" w:lineRule="exact"/>
        <w:rPr>
          <w:sz w:val="20"/>
          <w:szCs w:val="20"/>
          <w:color w:val="auto"/>
        </w:rPr>
      </w:pPr>
    </w:p>
    <w:p>
      <w:pPr>
        <w:ind w:right="160" w:firstLine="656"/>
        <w:spacing w:after="0" w:line="272" w:lineRule="auto"/>
        <w:tabs>
          <w:tab w:leader="none" w:pos="1368"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Preemptive Rights</w:t>
      </w:r>
      <w:r>
        <w:rPr>
          <w:rFonts w:ascii="Arial" w:cs="Arial" w:eastAsia="Arial" w:hAnsi="Arial"/>
          <w:sz w:val="17"/>
          <w:szCs w:val="17"/>
          <w:color w:val="auto"/>
        </w:rPr>
        <w:t>. Ownership of shares of any class of the capital stock of the corporation shall not entitle the holders thereof to any preemptive right to subscribe for or purchase or have offered to them for subscription or purchase any additional shares of capital stock of any class of the corporation or any securities convertible into any class of capital stock of the corporation, however acquired, issued or sold by the corporation, it being the purpose and intent hereof that the board of directors shall have full right, power and authority to offer for subscription or sell or to make any disposal of any or all unissued shares of the capital stock of the corporation or any securities convertible into stock or any or all shares of stock or convertible securities issued and thereafter acquired by the corporation, for such consideration, not less than the par value thereof, or, in the case of any class of stock without par value, the stated value thereof, in money, property or labor, as the board of directors shall determine.</w:t>
      </w:r>
    </w:p>
    <w:p>
      <w:pPr>
        <w:spacing w:after="0" w:line="177" w:lineRule="exact"/>
        <w:rPr>
          <w:rFonts w:ascii="Arial" w:cs="Arial" w:eastAsia="Arial" w:hAnsi="Arial"/>
          <w:sz w:val="17"/>
          <w:szCs w:val="17"/>
          <w:color w:val="auto"/>
        </w:rPr>
      </w:pPr>
    </w:p>
    <w:p>
      <w:pPr>
        <w:ind w:left="1380" w:hanging="724"/>
        <w:spacing w:after="0"/>
        <w:tabs>
          <w:tab w:leader="none" w:pos="138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Cumulative Voting</w:t>
      </w:r>
      <w:r>
        <w:rPr>
          <w:rFonts w:ascii="Arial" w:cs="Arial" w:eastAsia="Arial" w:hAnsi="Arial"/>
          <w:sz w:val="17"/>
          <w:szCs w:val="17"/>
          <w:color w:val="auto"/>
        </w:rPr>
        <w:t>. No shareholder of the corporation shall have the right of cumulative voting at any election of directors or upon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other matter.</w:t>
      </w:r>
    </w:p>
    <w:p>
      <w:pPr>
        <w:spacing w:after="0" w:line="210" w:lineRule="exact"/>
        <w:rPr>
          <w:rFonts w:ascii="Arial" w:cs="Arial" w:eastAsia="Arial" w:hAnsi="Arial"/>
          <w:sz w:val="17"/>
          <w:szCs w:val="17"/>
          <w:color w:val="auto"/>
        </w:rPr>
      </w:pPr>
    </w:p>
    <w:p>
      <w:pPr>
        <w:ind w:right="40" w:firstLine="656"/>
        <w:spacing w:after="0" w:line="277" w:lineRule="auto"/>
        <w:tabs>
          <w:tab w:leader="none" w:pos="136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Authority to Purchase Own Shares</w:t>
      </w:r>
      <w:r>
        <w:rPr>
          <w:rFonts w:ascii="Arial" w:cs="Arial" w:eastAsia="Arial" w:hAnsi="Arial"/>
          <w:sz w:val="18"/>
          <w:szCs w:val="18"/>
          <w:color w:val="auto"/>
        </w:rPr>
        <w:t>. The corporation shall have the authority to purchase, directly or indirectly, its own shares to the extent of the aggregate of unrestricted capital surplus available therefor.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corporation will not commence business until it has received for the issuance of its shares consideration of the value of One Thousand Dollars ($1,000.00), consisting of money, labor done or property actually received.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SIX</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street address of its present registered office is 555 IH 35 South, New Braunfels, Texas 78130, and the name of the registered agent at such addresses is W.M. “Rusty” Rush.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SEVEN</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number of directors constituting the board of directors as of the date of these Restated Articles of Incorporation is six, and the names and addresses of the persons who are to serve as directors until the next annual meeting of the shareholders, or until their successors are elected and qualify are:</w:t>
      </w:r>
    </w:p>
    <w:p>
      <w:pPr>
        <w:spacing w:after="0" w:line="116"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780" w:type="dxa"/>
            <w:vAlign w:val="bottom"/>
          </w:tcPr>
          <w:p>
            <w:pPr>
              <w:ind w:left="2040"/>
              <w:spacing w:after="0"/>
              <w:rPr>
                <w:sz w:val="20"/>
                <w:szCs w:val="20"/>
                <w:color w:val="auto"/>
              </w:rPr>
            </w:pPr>
            <w:r>
              <w:rPr>
                <w:rFonts w:ascii="Arial" w:cs="Arial" w:eastAsia="Arial" w:hAnsi="Arial"/>
                <w:sz w:val="14"/>
                <w:szCs w:val="14"/>
                <w:b w:val="1"/>
                <w:bCs w:val="1"/>
                <w:color w:val="auto"/>
              </w:rPr>
              <w:t>ADDRESS</w:t>
            </w:r>
          </w:p>
        </w:tc>
      </w:tr>
      <w:tr>
        <w:trPr>
          <w:trHeight w:val="210"/>
        </w:trPr>
        <w:tc>
          <w:tcPr>
            <w:tcW w:w="2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Borders>
              <w:top w:val="single" w:sz="8" w:color="auto"/>
            </w:tcBorders>
          </w:tcPr>
          <w:p>
            <w:pPr>
              <w:spacing w:after="0"/>
              <w:rPr>
                <w:sz w:val="18"/>
                <w:szCs w:val="18"/>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Marvin Rush</w:t>
            </w: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555 IH 35 South, New Braunfels, Texas 78130</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W.M. “Rusty” Rush</w:t>
            </w:r>
          </w:p>
        </w:tc>
        <w:tc>
          <w:tcPr>
            <w:tcW w:w="4780" w:type="dxa"/>
            <w:vAlign w:val="bottom"/>
          </w:tcPr>
          <w:p>
            <w:pPr>
              <w:spacing w:after="0"/>
              <w:rPr>
                <w:sz w:val="20"/>
                <w:szCs w:val="20"/>
                <w:color w:val="auto"/>
              </w:rPr>
            </w:pPr>
            <w:r>
              <w:rPr>
                <w:rFonts w:ascii="Arial" w:cs="Arial" w:eastAsia="Arial" w:hAnsi="Arial"/>
                <w:sz w:val="18"/>
                <w:szCs w:val="18"/>
                <w:color w:val="auto"/>
              </w:rPr>
              <w:t>555 IH 35 South, New Braunfels, Texas 78130</w:t>
            </w: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A. Akin</w:t>
            </w: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555 IH 35 South, New Braunfels, Texas 78130</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Ronald J. Krause</w:t>
            </w:r>
          </w:p>
        </w:tc>
        <w:tc>
          <w:tcPr>
            <w:tcW w:w="4780" w:type="dxa"/>
            <w:vAlign w:val="bottom"/>
          </w:tcPr>
          <w:p>
            <w:pPr>
              <w:spacing w:after="0"/>
              <w:rPr>
                <w:sz w:val="20"/>
                <w:szCs w:val="20"/>
                <w:color w:val="auto"/>
              </w:rPr>
            </w:pPr>
            <w:r>
              <w:rPr>
                <w:rFonts w:ascii="Arial" w:cs="Arial" w:eastAsia="Arial" w:hAnsi="Arial"/>
                <w:sz w:val="18"/>
                <w:szCs w:val="18"/>
                <w:color w:val="auto"/>
              </w:rPr>
              <w:t>555 IH 35 South, New Braunfels, Texas 78130</w:t>
            </w: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D. Marshall</w:t>
            </w: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555 IH 35 South, New Braunfels, Texas 78130</w:t>
            </w:r>
          </w:p>
        </w:tc>
      </w:tr>
      <w:tr>
        <w:trPr>
          <w:trHeight w:val="230"/>
        </w:trPr>
        <w:tc>
          <w:tcPr>
            <w:tcW w:w="2580" w:type="dxa"/>
            <w:vAlign w:val="bottom"/>
            <w:gridSpan w:val="2"/>
          </w:tcPr>
          <w:p>
            <w:pPr>
              <w:spacing w:after="0"/>
              <w:rPr>
                <w:sz w:val="20"/>
                <w:szCs w:val="20"/>
                <w:color w:val="auto"/>
              </w:rPr>
            </w:pPr>
            <w:r>
              <w:rPr>
                <w:rFonts w:ascii="Arial" w:cs="Arial" w:eastAsia="Arial" w:hAnsi="Arial"/>
                <w:sz w:val="18"/>
                <w:szCs w:val="18"/>
                <w:color w:val="auto"/>
              </w:rPr>
              <w:t>James C. Underwood</w:t>
            </w:r>
          </w:p>
        </w:tc>
        <w:tc>
          <w:tcPr>
            <w:tcW w:w="4780" w:type="dxa"/>
            <w:vAlign w:val="bottom"/>
          </w:tcPr>
          <w:p>
            <w:pPr>
              <w:spacing w:after="0"/>
              <w:rPr>
                <w:sz w:val="20"/>
                <w:szCs w:val="20"/>
                <w:color w:val="auto"/>
              </w:rPr>
            </w:pPr>
            <w:r>
              <w:rPr>
                <w:rFonts w:ascii="Arial" w:cs="Arial" w:eastAsia="Arial" w:hAnsi="Arial"/>
                <w:sz w:val="18"/>
                <w:szCs w:val="18"/>
                <w:color w:val="auto"/>
              </w:rPr>
              <w:t>555 IH 35 South, New Braunfels, Texas 78130</w:t>
            </w:r>
          </w:p>
        </w:tc>
      </w:tr>
    </w:tbl>
    <w:p>
      <w:pPr>
        <w:sectPr>
          <w:pgSz w:w="11900" w:h="16838" w:orient="portrait"/>
          <w:cols w:equalWidth="0" w:num="1">
            <w:col w:w="11400"/>
          </w:cols>
          <w:pgMar w:left="240" w:top="125" w:right="259" w:bottom="0" w:gutter="0" w:footer="0" w:header="0"/>
        </w:sectPr>
      </w:pPr>
    </w:p>
    <w:bookmarkStart w:id="22" w:name="page23"/>
    <w:bookmarkEnd w:id="22"/>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t>ARTICLE EIGHT</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 director of the corporation shall not be liable to the corporation or its shareholders for monetary damages for an act or omission in the director’s capacity as a director, except for liability (i) for any breach of the director’s duty of loyalty to the corporation or its shareholders, (ii) for any act or omission not in good faith that constitutes a breach of duty of the director to the corporation or any act or omission that involves intentional misconduct or a knowing violation of law, (iii) for any transaction from which the director received an improper benefit, whether or not the benefit resulted from an action taken within the scope of the director’s office, or (iv) for any act or omission for which the liability of the director is expressly provided by statute. If either the Texas Business Corporation Act, the Texas Miscellaneous Corporation Laws Act or any other applicable Texas statute hereafter is amended to authorize the further elimination or limitation of the liability of directors, then the liability of a director of the corporation, in addition to the limitation on liability provided herein, shall be limited to the fullest extent permitted by such amended act. Any repeal or modification of this Article Eight by the shareholders of the corporation shall be prospective only, and shall not adversely affect any limitation on the liability of a director of the corporation existing at the time of such repeal or modification.</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NINE</w:t>
      </w:r>
    </w:p>
    <w:p>
      <w:pPr>
        <w:spacing w:after="0" w:line="229"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Any action required or which must or may be taken at any annual or special meeting of shareholders may be taken without a meeting, without prior notice and without a vote, if a consent or consents in writing, setting forth the action so taken, shall be signed by the holders of shares of voting stock having not less than the minimum number of votes that would be necessary to authorize or take such action at a meeting at which the holders of all shares entitled to vote on the action were present and voted.</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TEN</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power to alter, amend or repeal the bylaws or adopt new bylaws is vested in the board of directors, subject to repeal or change by action of the shareholders.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ELEVEN</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If, with respect to any matter for which the affirmative vote or concurrence of the shareholders of the Corporation is required, any provision of the Texas Business Corporation Act would, but for this Article Eleven, require the affirmative vote or concurrence of the holders of shares having more than a majority of the votes entitled to vote on such matter, or of any class or series thereof, the affirmative vote or concurrence of the holders of shares having only a majority of the votes entitled to vote on such matter, or of any class or series thereof, shall be required with respect to any such matter.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hereunto set my hand this 28th day of July 2008.</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RUSH ENTERPRISES,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ind w:left="574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 W. Marvin Rush</w:t>
            </w:r>
          </w:p>
        </w:tc>
        <w:tc>
          <w:tcPr>
            <w:tcW w:w="40" w:type="dxa"/>
            <w:vAlign w:val="bottom"/>
          </w:tcPr>
          <w:p>
            <w:pPr>
              <w:spacing w:after="0"/>
              <w:rPr>
                <w:sz w:val="20"/>
                <w:szCs w:val="20"/>
                <w:color w:val="auto"/>
              </w:rPr>
            </w:pPr>
          </w:p>
        </w:tc>
      </w:tr>
      <w:tr>
        <w:trPr>
          <w:trHeight w:val="195"/>
        </w:trPr>
        <w:tc>
          <w:tcPr>
            <w:tcW w:w="6100" w:type="dxa"/>
            <w:vAlign w:val="bottom"/>
          </w:tcPr>
          <w:p>
            <w:pPr>
              <w:spacing w:after="0"/>
              <w:rPr>
                <w:sz w:val="16"/>
                <w:szCs w:val="16"/>
                <w:color w:val="auto"/>
              </w:rPr>
            </w:pPr>
          </w:p>
        </w:tc>
        <w:tc>
          <w:tcPr>
            <w:tcW w:w="5320" w:type="dxa"/>
            <w:vAlign w:val="bottom"/>
          </w:tcPr>
          <w:p>
            <w:pPr>
              <w:ind w:left="380"/>
              <w:spacing w:after="0" w:line="195" w:lineRule="exact"/>
              <w:rPr>
                <w:sz w:val="20"/>
                <w:szCs w:val="20"/>
                <w:color w:val="auto"/>
              </w:rPr>
            </w:pPr>
            <w:r>
              <w:rPr>
                <w:rFonts w:ascii="Arial" w:cs="Arial" w:eastAsia="Arial" w:hAnsi="Arial"/>
                <w:sz w:val="18"/>
                <w:szCs w:val="18"/>
                <w:color w:val="auto"/>
              </w:rPr>
              <w:t>W. Marvin Rush</w:t>
            </w:r>
          </w:p>
        </w:tc>
        <w:tc>
          <w:tcPr>
            <w:tcW w:w="40" w:type="dxa"/>
            <w:vAlign w:val="bottom"/>
          </w:tcPr>
          <w:p>
            <w:pPr>
              <w:spacing w:after="0"/>
              <w:rPr>
                <w:sz w:val="16"/>
                <w:szCs w:val="16"/>
                <w:color w:val="auto"/>
              </w:rPr>
            </w:pPr>
          </w:p>
        </w:tc>
      </w:tr>
      <w:tr>
        <w:trPr>
          <w:trHeight w:val="230"/>
        </w:trPr>
        <w:tc>
          <w:tcPr>
            <w:tcW w:w="6100" w:type="dxa"/>
            <w:vAlign w:val="bottom"/>
          </w:tcPr>
          <w:p>
            <w:pPr>
              <w:spacing w:after="0"/>
              <w:rPr>
                <w:sz w:val="20"/>
                <w:szCs w:val="20"/>
                <w:color w:val="auto"/>
              </w:rPr>
            </w:pPr>
          </w:p>
        </w:tc>
        <w:tc>
          <w:tcPr>
            <w:tcW w:w="5320" w:type="dxa"/>
            <w:vAlign w:val="bottom"/>
          </w:tcPr>
          <w:p>
            <w:pPr>
              <w:ind w:left="380"/>
              <w:spacing w:after="0"/>
              <w:rPr>
                <w:sz w:val="20"/>
                <w:szCs w:val="20"/>
                <w:color w:val="auto"/>
              </w:rPr>
            </w:pPr>
            <w:r>
              <w:rPr>
                <w:rFonts w:ascii="Arial" w:cs="Arial" w:eastAsia="Arial" w:hAnsi="Arial"/>
                <w:sz w:val="18"/>
                <w:szCs w:val="18"/>
                <w:color w:val="auto"/>
              </w:rPr>
              <w:t>Chairman</w:t>
            </w:r>
          </w:p>
        </w:tc>
        <w:tc>
          <w:tcPr>
            <w:tcW w:w="40" w:type="dxa"/>
            <w:vAlign w:val="bottom"/>
          </w:tcPr>
          <w:p>
            <w:pPr>
              <w:spacing w:after="0"/>
              <w:rPr>
                <w:sz w:val="20"/>
                <w:szCs w:val="20"/>
                <w:color w:val="auto"/>
              </w:rPr>
            </w:pPr>
          </w:p>
        </w:tc>
      </w:tr>
      <w:tr>
        <w:trPr>
          <w:trHeight w:val="348"/>
        </w:trPr>
        <w:tc>
          <w:tcPr>
            <w:tcW w:w="6100" w:type="dxa"/>
            <w:vAlign w:val="bottom"/>
            <w:tcBorders>
              <w:bottom w:val="single" w:sz="8" w:color="010101"/>
            </w:tcBorders>
          </w:tcPr>
          <w:p>
            <w:pPr>
              <w:spacing w:after="0"/>
              <w:rPr>
                <w:sz w:val="24"/>
                <w:szCs w:val="24"/>
                <w:color w:val="auto"/>
              </w:rPr>
            </w:pPr>
          </w:p>
        </w:tc>
        <w:tc>
          <w:tcPr>
            <w:tcW w:w="53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53" w:right="19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20" w:firstLine="8"/>
        <w:spacing w:after="0" w:line="342" w:lineRule="auto"/>
        <w:tabs>
          <w:tab w:leader="none" w:pos="6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8"/>
        <w:spacing w:after="0" w:line="277" w:lineRule="auto"/>
        <w:tabs>
          <w:tab w:leader="none" w:pos="6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6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20" w:firstLine="656"/>
        <w:spacing w:after="0" w:line="264" w:lineRule="auto"/>
        <w:tabs>
          <w:tab w:leader="none" w:pos="130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3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40" w:firstLine="656"/>
        <w:spacing w:after="0" w:line="308" w:lineRule="auto"/>
        <w:tabs>
          <w:tab w:leader="none" w:pos="1307"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420" w:firstLine="656"/>
        <w:spacing w:after="0" w:line="264" w:lineRule="auto"/>
        <w:tabs>
          <w:tab w:leader="none" w:pos="13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8"/>
        <w:spacing w:after="0" w:line="308" w:lineRule="auto"/>
        <w:tabs>
          <w:tab w:leader="none" w:pos="66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60" w:firstLine="656"/>
        <w:spacing w:after="0" w:line="308" w:lineRule="auto"/>
        <w:tabs>
          <w:tab w:leader="none" w:pos="1307"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60" w:firstLine="656"/>
        <w:spacing w:after="0" w:line="277" w:lineRule="auto"/>
        <w:tabs>
          <w:tab w:leader="none" w:pos="13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Date:  August 11, 2008</w:t>
            </w:r>
          </w:p>
        </w:tc>
        <w:tc>
          <w:tcPr>
            <w:tcW w:w="2600" w:type="dxa"/>
            <w:vAlign w:val="bottom"/>
          </w:tcPr>
          <w:p>
            <w:pPr>
              <w:ind w:left="198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W.M. “RUSTY” RUSH</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W.M. “Rusty” Rush</w:t>
            </w:r>
          </w:p>
        </w:tc>
        <w:tc>
          <w:tcPr>
            <w:tcW w:w="4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600" w:type="dxa"/>
            <w:vAlign w:val="bottom"/>
            <w:tcBorders>
              <w:bottom w:val="single" w:sz="8" w:color="010101"/>
            </w:tcBorders>
          </w:tcPr>
          <w:p>
            <w:pPr>
              <w:spacing w:after="0"/>
              <w:rPr>
                <w:sz w:val="24"/>
                <w:szCs w:val="24"/>
                <w:color w:val="auto"/>
              </w:rPr>
            </w:pPr>
          </w:p>
        </w:tc>
        <w:tc>
          <w:tcPr>
            <w:tcW w:w="50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720" w:hanging="71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260" w:firstLine="8"/>
        <w:spacing w:after="0" w:line="342"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656"/>
        <w:spacing w:after="0" w:line="264" w:lineRule="auto"/>
        <w:tabs>
          <w:tab w:leader="none" w:pos="134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35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43"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60" w:firstLine="656"/>
        <w:spacing w:after="0" w:line="264" w:lineRule="auto"/>
        <w:tabs>
          <w:tab w:leader="none" w:pos="135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40" w:firstLine="8"/>
        <w:spacing w:after="0" w:line="308"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20" w:firstLine="656"/>
        <w:spacing w:after="0" w:line="308" w:lineRule="auto"/>
        <w:tabs>
          <w:tab w:leader="none" w:pos="1343"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00" w:firstLine="656"/>
        <w:spacing w:after="0" w:line="277" w:lineRule="auto"/>
        <w:tabs>
          <w:tab w:leader="none" w:pos="135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Date:  August 11, 2008</w:t>
            </w:r>
          </w:p>
        </w:tc>
        <w:tc>
          <w:tcPr>
            <w:tcW w:w="2600" w:type="dxa"/>
            <w:vAlign w:val="bottom"/>
          </w:tcPr>
          <w:p>
            <w:pPr>
              <w:ind w:left="198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Steven L. Keller</w:t>
            </w:r>
          </w:p>
        </w:tc>
        <w:tc>
          <w:tcPr>
            <w:tcW w:w="4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600" w:type="dxa"/>
            <w:vAlign w:val="bottom"/>
            <w:tcBorders>
              <w:bottom w:val="single" w:sz="8" w:color="010101"/>
            </w:tcBorders>
          </w:tcPr>
          <w:p>
            <w:pPr>
              <w:spacing w:after="0"/>
              <w:rPr>
                <w:sz w:val="24"/>
                <w:szCs w:val="24"/>
                <w:color w:val="auto"/>
              </w:rPr>
            </w:pPr>
          </w:p>
        </w:tc>
        <w:tc>
          <w:tcPr>
            <w:tcW w:w="50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June 30, 2008,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680" w:type="dxa"/>
            <w:vAlign w:val="bottom"/>
            <w:gridSpan w:val="2"/>
          </w:tcPr>
          <w:p>
            <w:pPr>
              <w:spacing w:after="0"/>
              <w:rPr>
                <w:sz w:val="20"/>
                <w:szCs w:val="20"/>
                <w:color w:val="auto"/>
              </w:rPr>
            </w:pPr>
            <w:r>
              <w:rPr>
                <w:rFonts w:ascii="Arial" w:cs="Arial" w:eastAsia="Arial" w:hAnsi="Arial"/>
                <w:sz w:val="18"/>
                <w:szCs w:val="18"/>
                <w:color w:val="auto"/>
              </w:rPr>
              <w:t>By:</w:t>
            </w:r>
          </w:p>
        </w:tc>
        <w:tc>
          <w:tcPr>
            <w:tcW w:w="5080" w:type="dxa"/>
            <w:vAlign w:val="bottom"/>
          </w:tcPr>
          <w:p>
            <w:pPr>
              <w:ind w:left="180"/>
              <w:spacing w:after="0"/>
              <w:rPr>
                <w:sz w:val="20"/>
                <w:szCs w:val="20"/>
                <w:color w:val="auto"/>
              </w:rPr>
            </w:pPr>
            <w:r>
              <w:rPr>
                <w:rFonts w:ascii="Arial" w:cs="Arial" w:eastAsia="Arial" w:hAnsi="Arial"/>
                <w:sz w:val="18"/>
                <w:szCs w:val="18"/>
                <w:color w:val="auto"/>
              </w:rPr>
              <w:t>/S/ W.M. “RUSTY” RUSH</w:t>
            </w:r>
          </w:p>
        </w:tc>
      </w:tr>
      <w:tr>
        <w:trPr>
          <w:trHeight w:val="195"/>
        </w:trPr>
        <w:tc>
          <w:tcPr>
            <w:tcW w:w="420" w:type="dxa"/>
            <w:vAlign w:val="bottom"/>
          </w:tcPr>
          <w:p>
            <w:pPr>
              <w:spacing w:after="0" w:line="195" w:lineRule="exact"/>
              <w:rPr>
                <w:sz w:val="20"/>
                <w:szCs w:val="20"/>
                <w:color w:val="auto"/>
              </w:rPr>
            </w:pPr>
            <w:r>
              <w:rPr>
                <w:rFonts w:ascii="Arial" w:cs="Arial" w:eastAsia="Arial" w:hAnsi="Arial"/>
                <w:sz w:val="18"/>
                <w:szCs w:val="18"/>
                <w:color w:val="auto"/>
                <w:w w:val="75"/>
              </w:rPr>
              <w:t>Name:</w:t>
            </w:r>
          </w:p>
        </w:tc>
        <w:tc>
          <w:tcPr>
            <w:tcW w:w="260" w:type="dxa"/>
            <w:vAlign w:val="bottom"/>
            <w:tcBorders>
              <w:top w:val="single" w:sz="8" w:color="auto"/>
            </w:tcBorders>
          </w:tcPr>
          <w:p>
            <w:pPr>
              <w:spacing w:after="0"/>
              <w:rPr>
                <w:sz w:val="16"/>
                <w:szCs w:val="16"/>
                <w:color w:val="auto"/>
              </w:rPr>
            </w:pPr>
          </w:p>
        </w:tc>
        <w:tc>
          <w:tcPr>
            <w:tcW w:w="50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680" w:type="dxa"/>
            <w:vAlign w:val="bottom"/>
            <w:gridSpan w:val="2"/>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gridSpan w:val="2"/>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ind w:left="180"/>
              <w:spacing w:after="0"/>
              <w:rPr>
                <w:sz w:val="20"/>
                <w:szCs w:val="20"/>
                <w:color w:val="auto"/>
              </w:rPr>
            </w:pPr>
            <w:r>
              <w:rPr>
                <w:rFonts w:ascii="Arial" w:cs="Arial" w:eastAsia="Arial" w:hAnsi="Arial"/>
                <w:sz w:val="18"/>
                <w:szCs w:val="18"/>
                <w:color w:val="auto"/>
              </w:rPr>
              <w:t>August 11, 2008</w:t>
            </w:r>
          </w:p>
        </w:tc>
      </w:tr>
    </w:tbl>
    <w:p>
      <w:pPr>
        <w:spacing w:after="0" w:line="200" w:lineRule="exact"/>
        <w:rPr>
          <w:sz w:val="20"/>
          <w:szCs w:val="20"/>
          <w:color w:val="auto"/>
        </w:rPr>
      </w:pPr>
    </w:p>
    <w:p>
      <w:pPr>
        <w:spacing w:after="0" w:line="218"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June 30, 2008,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spacing w:after="0"/>
              <w:rPr>
                <w:sz w:val="20"/>
                <w:szCs w:val="20"/>
                <w:color w:val="auto"/>
              </w:rPr>
            </w:pPr>
            <w:r>
              <w:rPr>
                <w:rFonts w:ascii="Arial" w:cs="Arial" w:eastAsia="Arial" w:hAnsi="Arial"/>
                <w:sz w:val="18"/>
                <w:szCs w:val="18"/>
                <w:color w:val="auto"/>
              </w:rPr>
              <w:t>August 11, 2008</w:t>
            </w:r>
          </w:p>
        </w:tc>
      </w:tr>
    </w:tbl>
    <w:p>
      <w:pPr>
        <w:spacing w:after="0" w:line="200" w:lineRule="exact"/>
        <w:rPr>
          <w:sz w:val="20"/>
          <w:szCs w:val="20"/>
          <w:color w:val="auto"/>
        </w:rPr>
      </w:pPr>
    </w:p>
    <w:p>
      <w:pPr>
        <w:spacing w:after="0" w:line="218"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Roman"/>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2019-12-11T15:20:41Z</dcterms:created>
  <dcterms:modified xsi:type="dcterms:W3CDTF">2019-12-11T15:20:41Z</dcterms:modified>
</cp:coreProperties>
</file>