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28" w:lineRule="exact"/>
        <w:rPr>
          <w:rFonts w:ascii="Arial" w:cs="Arial" w:eastAsia="Arial" w:hAnsi="Arial"/>
          <w:sz w:val="16"/>
          <w:szCs w:val="16"/>
          <w:color w:val="auto"/>
        </w:rPr>
      </w:pPr>
    </w:p>
    <w:p>
      <w:pPr>
        <w:ind w:left="3980"/>
        <w:spacing w:after="0"/>
        <w:rPr>
          <w:rFonts w:ascii="Arial" w:cs="Arial" w:eastAsia="Arial" w:hAnsi="Arial"/>
          <w:sz w:val="16"/>
          <w:szCs w:val="16"/>
          <w:color w:val="auto"/>
        </w:rPr>
      </w:pPr>
      <w:r>
        <w:rPr>
          <w:rFonts w:ascii="Arial" w:cs="Arial" w:eastAsia="Arial" w:hAnsi="Arial"/>
          <w:sz w:val="18"/>
          <w:szCs w:val="18"/>
          <w:b w:val="1"/>
          <w:bCs w:val="1"/>
          <w:color w:val="auto"/>
        </w:rPr>
        <w:t>For the quarterly period ended June 30, 2013</w:t>
      </w: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224" w:lineRule="exact"/>
        <w:rPr>
          <w:sz w:val="24"/>
          <w:szCs w:val="24"/>
          <w:color w:val="auto"/>
        </w:rPr>
      </w:pPr>
    </w:p>
    <w:p>
      <w:pPr>
        <w:ind w:right="2400" w:firstLine="8"/>
        <w:spacing w:after="0" w:line="561" w:lineRule="auto"/>
        <w:tabs>
          <w:tab w:leader="none" w:pos="1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0-20797</w:t>
      </w:r>
    </w:p>
    <w:p>
      <w:pPr>
        <w:spacing w:after="0" w:line="200" w:lineRule="exact"/>
        <w:rPr>
          <w:sz w:val="24"/>
          <w:szCs w:val="24"/>
          <w:color w:val="auto"/>
        </w:rPr>
      </w:pPr>
    </w:p>
    <w:p>
      <w:pPr>
        <w:spacing w:after="0" w:line="28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229" w:right="199" w:bottom="411" w:gutter="0" w:footer="0" w:header="0"/>
        </w:sectPr>
      </w:pPr>
    </w:p>
    <w:p>
      <w:pPr>
        <w:spacing w:after="0" w:line="263"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1"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415" w:lineRule="exact"/>
        <w:rPr>
          <w:sz w:val="24"/>
          <w:szCs w:val="24"/>
          <w:color w:val="auto"/>
        </w:rPr>
      </w:pPr>
    </w:p>
    <w:p>
      <w:pPr>
        <w:sectPr>
          <w:pgSz w:w="11900" w:h="16838" w:orient="portrait"/>
          <w:cols w:equalWidth="0" w:num="2">
            <w:col w:w="6540" w:space="720"/>
            <w:col w:w="4200"/>
          </w:cols>
          <w:pgMar w:left="240" w:top="229" w:right="199" w:bottom="411" w:gutter="0" w:footer="0" w:header="0"/>
          <w:type w:val="continuous"/>
        </w:sectPr>
      </w:pP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555 I.H. 35 South, Suite 500</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New Braunfels, Texas 78130</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60"/>
          </w:cols>
          <w:pgMar w:left="240" w:top="229" w:right="199" w:bottom="411" w:gutter="0" w:footer="0" w:header="0"/>
          <w:type w:val="continuous"/>
        </w:sectPr>
      </w:pP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(830) 626-5200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5" w:lineRule="exact"/>
        <w:rPr>
          <w:sz w:val="24"/>
          <w:szCs w:val="24"/>
          <w:color w:val="auto"/>
        </w:rPr>
      </w:pPr>
    </w:p>
    <w:p>
      <w:pPr>
        <w:jc w:val="both"/>
        <w:ind w:right="40" w:firstLine="969"/>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7" w:lineRule="exact"/>
        <w:rPr>
          <w:sz w:val="24"/>
          <w:szCs w:val="24"/>
          <w:color w:val="auto"/>
        </w:rPr>
      </w:pP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4" w:lineRule="exact"/>
        <w:rPr>
          <w:sz w:val="24"/>
          <w:szCs w:val="24"/>
          <w:color w:val="auto"/>
        </w:rPr>
      </w:pPr>
    </w:p>
    <w:p>
      <w:pPr>
        <w:jc w:val="both"/>
        <w:ind w:right="340" w:firstLine="646"/>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3" w:lineRule="exact"/>
        <w:rPr>
          <w:sz w:val="24"/>
          <w:szCs w:val="24"/>
          <w:color w:val="auto"/>
        </w:rPr>
      </w:pP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9" w:right="199" w:bottom="411" w:gutter="0" w:footer="0" w:header="0"/>
          <w:type w:val="continuous"/>
        </w:sectPr>
      </w:pPr>
    </w:p>
    <w:p>
      <w:pPr>
        <w:spacing w:after="0" w:line="230"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780" w:space="720"/>
            <w:col w:w="5960"/>
          </w:cols>
          <w:pgMar w:left="240" w:top="229" w:right="199" w:bottom="411" w:gutter="0" w:footer="0" w:header="0"/>
          <w:type w:val="continuous"/>
        </w:sectPr>
      </w:pPr>
    </w:p>
    <w:p>
      <w:pPr>
        <w:spacing w:after="0" w:line="4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3" w:lineRule="exact"/>
        <w:rPr>
          <w:sz w:val="24"/>
          <w:szCs w:val="24"/>
          <w:color w:val="auto"/>
        </w:rPr>
      </w:pPr>
    </w:p>
    <w:p>
      <w:pPr>
        <w:sectPr>
          <w:pgSz w:w="11900" w:h="16838" w:orient="portrait"/>
          <w:cols w:equalWidth="0" w:num="2">
            <w:col w:w="4780" w:space="720"/>
            <w:col w:w="5960"/>
          </w:cols>
          <w:pgMar w:left="240" w:top="229" w:right="199" w:bottom="411" w:gutter="0" w:footer="0" w:header="0"/>
          <w:type w:val="continuous"/>
        </w:sectPr>
      </w:pPr>
    </w:p>
    <w:p>
      <w:pPr>
        <w:spacing w:after="0" w:line="8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8" w:lineRule="exact"/>
        <w:rPr>
          <w:sz w:val="24"/>
          <w:szCs w:val="24"/>
          <w:color w:val="auto"/>
        </w:rPr>
      </w:pPr>
    </w:p>
    <w:p>
      <w:pPr>
        <w:ind w:left="496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1, 2013.</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0" w:type="dxa"/>
            <w:vAlign w:val="bottom"/>
            <w:gridSpan w:val="2"/>
          </w:tcPr>
          <w:p>
            <w:pPr>
              <w:jc w:val="center"/>
              <w:ind w:right="3020"/>
              <w:spacing w:after="0"/>
              <w:rPr>
                <w:sz w:val="20"/>
                <w:szCs w:val="20"/>
                <w:color w:val="auto"/>
              </w:rPr>
            </w:pPr>
            <w:r>
              <w:rPr>
                <w:rFonts w:ascii="Arial" w:cs="Arial" w:eastAsia="Arial" w:hAnsi="Arial"/>
                <w:sz w:val="18"/>
                <w:szCs w:val="18"/>
                <w:color w:val="auto"/>
                <w:w w:val="92"/>
              </w:rPr>
              <w:t>Number of</w:t>
            </w:r>
          </w:p>
        </w:tc>
      </w:tr>
      <w:tr>
        <w:trPr>
          <w:trHeight w:val="215"/>
        </w:trPr>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0" w:type="dxa"/>
            <w:vAlign w:val="bottom"/>
            <w:gridSpan w:val="2"/>
          </w:tcPr>
          <w:p>
            <w:pPr>
              <w:jc w:val="center"/>
              <w:ind w:right="3080"/>
              <w:spacing w:after="0"/>
              <w:rPr>
                <w:sz w:val="20"/>
                <w:szCs w:val="20"/>
                <w:color w:val="auto"/>
              </w:rPr>
            </w:pPr>
            <w:r>
              <w:rPr>
                <w:rFonts w:ascii="Arial" w:cs="Arial" w:eastAsia="Arial" w:hAnsi="Arial"/>
                <w:sz w:val="18"/>
                <w:szCs w:val="18"/>
                <w:color w:val="auto"/>
                <w:w w:val="84"/>
              </w:rPr>
              <w:t>Shares</w:t>
            </w:r>
          </w:p>
        </w:tc>
      </w:tr>
      <w:tr>
        <w:trPr>
          <w:trHeight w:val="189"/>
        </w:trPr>
        <w:tc>
          <w:tcPr>
            <w:tcW w:w="258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Title of Class</w:t>
            </w:r>
          </w:p>
        </w:tc>
        <w:tc>
          <w:tcPr>
            <w:tcW w:w="2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88"/>
              </w:rPr>
              <w:t>Outstanding</w:t>
            </w:r>
          </w:p>
        </w:tc>
        <w:tc>
          <w:tcPr>
            <w:tcW w:w="3120" w:type="dxa"/>
            <w:vAlign w:val="bottom"/>
          </w:tcPr>
          <w:p>
            <w:pPr>
              <w:spacing w:after="0"/>
              <w:rPr>
                <w:sz w:val="16"/>
                <w:szCs w:val="16"/>
                <w:color w:val="auto"/>
              </w:rPr>
            </w:pPr>
          </w:p>
        </w:tc>
      </w:tr>
      <w:tr>
        <w:trPr>
          <w:trHeight w:val="221"/>
        </w:trPr>
        <w:tc>
          <w:tcPr>
            <w:tcW w:w="598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Class A Common Stock, $.01 Par Value</w:t>
            </w:r>
          </w:p>
        </w:tc>
        <w:tc>
          <w:tcPr>
            <w:tcW w:w="2360" w:type="dxa"/>
            <w:vAlign w:val="bottom"/>
            <w:gridSpan w:val="2"/>
          </w:tcPr>
          <w:p>
            <w:pPr>
              <w:jc w:val="center"/>
              <w:ind w:left="1430"/>
              <w:spacing w:after="0"/>
              <w:rPr>
                <w:sz w:val="20"/>
                <w:szCs w:val="20"/>
                <w:color w:val="auto"/>
              </w:rPr>
            </w:pPr>
            <w:r>
              <w:rPr>
                <w:rFonts w:ascii="Arial" w:cs="Arial" w:eastAsia="Arial" w:hAnsi="Arial"/>
                <w:sz w:val="18"/>
                <w:szCs w:val="18"/>
                <w:color w:val="auto"/>
                <w:w w:val="88"/>
              </w:rPr>
              <w:t>28,803,237</w:t>
            </w:r>
          </w:p>
        </w:tc>
        <w:tc>
          <w:tcPr>
            <w:tcW w:w="3120" w:type="dxa"/>
            <w:vAlign w:val="bottom"/>
          </w:tcPr>
          <w:p>
            <w:pPr>
              <w:spacing w:after="0"/>
              <w:rPr>
                <w:sz w:val="19"/>
                <w:szCs w:val="19"/>
                <w:color w:val="auto"/>
              </w:rPr>
            </w:pPr>
          </w:p>
        </w:tc>
      </w:tr>
      <w:tr>
        <w:trPr>
          <w:trHeight w:val="230"/>
        </w:trPr>
        <w:tc>
          <w:tcPr>
            <w:tcW w:w="598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Class B Common Stock, $.01 Par Value</w:t>
            </w:r>
          </w:p>
        </w:tc>
        <w:tc>
          <w:tcPr>
            <w:tcW w:w="2360" w:type="dxa"/>
            <w:vAlign w:val="bottom"/>
            <w:gridSpan w:val="2"/>
          </w:tcPr>
          <w:p>
            <w:pPr>
              <w:jc w:val="center"/>
              <w:ind w:left="1430"/>
              <w:spacing w:after="0"/>
              <w:rPr>
                <w:sz w:val="20"/>
                <w:szCs w:val="20"/>
                <w:color w:val="auto"/>
              </w:rPr>
            </w:pPr>
            <w:r>
              <w:rPr>
                <w:rFonts w:ascii="Arial" w:cs="Arial" w:eastAsia="Arial" w:hAnsi="Arial"/>
                <w:sz w:val="18"/>
                <w:szCs w:val="18"/>
                <w:color w:val="auto"/>
                <w:w w:val="88"/>
              </w:rPr>
              <w:t>10,708,683</w:t>
            </w:r>
          </w:p>
        </w:tc>
        <w:tc>
          <w:tcPr>
            <w:tcW w:w="3120" w:type="dxa"/>
            <w:vAlign w:val="bottom"/>
          </w:tcPr>
          <w:p>
            <w:pPr>
              <w:spacing w:after="0"/>
              <w:rPr>
                <w:sz w:val="19"/>
                <w:szCs w:val="19"/>
                <w:color w:val="auto"/>
              </w:rPr>
            </w:pPr>
          </w:p>
        </w:tc>
      </w:tr>
      <w:tr>
        <w:trPr>
          <w:trHeight w:val="804"/>
        </w:trPr>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60"/>
        </w:trPr>
        <w:tc>
          <w:tcPr>
            <w:tcW w:w="25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9" w:right="199" w:bottom="411"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940" w:type="dxa"/>
            <w:vAlign w:val="bottom"/>
          </w:tcPr>
          <w:p>
            <w:pPr>
              <w:jc w:val="center"/>
              <w:ind w:right="529"/>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940" w:type="dxa"/>
            <w:vAlign w:val="bottom"/>
          </w:tcPr>
          <w:p>
            <w:pPr>
              <w:jc w:val="center"/>
              <w:ind w:right="549"/>
              <w:spacing w:after="0"/>
              <w:rPr>
                <w:sz w:val="20"/>
                <w:szCs w:val="20"/>
                <w:color w:val="auto"/>
              </w:rPr>
            </w:pPr>
            <w:r>
              <w:rPr>
                <w:rFonts w:ascii="Arial" w:cs="Arial" w:eastAsia="Arial" w:hAnsi="Arial"/>
                <w:sz w:val="18"/>
                <w:szCs w:val="18"/>
                <w:b w:val="1"/>
                <w:bCs w:val="1"/>
                <w:color w:val="auto"/>
              </w:rPr>
              <w:t>INDEX</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9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98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Borders>
              <w:right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b w:val="1"/>
                <w:bCs w:val="1"/>
                <w:color w:val="auto"/>
                <w:w w:val="83"/>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99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Item 1.</w:t>
            </w:r>
          </w:p>
        </w:tc>
        <w:tc>
          <w:tcPr>
            <w:tcW w:w="9940" w:type="dxa"/>
            <w:vAlign w:val="bottom"/>
            <w:shd w:val="clear" w:color="auto" w:fill="CCEEFF"/>
          </w:tcPr>
          <w:p>
            <w:pPr>
              <w:ind w:left="80"/>
              <w:spacing w:after="0"/>
              <w:rPr>
                <w:sz w:val="20"/>
                <w:szCs w:val="20"/>
                <w:color w:val="auto"/>
              </w:rPr>
            </w:pPr>
            <w:r>
              <w:rPr>
                <w:rFonts w:ascii="Arial" w:cs="Arial" w:eastAsia="Arial" w:hAnsi="Arial"/>
                <w:sz w:val="22"/>
                <w:szCs w:val="22"/>
                <w:color w:val="auto"/>
              </w:rPr>
              <w:t>Financial Statements</w:t>
            </w:r>
          </w:p>
        </w:tc>
        <w:tc>
          <w:tcPr>
            <w:tcW w:w="42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Balance Sheets - June 30, 2013 (unaudited) and December 31, 2012</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5"/>
              </w:rPr>
              <w:t>Consolidated Statements of Income and Comprehensive Income - For the Three and Six Months Ended June 30, 2013 and 2012</w:t>
            </w:r>
          </w:p>
        </w:tc>
        <w:tc>
          <w:tcPr>
            <w:tcW w:w="42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(unaudited)</w:t>
            </w: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9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Consolidated Statements of Cash Flows - For the Six Months Ended</w:t>
            </w:r>
          </w:p>
        </w:tc>
        <w:tc>
          <w:tcPr>
            <w:tcW w:w="4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June 30, 2013 and 2012 (unaudited)</w:t>
            </w: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to Consolidated Financial Statements (unaudited)</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9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21"/>
                <w:szCs w:val="21"/>
                <w:color w:val="auto"/>
              </w:rPr>
              <w:t>Management’s Discussion and Analysis of Financial Condition</w:t>
            </w:r>
            <w:r>
              <w:rPr>
                <w:rFonts w:ascii="Arial" w:cs="Arial" w:eastAsia="Arial" w:hAnsi="Arial"/>
                <w:sz w:val="18"/>
                <w:szCs w:val="18"/>
                <w:color w:val="auto"/>
              </w:rPr>
              <w:t xml:space="preserve"> and Results of Operations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9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9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Item 4.  Controls and Procedures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9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980" w:type="dxa"/>
            <w:vAlign w:val="bottom"/>
            <w:gridSpan w:val="2"/>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9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980" w:type="dxa"/>
            <w:vAlign w:val="bottom"/>
            <w:gridSpan w:val="2"/>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8"/>
              </w:rPr>
              <w:t>Item 1.</w:t>
            </w:r>
          </w:p>
        </w:tc>
        <w:tc>
          <w:tcPr>
            <w:tcW w:w="994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80" w:type="dxa"/>
            <w:vAlign w:val="bottom"/>
            <w:gridSpan w:val="2"/>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10980" w:type="dxa"/>
            <w:vAlign w:val="bottom"/>
            <w:gridSpan w:val="2"/>
          </w:tcPr>
          <w:p>
            <w:pPr>
              <w:ind w:left="480"/>
              <w:spacing w:after="0"/>
              <w:rPr>
                <w:sz w:val="20"/>
                <w:szCs w:val="20"/>
                <w:color w:val="auto"/>
              </w:rPr>
            </w:pPr>
            <w:r>
              <w:rPr>
                <w:rFonts w:ascii="Arial" w:cs="Arial" w:eastAsia="Arial" w:hAnsi="Arial"/>
                <w:sz w:val="35"/>
                <w:szCs w:val="35"/>
                <w:color w:val="auto"/>
                <w:vertAlign w:val="superscript"/>
              </w:rPr>
              <w:t>Item 1A.</w:t>
            </w: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980" w:type="dxa"/>
            <w:vAlign w:val="bottom"/>
            <w:gridSpan w:val="2"/>
          </w:tcPr>
          <w:p>
            <w:pPr>
              <w:ind w:left="48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80" w:type="dxa"/>
            <w:vAlign w:val="bottom"/>
            <w:gridSpan w:val="2"/>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980" w:type="dxa"/>
            <w:vAlign w:val="bottom"/>
            <w:gridSpan w:val="2"/>
          </w:tcPr>
          <w:p>
            <w:pPr>
              <w:ind w:left="480"/>
              <w:spacing w:after="0"/>
              <w:rPr>
                <w:sz w:val="20"/>
                <w:szCs w:val="20"/>
                <w:color w:val="auto"/>
              </w:rPr>
            </w:pPr>
            <w:r>
              <w:rPr>
                <w:rFonts w:ascii="Arial" w:cs="Arial" w:eastAsia="Arial" w:hAnsi="Arial"/>
                <w:sz w:val="18"/>
                <w:szCs w:val="18"/>
                <w:color w:val="auto"/>
              </w:rPr>
              <w:t>Item 3.  Defaults Upon Senior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80" w:type="dxa"/>
            <w:vAlign w:val="bottom"/>
            <w:gridSpan w:val="2"/>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980" w:type="dxa"/>
            <w:vAlign w:val="bottom"/>
            <w:gridSpan w:val="2"/>
          </w:tcPr>
          <w:p>
            <w:pPr>
              <w:ind w:left="480"/>
              <w:spacing w:after="0"/>
              <w:rPr>
                <w:sz w:val="20"/>
                <w:szCs w:val="20"/>
                <w:color w:val="auto"/>
              </w:rPr>
            </w:pPr>
            <w:r>
              <w:rPr>
                <w:rFonts w:ascii="Arial" w:cs="Arial" w:eastAsia="Arial" w:hAnsi="Arial"/>
                <w:sz w:val="18"/>
                <w:szCs w:val="18"/>
                <w:color w:val="auto"/>
              </w:rPr>
              <w:t>Item 4.  Mine Safety Disclosures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9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8"/>
              </w:rPr>
              <w:t>Item 5.</w:t>
            </w:r>
          </w:p>
        </w:tc>
        <w:tc>
          <w:tcPr>
            <w:tcW w:w="994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9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8"/>
              </w:rPr>
              <w:t>Item 6.</w:t>
            </w:r>
          </w:p>
        </w:tc>
        <w:tc>
          <w:tcPr>
            <w:tcW w:w="9940" w:type="dxa"/>
            <w:vAlign w:val="bottom"/>
          </w:tcPr>
          <w:p>
            <w:pPr>
              <w:ind w:left="80"/>
              <w:spacing w:after="0"/>
              <w:rPr>
                <w:sz w:val="20"/>
                <w:szCs w:val="20"/>
                <w:color w:val="auto"/>
              </w:rPr>
            </w:pPr>
            <w:r>
              <w:rPr>
                <w:rFonts w:ascii="Arial" w:cs="Arial" w:eastAsia="Arial" w:hAnsi="Arial"/>
                <w:sz w:val="18"/>
                <w:szCs w:val="18"/>
                <w:color w:val="auto"/>
              </w:rPr>
              <w:t>Exhibits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80" w:type="dxa"/>
            <w:vAlign w:val="bottom"/>
            <w:gridSpan w:val="2"/>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000" w:type="dxa"/>
            <w:vAlign w:val="bottom"/>
            <w:gridSpan w:val="3"/>
          </w:tcPr>
          <w:p>
            <w:pPr>
              <w:spacing w:after="0"/>
              <w:rPr>
                <w:sz w:val="20"/>
                <w:szCs w:val="20"/>
                <w:color w:val="auto"/>
              </w:rPr>
            </w:pPr>
            <w:r>
              <w:rPr>
                <w:rFonts w:ascii="Arial" w:cs="Arial" w:eastAsia="Arial" w:hAnsi="Arial"/>
                <w:sz w:val="18"/>
                <w:szCs w:val="18"/>
                <w:b w:val="1"/>
                <w:bCs w:val="1"/>
                <w:color w:val="auto"/>
              </w:rPr>
              <w:t>SIGNATURES</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940" w:type="dxa"/>
            <w:vAlign w:val="bottom"/>
          </w:tcPr>
          <w:p>
            <w:pPr>
              <w:jc w:val="center"/>
              <w:ind w:right="549"/>
              <w:spacing w:after="0"/>
              <w:rPr>
                <w:sz w:val="20"/>
                <w:szCs w:val="20"/>
                <w:color w:val="auto"/>
              </w:rPr>
            </w:pPr>
            <w:r>
              <w:rPr>
                <w:rFonts w:ascii="Arial" w:cs="Arial" w:eastAsia="Arial" w:hAnsi="Arial"/>
                <w:sz w:val="18"/>
                <w:szCs w:val="18"/>
                <w:color w:val="auto"/>
                <w:w w:val="99"/>
              </w:rPr>
              <w:t>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994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6" w:right="1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02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30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gridSpan w:val="3"/>
          </w:tcPr>
          <w:p>
            <w:pPr>
              <w:jc w:val="center"/>
              <w:ind w:right="460"/>
              <w:spacing w:after="0" w:line="195" w:lineRule="exact"/>
              <w:rPr>
                <w:sz w:val="20"/>
                <w:szCs w:val="20"/>
                <w:color w:val="auto"/>
              </w:rPr>
            </w:pPr>
            <w:r>
              <w:rPr>
                <w:rFonts w:ascii="Arial" w:cs="Arial" w:eastAsia="Arial" w:hAnsi="Arial"/>
                <w:sz w:val="18"/>
                <w:szCs w:val="18"/>
                <w:b w:val="1"/>
                <w:bCs w:val="1"/>
                <w:color w:val="auto"/>
                <w:w w:val="98"/>
              </w:rPr>
              <w:t>CONSOLIDATED BALANCE SHEETS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line="195" w:lineRule="exact"/>
              <w:rPr>
                <w:sz w:val="20"/>
                <w:szCs w:val="20"/>
                <w:color w:val="auto"/>
              </w:rPr>
            </w:pPr>
            <w:r>
              <w:rPr>
                <w:rFonts w:ascii="Arial" w:cs="Arial" w:eastAsia="Arial" w:hAnsi="Arial"/>
                <w:sz w:val="18"/>
                <w:szCs w:val="18"/>
                <w:b w:val="1"/>
                <w:bCs w:val="1"/>
                <w:color w:val="auto"/>
                <w:w w:val="95"/>
              </w:rPr>
              <w:t>JUNE 30, 2013 AND DECEMBER 31, 2012</w:t>
            </w:r>
          </w:p>
        </w:tc>
        <w:tc>
          <w:tcPr>
            <w:tcW w:w="6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88"/>
              </w:rPr>
              <w:t>(In Thousands, Except 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5"/>
              </w:rPr>
              <w:t>June 30,</w:t>
            </w: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9"/>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89,576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89,615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752,195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690,953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6,889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gridSpan w:val="9"/>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15,249</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gridSpan w:val="9"/>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1,067,443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652,078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622,112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47,809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48,510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1,972,240</w:t>
            </w:r>
          </w:p>
        </w:tc>
        <w:tc>
          <w:tcPr>
            <w:tcW w:w="2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1,881,566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000" w:type="dxa"/>
            <w:vAlign w:val="bottom"/>
            <w:gridSpan w:val="9"/>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5300" w:type="dxa"/>
            <w:vAlign w:val="bottom"/>
            <w:tcBorders>
              <w:top w:val="single" w:sz="8" w:color="CCEEFF"/>
            </w:tcBorders>
            <w:gridSpan w:val="7"/>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rPr>
              <w:t>Floor plan notes payable</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572,311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77,731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80,030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81,822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62,270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gridSpan w:val="9"/>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gridSpan w:val="9"/>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823,368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788,446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341,999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37,638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123,654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123,756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0" w:type="dxa"/>
            <w:vAlign w:val="bottom"/>
            <w:gridSpan w:val="9"/>
          </w:tcPr>
          <w:p>
            <w:pPr>
              <w:ind w:left="140"/>
              <w:spacing w:after="0" w:line="201" w:lineRule="exact"/>
              <w:rPr>
                <w:sz w:val="20"/>
                <w:szCs w:val="20"/>
                <w:color w:val="auto"/>
              </w:rPr>
            </w:pPr>
            <w:r>
              <w:rPr>
                <w:rFonts w:ascii="Arial" w:cs="Arial" w:eastAsia="Arial" w:hAnsi="Arial"/>
                <w:sz w:val="18"/>
                <w:szCs w:val="18"/>
                <w:color w:val="auto"/>
                <w:w w:val="93"/>
              </w:rPr>
              <w:t>Preferred stock, par value $.01 per share; 1,000,000 shares authorized; 0 shares outstanding in 2013 and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3"/>
          </w:tcPr>
          <w:p>
            <w:pPr>
              <w:ind w:left="340"/>
              <w:spacing w:after="0"/>
              <w:rPr>
                <w:sz w:val="20"/>
                <w:szCs w:val="20"/>
                <w:color w:val="auto"/>
              </w:rPr>
            </w:pPr>
            <w:r>
              <w:rPr>
                <w:rFonts w:ascii="Arial" w:cs="Arial" w:eastAsia="Arial" w:hAnsi="Arial"/>
                <w:sz w:val="18"/>
                <w:szCs w:val="18"/>
                <w:color w:val="auto"/>
              </w:rPr>
              <w:t>2012</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0" w:type="dxa"/>
            <w:vAlign w:val="bottom"/>
            <w:gridSpan w:val="9"/>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Common stock, par value $.01 per share; 60,000,000 class A shares and 20,000,000 class B shares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w w:val="89"/>
              </w:rPr>
              <w:t>authorized; 28,766,938 class A shares and 10,753,909 class B shares outstanding in 2013; and 27,999,068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rPr>
              <w:t>class A shares and 10,792,223 class B shares outstanding in 2012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237,608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222,627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rPr>
              <w:t>Treasury stock, at cost: 1,745,128 class B shares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(20,220)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423,798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404,619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Borders>
              <w:top w:val="single" w:sz="8" w:color="CCEEFF"/>
            </w:tcBorders>
            <w:gridSpan w:val="9"/>
          </w:tcPr>
          <w:p>
            <w:pPr>
              <w:ind w:left="14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640,167</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607,946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1,972,240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1,881,566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3" w:name="page4"/>
    <w:bookmarkEnd w:id="3"/>
    <w:p>
      <w:pPr>
        <w:jc w:val="center"/>
        <w:spacing w:after="0" w:line="262"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New and used truck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508,194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598,220</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997,804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1,150,148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Parts and service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242,928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Lease and rental</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31,358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23,433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61,498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46,909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and insurance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789,674</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835,844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1,546,462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New and used truck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473,153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559,017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925,727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Parts and service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298,162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Lease and rental</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26,384</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51,097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39,580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products sold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651,986</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706,208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1,274,986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1,355,277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137,688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129,636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271,476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257,896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91,683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14,369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11,789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31,966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36,402</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61,346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28,559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31,409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5,632</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19,179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33,328</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39,552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39,337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40,581</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39,544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40,446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5,785</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17,428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19,502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19,179</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33,328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44,228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deferred income tax</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(2,138)</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(44,330)</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(167,630)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19,552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(14,725)</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36,067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36,730</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(82,532)</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(78,516)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Business acquisitions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(3,528)</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(85,794)</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(78,154)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65,651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63,914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(45,585)</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(6,446)</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53,825</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198,773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207,775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203,534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line="195"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20"/>
              <w:spacing w:after="0" w:line="195" w:lineRule="exact"/>
              <w:rPr>
                <w:sz w:val="20"/>
                <w:szCs w:val="20"/>
                <w:color w:val="auto"/>
              </w:rPr>
            </w:pPr>
            <w:r>
              <w:rPr>
                <w:rFonts w:ascii="Arial" w:cs="Arial" w:eastAsia="Arial" w:hAnsi="Arial"/>
                <w:sz w:val="18"/>
                <w:szCs w:val="18"/>
                <w:color w:val="auto"/>
              </w:rPr>
              <w:t>Income taxes, net of refunds</w:t>
            </w:r>
          </w:p>
        </w:tc>
        <w:tc>
          <w:tcPr>
            <w:tcW w:w="340" w:type="dxa"/>
            <w:vAlign w:val="bottom"/>
            <w:tcBorders>
              <w:bottom w:val="single" w:sz="8" w:color="auto"/>
            </w:tcBorders>
            <w:shd w:val="clear" w:color="auto" w:fill="CCEEFF"/>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1,360</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ind w:left="140"/>
              <w:spacing w:after="0" w:line="195" w:lineRule="exact"/>
              <w:rPr>
                <w:sz w:val="20"/>
                <w:szCs w:val="20"/>
                <w:color w:val="auto"/>
              </w:rPr>
            </w:pPr>
            <w:r>
              <w:rPr>
                <w:rFonts w:ascii="Arial" w:cs="Arial" w:eastAsia="Arial" w:hAnsi="Arial"/>
                <w:sz w:val="18"/>
                <w:szCs w:val="18"/>
                <w:color w:val="auto"/>
              </w:rPr>
              <w:t>Noncash 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8" w:lineRule="exact"/>
        <w:rPr>
          <w:sz w:val="20"/>
          <w:szCs w:val="20"/>
          <w:color w:val="auto"/>
        </w:rPr>
      </w:pPr>
    </w:p>
    <w:p>
      <w:pPr>
        <w:jc w:val="both"/>
        <w:ind w:right="20" w:firstLine="646"/>
        <w:spacing w:after="0" w:line="289"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2012. Results of operations for interim periods are not necessarily indicative of results that may be expected for any other interim periods or the full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8"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The total capitalized costs of the SAP enterprise software and SAP dealership management system of $40.3 million, including capitalized interest, are recorded on the Consolidated Balance Sheet in Other Assets, net of accumulated amortization of $5.5 million. The SAP software will be amortized over a period of 15 years. The Company is currently operating 35 Rush Truck Centers and all of its leasing operations on the SAP enterprise software and SAP dealership management system, which represent approximately 47% of total revenue for the six months ended June 30, 2013. The Company plans to convert all of its current Rush Truck Centers to the SAP enterprise software and SAP dealership management system by the end of 2014.</w:t>
      </w:r>
    </w:p>
    <w:p>
      <w:pPr>
        <w:spacing w:after="0" w:line="19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Amortization expense relating to the SAP software, was $0.7 million for the three months ended June 30, 2013 and $0.7 million for the three months ended June 30, 2012, and $1.5 million for the six months ended June 30, 2013, and $1.4 million for the six months ended June 30, 2012, and is recognized in depreciation and amortization expense in the Consolidated Statement of Income.</w:t>
      </w:r>
    </w:p>
    <w:p>
      <w:pPr>
        <w:spacing w:after="0" w:line="210"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The Company’s only significant identifiable intangible assets, other than goodwill, are rights under franchise agreements with manufacturers. The fair market value of the Company’s manufacturer franchise rights of $4.5 million,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 would be able to renew those agreements in the ordinary course of business. Accordingly, the Company does not amortize manufacturer franchise rights.</w:t>
      </w:r>
    </w:p>
    <w:p>
      <w:pPr>
        <w:spacing w:after="0" w:line="178"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Due to the fact that manufacturer franchise rights are specific to a geographic region, the company has determined that the geographic region is the appropriate level for purposes of testing franchise rights for impairment. Management reviews indefinite lived manufacturer franchise rights for impairment annually during the fourth quarter, or more often if events or circumstances indicate that impairment may have occurred. The Company is subject to financial statement risk to the extent that manufacturer franchise rights become impaired due to decreases in fair market value of its individual franchises.</w:t>
      </w:r>
    </w:p>
    <w:p>
      <w:pPr>
        <w:spacing w:after="0" w:line="188"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are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606" w:right="619" w:bottom="1440" w:gutter="0" w:footer="0" w:header="0"/>
        </w:sectPr>
      </w:pPr>
    </w:p>
    <w:bookmarkStart w:id="6" w:name="page7"/>
    <w:bookmarkEnd w:id="6"/>
    <w:p>
      <w:pPr>
        <w:jc w:val="both"/>
        <w:ind w:right="380" w:firstLine="646"/>
        <w:spacing w:after="0" w:line="262" w:lineRule="auto"/>
        <w:rPr>
          <w:sz w:val="20"/>
          <w:szCs w:val="20"/>
          <w:color w:val="auto"/>
        </w:rPr>
      </w:pPr>
      <w:r>
        <w:rPr>
          <w:rFonts w:ascii="Arial" w:cs="Arial" w:eastAsia="Arial" w:hAnsi="Arial"/>
          <w:sz w:val="18"/>
          <w:szCs w:val="18"/>
          <w:color w:val="auto"/>
        </w:rPr>
        <w:t>No impairment write down was required for manufacturer franchise rights in the fourth quarter of 2012. Management is not aware of any impairment charge that may currently be required; however, the Company cannot predict the occurrence of certain events that might adversely affect the reported value of manufacturer franchise rights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55" w:lineRule="exact"/>
        <w:rPr>
          <w:sz w:val="20"/>
          <w:szCs w:val="20"/>
          <w:color w:val="auto"/>
        </w:rPr>
      </w:pPr>
    </w:p>
    <w:p>
      <w:pPr>
        <w:jc w:val="both"/>
        <w:ind w:right="400" w:firstLine="646"/>
        <w:spacing w:after="0" w:line="290"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20" w:lineRule="exact"/>
        <w:rPr>
          <w:sz w:val="20"/>
          <w:szCs w:val="20"/>
          <w:color w:val="auto"/>
        </w:rPr>
      </w:pPr>
    </w:p>
    <w:p>
      <w:pPr>
        <w:jc w:val="both"/>
        <w:ind w:right="380" w:firstLine="646"/>
        <w:spacing w:after="0" w:line="295" w:lineRule="auto"/>
        <w:rPr>
          <w:sz w:val="20"/>
          <w:szCs w:val="20"/>
          <w:color w:val="auto"/>
        </w:rPr>
      </w:pPr>
      <w:r>
        <w:rPr>
          <w:rFonts w:ascii="Arial" w:cs="Arial" w:eastAsia="Arial" w:hAnsi="Arial"/>
          <w:sz w:val="16"/>
          <w:szCs w:val="16"/>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 and Comprehensive Income for the three months and six months ended June 30, 2013. The current portion of the accrual for the unpaid retirement pay and benefits of $0.9 million is a component of accrued liabilities and the long-term portion of the accrual for the unpaid retirement pay and benefits of $2.7 million is a component of other long-term liabilities in the Consolidated Balance Sheet as of June 30,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8"/>
              </w:rPr>
              <w:t>Numerator for basic and diluted earnings per share – Net income available to</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common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19,179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33,328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8"/>
              </w:rPr>
              <w:t>Denominator– Denominator for basic earnings per share – weighted average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shares outstanding</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39,552</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38,675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39,337</w:t>
            </w: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38,531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Effect of dilutive securities– Employee and director stock options and restricted</w:t>
            </w: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awards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24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40,581</w:t>
            </w:r>
          </w:p>
        </w:tc>
        <w:tc>
          <w:tcPr>
            <w:tcW w:w="28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39,544</w:t>
            </w:r>
          </w:p>
        </w:tc>
        <w:tc>
          <w:tcPr>
            <w:tcW w:w="2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40,446</w:t>
            </w:r>
          </w:p>
        </w:tc>
        <w:tc>
          <w:tcPr>
            <w:tcW w:w="28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39,605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40" w:type="dxa"/>
            <w:vAlign w:val="bottom"/>
          </w:tcPr>
          <w:p>
            <w:pPr>
              <w:ind w:left="320"/>
              <w:spacing w:after="0" w:line="189" w:lineRule="exact"/>
              <w:rPr>
                <w:sz w:val="20"/>
                <w:szCs w:val="20"/>
                <w:color w:val="auto"/>
              </w:rPr>
            </w:pPr>
            <w:r>
              <w:rPr>
                <w:rFonts w:ascii="Arial" w:cs="Arial" w:eastAsia="Arial" w:hAnsi="Arial"/>
                <w:sz w:val="18"/>
                <w:szCs w:val="18"/>
                <w:color w:val="auto"/>
              </w:rPr>
              <w:t>outstanding and assumed conversions</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0" w:firstLine="646"/>
        <w:spacing w:after="0" w:line="306" w:lineRule="auto"/>
        <w:rPr>
          <w:sz w:val="20"/>
          <w:szCs w:val="20"/>
          <w:color w:val="auto"/>
        </w:rPr>
      </w:pPr>
      <w:r>
        <w:rPr>
          <w:rFonts w:ascii="Arial" w:cs="Arial" w:eastAsia="Arial" w:hAnsi="Arial"/>
          <w:sz w:val="17"/>
          <w:szCs w:val="17"/>
          <w:color w:val="auto"/>
        </w:rPr>
        <w:t>Options to purchase shares of common stock that were outstanding for the three months and six months ended June 30, 2013 and 2012 that were not included in the computation of diluted earnings per share because the effect would have been anti-dilutive are as follows:</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8"/>
                <w:szCs w:val="18"/>
                <w:color w:val="auto"/>
              </w:rPr>
            </w:pPr>
          </w:p>
        </w:tc>
        <w:tc>
          <w:tcPr>
            <w:tcW w:w="2380" w:type="dxa"/>
            <w:vAlign w:val="bottom"/>
            <w:gridSpan w:val="4"/>
          </w:tcPr>
          <w:p>
            <w:pPr>
              <w:ind w:left="52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8"/>
                <w:szCs w:val="18"/>
                <w:color w:val="auto"/>
              </w:rPr>
            </w:pPr>
          </w:p>
        </w:tc>
      </w:tr>
      <w:tr>
        <w:trPr>
          <w:trHeight w:val="230"/>
        </w:trPr>
        <w:tc>
          <w:tcPr>
            <w:tcW w:w="5760" w:type="dxa"/>
            <w:vAlign w:val="bottom"/>
          </w:tcPr>
          <w:p>
            <w:pPr>
              <w:spacing w:after="0"/>
              <w:rPr>
                <w:sz w:val="19"/>
                <w:szCs w:val="19"/>
                <w:color w:val="auto"/>
              </w:rPr>
            </w:pPr>
          </w:p>
        </w:tc>
        <w:tc>
          <w:tcPr>
            <w:tcW w:w="15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w w:val="95"/>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76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r>
      <w:tr>
        <w:trPr>
          <w:trHeight w:val="209"/>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924,158</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1,373,860</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924,158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1,126,795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Total anti-dilutive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924,158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1,373,860</w:t>
            </w:r>
          </w:p>
        </w:tc>
        <w:tc>
          <w:tcPr>
            <w:tcW w:w="1500" w:type="dxa"/>
            <w:vAlign w:val="bottom"/>
            <w:gridSpan w:val="3"/>
          </w:tcPr>
          <w:p>
            <w:pPr>
              <w:ind w:left="700"/>
              <w:spacing w:after="0"/>
              <w:rPr>
                <w:sz w:val="20"/>
                <w:szCs w:val="20"/>
                <w:color w:val="auto"/>
              </w:rPr>
            </w:pPr>
            <w:r>
              <w:rPr>
                <w:rFonts w:ascii="Arial" w:cs="Arial" w:eastAsia="Arial" w:hAnsi="Arial"/>
                <w:sz w:val="18"/>
                <w:szCs w:val="18"/>
                <w:color w:val="auto"/>
              </w:rPr>
              <w:t>924,158</w:t>
            </w:r>
          </w:p>
        </w:tc>
        <w:tc>
          <w:tcPr>
            <w:tcW w:w="2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1,126,795</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w:t>
      </w:r>
    </w:p>
    <w:p>
      <w:pPr>
        <w:spacing w:after="0" w:line="34"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color w:val="auto"/>
        </w:rPr>
        <w:t>–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$2.3 million for the three months ended June 30, 2013, and $1.7 million for the three months ended June 30, 2012. Stock-based compensation expense, included in selling, general and administrative expense, for the six months ended June 30, 2013, was $5.5 million and for the six months ended June 30, 2012, was $4.8 million. As of June 30, 2013, there was $15.7 million of total unrecognized compensation cost related to non-vested share-based compensation arrangements to be recognized over a weighted-average period of 2.4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610" w:right="239" w:bottom="1137"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82"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The carrying value of current assets and current liabilities approximates the fair value due to the short maturity of these items.</w:t>
      </w:r>
    </w:p>
    <w:p>
      <w:pPr>
        <w:spacing w:after="0" w:line="240"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6"/>
        <w:spacing w:after="0" w:line="262"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83" w:lineRule="exact"/>
        <w:rPr>
          <w:sz w:val="20"/>
          <w:szCs w:val="20"/>
          <w:color w:val="auto"/>
        </w:rPr>
      </w:pPr>
    </w:p>
    <w:p>
      <w:pPr>
        <w:jc w:val="both"/>
        <w:ind w:right="20" w:firstLine="646"/>
        <w:spacing w:after="0" w:line="300"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7" w:lineRule="exact"/>
        <w:rPr>
          <w:sz w:val="20"/>
          <w:szCs w:val="20"/>
          <w:color w:val="auto"/>
        </w:rPr>
      </w:pPr>
    </w:p>
    <w:p>
      <w:pPr>
        <w:jc w:val="both"/>
        <w:ind w:right="20" w:firstLine="646"/>
        <w:spacing w:after="0" w:line="256"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firstLine="646"/>
        <w:spacing w:after="0" w:line="340" w:lineRule="auto"/>
        <w:rPr>
          <w:sz w:val="20"/>
          <w:szCs w:val="20"/>
          <w:color w:val="auto"/>
        </w:rPr>
      </w:pPr>
      <w:r>
        <w:rPr>
          <w:rFonts w:ascii="Arial" w:cs="Arial" w:eastAsia="Arial" w:hAnsi="Arial"/>
          <w:sz w:val="16"/>
          <w:szCs w:val="16"/>
          <w:color w:val="auto"/>
        </w:rPr>
        <w:t>As of June 30, 2013, the Company held auction rate securities with underlying tax-exempt municipal bonds that mature in 2030 that have a fair value of $6.6 million and a cost basis of $7.6 million. These bonds have credit wrap insurance and a credit rating of A2 by a major credit rating agency.</w:t>
      </w:r>
    </w:p>
    <w:p>
      <w:pPr>
        <w:spacing w:after="0" w:line="125"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color w:val="auto"/>
        </w:rPr>
        <w:t>The Company valued the auction rate securities at June 30, 2013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19"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The Company recorded a pre-tax impairment charge of $1.0 million on these investments in 2011. The Company believes that the impairment is temporary and has included the impairment in accumulated other comprehensive loss.</w:t>
      </w:r>
    </w:p>
    <w:p>
      <w:pPr>
        <w:spacing w:after="0" w:line="200" w:lineRule="exact"/>
        <w:rPr>
          <w:sz w:val="20"/>
          <w:szCs w:val="20"/>
          <w:color w:val="auto"/>
        </w:rPr>
      </w:pPr>
    </w:p>
    <w:p>
      <w:pPr>
        <w:spacing w:after="0" w:line="21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606" w:right="619" w:bottom="1440" w:gutter="0" w:footer="0" w:header="0"/>
        </w:sectPr>
      </w:pPr>
    </w:p>
    <w:bookmarkStart w:id="8" w:name="page9"/>
    <w:bookmarkEnd w:id="8"/>
    <w:p>
      <w:pPr>
        <w:ind w:right="420" w:firstLine="646"/>
        <w:spacing w:after="0" w:line="276"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b w:val="1"/>
                <w:bCs w:val="1"/>
                <w:color w:val="auto"/>
                <w:w w:val="90"/>
              </w:rPr>
              <w:t>At June 30, 2013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jc w:val="right"/>
              <w:spacing w:after="0" w:line="190" w:lineRule="exact"/>
              <w:rPr>
                <w:sz w:val="20"/>
                <w:szCs w:val="20"/>
                <w:color w:val="auto"/>
              </w:rPr>
            </w:pPr>
            <w:r>
              <w:rPr>
                <w:rFonts w:ascii="Arial" w:cs="Arial" w:eastAsia="Arial" w:hAnsi="Arial"/>
                <w:sz w:val="18"/>
                <w:szCs w:val="18"/>
                <w:b w:val="1"/>
                <w:bCs w:val="1"/>
                <w:color w:val="auto"/>
              </w:rPr>
              <w:t>Fair Value Estimated Using</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Cost Basis</w:t>
            </w:r>
          </w:p>
        </w:tc>
        <w:tc>
          <w:tcPr>
            <w:tcW w:w="2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 1</w:t>
            </w:r>
          </w:p>
        </w:tc>
        <w:tc>
          <w:tcPr>
            <w:tcW w:w="2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2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Level 3</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Inputs</w:t>
            </w:r>
          </w:p>
        </w:tc>
        <w:tc>
          <w:tcPr>
            <w:tcW w:w="24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5"/>
              </w:rPr>
              <w: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3"/>
                <w:szCs w:val="13"/>
                <w:color w:val="auto"/>
                <w:w w:val="78"/>
              </w:rPr>
              <w:t>−</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8"/>
                <w:szCs w:val="18"/>
                <w:color w:val="auto"/>
              </w:rPr>
            </w:pPr>
          </w:p>
        </w:tc>
      </w:tr>
      <w:tr>
        <w:trPr>
          <w:trHeight w:val="431"/>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b w:val="1"/>
                <w:bCs w:val="1"/>
                <w:color w:val="auto"/>
                <w:w w:val="90"/>
              </w:rPr>
              <w:t>At December 31, 2012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jc w:val="right"/>
              <w:spacing w:after="0" w:line="190" w:lineRule="exact"/>
              <w:rPr>
                <w:sz w:val="20"/>
                <w:szCs w:val="20"/>
                <w:color w:val="auto"/>
              </w:rPr>
            </w:pPr>
            <w:r>
              <w:rPr>
                <w:rFonts w:ascii="Arial" w:cs="Arial" w:eastAsia="Arial" w:hAnsi="Arial"/>
                <w:sz w:val="18"/>
                <w:szCs w:val="18"/>
                <w:b w:val="1"/>
                <w:bCs w:val="1"/>
                <w:color w:val="auto"/>
              </w:rPr>
              <w:t>Fair Value Estimated Using</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Cost Basis</w:t>
            </w:r>
          </w:p>
        </w:tc>
        <w:tc>
          <w:tcPr>
            <w:tcW w:w="2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 1</w:t>
            </w:r>
          </w:p>
        </w:tc>
        <w:tc>
          <w:tcPr>
            <w:tcW w:w="2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2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Level 3</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Inputs</w:t>
            </w:r>
          </w:p>
        </w:tc>
        <w:tc>
          <w:tcPr>
            <w:tcW w:w="24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5"/>
              </w:rPr>
              <w: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3"/>
                <w:szCs w:val="13"/>
                <w:color w:val="auto"/>
                <w:w w:val="78"/>
              </w:rPr>
              <w:t>−</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4" w:lineRule="exact"/>
        <w:rPr>
          <w:sz w:val="20"/>
          <w:szCs w:val="20"/>
          <w:color w:val="auto"/>
        </w:rPr>
      </w:pPr>
    </w:p>
    <w:p>
      <w:pPr>
        <w:jc w:val="both"/>
        <w:ind w:right="340" w:firstLine="646"/>
        <w:spacing w:after="0" w:line="254"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93" w:lineRule="exact"/>
        <w:rPr>
          <w:sz w:val="20"/>
          <w:szCs w:val="20"/>
          <w:color w:val="auto"/>
        </w:rPr>
      </w:pPr>
    </w:p>
    <w:p>
      <w:pPr>
        <w:jc w:val="both"/>
        <w:ind w:right="340" w:firstLine="646"/>
        <w:spacing w:after="0" w:line="272" w:lineRule="auto"/>
        <w:rPr>
          <w:sz w:val="20"/>
          <w:szCs w:val="20"/>
          <w:color w:val="auto"/>
        </w:rPr>
      </w:pPr>
      <w:r>
        <w:rPr>
          <w:rFonts w:ascii="Arial" w:cs="Arial" w:eastAsia="Arial" w:hAnsi="Arial"/>
          <w:sz w:val="17"/>
          <w:szCs w:val="17"/>
          <w:color w:val="auto"/>
        </w:rPr>
        <w:t>At June 30, 2013, the Company had an aggregate $40.0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quarters ended June 30, 2013 and June 30, 2012.</w:t>
      </w:r>
    </w:p>
    <w:p>
      <w:pPr>
        <w:spacing w:after="0" w:line="200" w:lineRule="exact"/>
        <w:rPr>
          <w:sz w:val="20"/>
          <w:szCs w:val="20"/>
          <w:color w:val="auto"/>
        </w:rPr>
      </w:pPr>
    </w:p>
    <w:p>
      <w:pPr>
        <w:spacing w:after="0" w:line="220" w:lineRule="exact"/>
        <w:rPr>
          <w:sz w:val="20"/>
          <w:szCs w:val="20"/>
          <w:color w:val="auto"/>
        </w:rPr>
      </w:pPr>
    </w:p>
    <w:p>
      <w:pPr>
        <w:jc w:val="both"/>
        <w:ind w:right="340" w:firstLine="646"/>
        <w:spacing w:after="0" w:line="258" w:lineRule="auto"/>
        <w:rPr>
          <w:sz w:val="20"/>
          <w:szCs w:val="20"/>
          <w:color w:val="auto"/>
        </w:rPr>
      </w:pPr>
      <w:r>
        <w:rPr>
          <w:rFonts w:ascii="Arial" w:cs="Arial" w:eastAsia="Arial" w:hAnsi="Arial"/>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$1.4 million, excluding accrued interest, as of June 30, 2013. The carrying value of these swaps is included in Other Long-Term Liabilities on the accompanying Consolidated Balance Sheet as of June 30, 2013.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2013 the Company was party to derivative financial instruments, as described in the following table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Fixed Interest</w:t>
            </w:r>
          </w:p>
        </w:tc>
        <w:tc>
          <w:tcPr>
            <w:tcW w:w="140" w:type="dxa"/>
            <w:vAlign w:val="bottom"/>
          </w:tcPr>
          <w:p>
            <w:pPr>
              <w:spacing w:after="0"/>
              <w:rPr>
                <w:sz w:val="18"/>
                <w:szCs w:val="18"/>
                <w:color w:val="auto"/>
              </w:rPr>
            </w:pPr>
          </w:p>
        </w:tc>
        <w:tc>
          <w:tcPr>
            <w:tcW w:w="1800" w:type="dxa"/>
            <w:vAlign w:val="bottom"/>
          </w:tcPr>
          <w:p>
            <w:pPr>
              <w:ind w:left="460"/>
              <w:spacing w:after="0"/>
              <w:rPr>
                <w:sz w:val="20"/>
                <w:szCs w:val="20"/>
                <w:color w:val="auto"/>
              </w:rPr>
            </w:pPr>
            <w:r>
              <w:rPr>
                <w:rFonts w:ascii="Arial" w:cs="Arial" w:eastAsia="Arial" w:hAnsi="Arial"/>
                <w:sz w:val="18"/>
                <w:szCs w:val="18"/>
                <w:b w:val="1"/>
                <w:bCs w:val="1"/>
                <w:color w:val="auto"/>
              </w:rPr>
              <w:t>Underlying</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19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Agreement</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Notional Amount</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Fair Value</w:t>
            </w:r>
          </w:p>
        </w:tc>
        <w:tc>
          <w:tcPr>
            <w:tcW w:w="500" w:type="dxa"/>
            <w:vAlign w:val="bottom"/>
          </w:tcPr>
          <w:p>
            <w:pPr>
              <w:spacing w:after="0"/>
              <w:rPr>
                <w:sz w:val="20"/>
                <w:szCs w:val="20"/>
                <w:color w:val="auto"/>
              </w:rPr>
            </w:pPr>
          </w:p>
        </w:tc>
      </w:tr>
      <w:tr>
        <w:trPr>
          <w:trHeight w:val="209"/>
        </w:trPr>
        <w:tc>
          <w:tcPr>
            <w:tcW w:w="460" w:type="dxa"/>
            <w:vAlign w:val="bottom"/>
          </w:tcPr>
          <w:p>
            <w:pPr>
              <w:spacing w:after="0"/>
              <w:rPr>
                <w:sz w:val="18"/>
                <w:szCs w:val="18"/>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5.075%</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3 month LIBOR</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4,032</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5.075%</w:t>
            </w:r>
          </w:p>
        </w:tc>
        <w:tc>
          <w:tcPr>
            <w:tcW w:w="14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w w:val="93"/>
              </w:rPr>
              <w:t>3 month LIBOR</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1,351</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5,443</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768</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7,424</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50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2,573</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9"/>
                <w:szCs w:val="19"/>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w w:val="93"/>
              </w:rPr>
              <w:t>1 month LIBOR</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9"/>
                <w:szCs w:val="19"/>
                <w:color w:val="auto"/>
              </w:rPr>
            </w:pPr>
          </w:p>
        </w:tc>
      </w:tr>
      <w:tr>
        <w:trPr>
          <w:trHeight w:val="685"/>
        </w:trPr>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right"/>
              <w:ind w:right="16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4"/>
        </w:trPr>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0"/>
        </w:trPr>
        <w:tc>
          <w:tcPr>
            <w:tcW w:w="46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0" w:right="19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Fair values of derivative instruments are on the accompanying Consolidated Balance Sheet (in thousands):</w:t>
      </w: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2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0"/>
              </w:rPr>
              <w:t>Derivative Liabilities Designated as Hedging Instruments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Fair Value at</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auto"/>
            </w:tcBorders>
            <w:gridSpan w:val="5"/>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June 30, 2013</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December 31, 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w w:val="84"/>
              </w:rPr>
              <w:t>1,389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85"/>
              </w:rPr>
              <w:t>Loss Reclassified</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8"/>
              </w:rPr>
              <w:t>Gain (Loss) Recognized in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1"/>
              </w:rPr>
              <w:t>from Accumulated</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OCI on Derivatives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1"/>
              </w:rPr>
              <w:t>(Effective Portion)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(Effective Portion)</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0"/>
              </w:rPr>
              <w:t>during the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w w:val="90"/>
              </w:rPr>
              <w:t>during the</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000" w:type="dxa"/>
            <w:vAlign w:val="bottom"/>
          </w:tcPr>
          <w:p>
            <w:pPr>
              <w:jc w:val="center"/>
              <w:ind w:left="450"/>
              <w:spacing w:after="0"/>
              <w:rPr>
                <w:sz w:val="20"/>
                <w:szCs w:val="20"/>
                <w:color w:val="auto"/>
              </w:rPr>
            </w:pPr>
            <w:r>
              <w:rPr>
                <w:rFonts w:ascii="Arial" w:cs="Arial" w:eastAsia="Arial" w:hAnsi="Arial"/>
                <w:sz w:val="18"/>
                <w:szCs w:val="18"/>
                <w:b w:val="1"/>
                <w:bCs w:val="1"/>
                <w:color w:val="auto"/>
                <w:w w:val="87"/>
              </w:rPr>
              <w:t>Location of Loss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0" w:lineRule="exact"/>
              <w:rPr>
                <w:sz w:val="20"/>
                <w:szCs w:val="20"/>
                <w:color w:val="auto"/>
              </w:rPr>
            </w:pPr>
            <w:r>
              <w:rPr>
                <w:rFonts w:ascii="Arial" w:cs="Arial" w:eastAsia="Arial" w:hAnsi="Arial"/>
                <w:sz w:val="18"/>
                <w:szCs w:val="18"/>
                <w:b w:val="1"/>
                <w:bCs w:val="1"/>
                <w:color w:val="auto"/>
                <w:w w:val="88"/>
              </w:rPr>
              <w:t>June 30,</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50"/>
              <w:spacing w:after="0" w:line="190"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2000" w:type="dxa"/>
            <w:vAlign w:val="bottom"/>
          </w:tcPr>
          <w:p>
            <w:pPr>
              <w:jc w:val="center"/>
              <w:ind w:left="470"/>
              <w:spacing w:after="0" w:line="190" w:lineRule="exact"/>
              <w:rPr>
                <w:sz w:val="20"/>
                <w:szCs w:val="20"/>
                <w:color w:val="auto"/>
              </w:rPr>
            </w:pPr>
            <w:r>
              <w:rPr>
                <w:rFonts w:ascii="Arial" w:cs="Arial" w:eastAsia="Arial" w:hAnsi="Arial"/>
                <w:sz w:val="18"/>
                <w:szCs w:val="18"/>
                <w:b w:val="1"/>
                <w:bCs w:val="1"/>
                <w:color w:val="auto"/>
                <w:w w:val="86"/>
              </w:rPr>
              <w:t>Reclassified into</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gridSpan w:val="5"/>
          </w:tcPr>
          <w:p>
            <w:pPr>
              <w:jc w:val="center"/>
              <w:ind w:right="240"/>
              <w:spacing w:after="0" w:line="190"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10"/>
              <w:spacing w:after="0" w:line="190"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00" w:type="dxa"/>
            <w:vAlign w:val="bottom"/>
          </w:tcPr>
          <w:p>
            <w:pPr>
              <w:jc w:val="center"/>
              <w:ind w:left="47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Pr>
          <w:p>
            <w:pPr>
              <w:spacing w:after="0"/>
              <w:rPr>
                <w:sz w:val="20"/>
                <w:szCs w:val="20"/>
                <w:color w:val="auto"/>
              </w:rPr>
            </w:pPr>
          </w:p>
        </w:tc>
        <w:tc>
          <w:tcPr>
            <w:tcW w:w="134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Interest Expense</w:t>
            </w: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(85)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85"/>
              </w:rPr>
              <w:t>Loss Reclassified</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8"/>
              </w:rPr>
              <w:t>Gain (Loss) Recognized in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1"/>
              </w:rPr>
              <w:t>from Accumulated</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OCI on Derivatives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1"/>
              </w:rPr>
              <w:t>(Effective Portion)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(Effective Portion)</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0"/>
              </w:rPr>
              <w:t>during the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w w:val="90"/>
              </w:rPr>
              <w:t>during the</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5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2000" w:type="dxa"/>
            <w:vAlign w:val="bottom"/>
          </w:tcPr>
          <w:p>
            <w:pPr>
              <w:jc w:val="center"/>
              <w:ind w:left="450"/>
              <w:spacing w:after="0"/>
              <w:rPr>
                <w:sz w:val="20"/>
                <w:szCs w:val="20"/>
                <w:color w:val="auto"/>
              </w:rPr>
            </w:pPr>
            <w:r>
              <w:rPr>
                <w:rFonts w:ascii="Arial" w:cs="Arial" w:eastAsia="Arial" w:hAnsi="Arial"/>
                <w:sz w:val="18"/>
                <w:szCs w:val="18"/>
                <w:b w:val="1"/>
                <w:bCs w:val="1"/>
                <w:color w:val="auto"/>
                <w:w w:val="87"/>
              </w:rPr>
              <w:t>Location of Loss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0" w:lineRule="exact"/>
              <w:rPr>
                <w:sz w:val="20"/>
                <w:szCs w:val="20"/>
                <w:color w:val="auto"/>
              </w:rPr>
            </w:pPr>
            <w:r>
              <w:rPr>
                <w:rFonts w:ascii="Arial" w:cs="Arial" w:eastAsia="Arial" w:hAnsi="Arial"/>
                <w:sz w:val="18"/>
                <w:szCs w:val="18"/>
                <w:b w:val="1"/>
                <w:bCs w:val="1"/>
                <w:color w:val="auto"/>
                <w:w w:val="88"/>
              </w:rPr>
              <w:t>June 30,</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50"/>
              <w:spacing w:after="0" w:line="190"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2000" w:type="dxa"/>
            <w:vAlign w:val="bottom"/>
          </w:tcPr>
          <w:p>
            <w:pPr>
              <w:jc w:val="center"/>
              <w:ind w:left="470"/>
              <w:spacing w:after="0" w:line="190" w:lineRule="exact"/>
              <w:rPr>
                <w:sz w:val="20"/>
                <w:szCs w:val="20"/>
                <w:color w:val="auto"/>
              </w:rPr>
            </w:pPr>
            <w:r>
              <w:rPr>
                <w:rFonts w:ascii="Arial" w:cs="Arial" w:eastAsia="Arial" w:hAnsi="Arial"/>
                <w:sz w:val="18"/>
                <w:szCs w:val="18"/>
                <w:b w:val="1"/>
                <w:bCs w:val="1"/>
                <w:color w:val="auto"/>
                <w:w w:val="86"/>
              </w:rPr>
              <w:t>Reclassified into</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gridSpan w:val="5"/>
          </w:tcPr>
          <w:p>
            <w:pPr>
              <w:jc w:val="center"/>
              <w:ind w:right="240"/>
              <w:spacing w:after="0" w:line="190"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10"/>
              <w:spacing w:after="0" w:line="190"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gridSpan w:val="2"/>
          </w:tcPr>
          <w:p>
            <w:pPr>
              <w:jc w:val="center"/>
              <w:ind w:left="213"/>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8"/>
              </w:rPr>
              <w:t>Interest Expense</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3"/>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82" w:lineRule="exact"/>
        <w:rPr>
          <w:sz w:val="20"/>
          <w:szCs w:val="20"/>
          <w:color w:val="auto"/>
        </w:rPr>
      </w:pPr>
    </w:p>
    <w:p>
      <w:pPr>
        <w:jc w:val="both"/>
        <w:ind w:right="460" w:firstLine="646"/>
        <w:spacing w:after="0" w:line="272"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78" w:lineRule="exact"/>
        <w:rPr>
          <w:sz w:val="20"/>
          <w:szCs w:val="20"/>
          <w:color w:val="auto"/>
        </w:rPr>
      </w:pPr>
    </w:p>
    <w:p>
      <w:pPr>
        <w:jc w:val="both"/>
        <w:ind w:right="460" w:firstLine="646"/>
        <w:spacing w:after="0" w:line="258"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jc w:val="right"/>
        <w:spacing w:after="0"/>
        <w:rPr>
          <w:sz w:val="20"/>
          <w:szCs w:val="20"/>
          <w:color w:val="auto"/>
        </w:rPr>
      </w:pPr>
      <w:r>
        <w:rPr>
          <w:rFonts w:ascii="Arial" w:cs="Arial" w:eastAsia="Arial" w:hAnsi="Arial"/>
          <w:sz w:val="18"/>
          <w:szCs w:val="18"/>
          <w:color w:val="auto"/>
        </w:rPr>
        <w:t>Th</w:t>
      </w:r>
    </w:p>
    <w:p>
      <w:pPr>
        <w:spacing w:after="0" w:line="8"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following table contains summarized information about reportable segment revenue, segment income or loss from continuing operations and segment assets for the periods ended June 30, 2013 and 2012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Truck Segment</w:t>
            </w:r>
          </w:p>
        </w:tc>
        <w:tc>
          <w:tcPr>
            <w:tcW w:w="22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June 30, 2013</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784,573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8,943</w:t>
            </w: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26,688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1,972,240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six months ended June 30, 2013</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1,536,803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31,091</w:t>
            </w: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31,409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2012</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830,773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5,071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835,844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28,574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Segment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1,858,045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27,396</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1,885,441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As of and for the six months ended June 30, 2012</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1,603,681</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9,492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1,613,173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54,817</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80" w:firstLine="646"/>
        <w:spacing w:after="0" w:line="262"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500"/>
          </w:cols>
          <w:pgMar w:left="240" w:top="610" w:right="159" w:bottom="128"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 Income Taxes</w:t>
      </w:r>
    </w:p>
    <w:p>
      <w:pPr>
        <w:spacing w:after="0" w:line="228" w:lineRule="exact"/>
        <w:rPr>
          <w:sz w:val="20"/>
          <w:szCs w:val="20"/>
          <w:color w:val="auto"/>
        </w:rPr>
      </w:pPr>
    </w:p>
    <w:p>
      <w:pPr>
        <w:jc w:val="both"/>
        <w:ind w:right="420" w:firstLine="646"/>
        <w:spacing w:after="0" w:line="254" w:lineRule="auto"/>
        <w:rPr>
          <w:sz w:val="20"/>
          <w:szCs w:val="20"/>
          <w:color w:val="auto"/>
        </w:rPr>
      </w:pPr>
      <w:r>
        <w:rPr>
          <w:rFonts w:ascii="Arial" w:cs="Arial" w:eastAsia="Arial" w:hAnsi="Arial"/>
          <w:sz w:val="18"/>
          <w:szCs w:val="18"/>
          <w:color w:val="auto"/>
        </w:rPr>
        <w:t>The Company included accruals for unrecognized income tax benefits totaling $1.4 million as a component of accrued liabilities as of June 30, 2013, and $1.3 million as of June 30, 2012. Unrecognized tax benefits of $1.0 million at June 30, 2013, and $1.3 million as of June 30, 2012, if recognized, would impact the Company’s effective tax rate. An unfavorable settlement could require a charge to income tax expense and a favorable resolution would be recognized as a reduction to income tax expense. The Company records interest and penalties related to unrecognized income tax benefits in income tax expense. The Company had accrued interest of $49,000 at June 30, 2013 and $51,000 at June 30, 2012 related to unrecognized tax benefits. No amounts were accrued for penalties.</w:t>
      </w:r>
    </w:p>
    <w:p>
      <w:pPr>
        <w:spacing w:after="0" w:line="193" w:lineRule="exact"/>
        <w:rPr>
          <w:sz w:val="20"/>
          <w:szCs w:val="20"/>
          <w:color w:val="auto"/>
        </w:rPr>
      </w:pPr>
    </w:p>
    <w:p>
      <w:pPr>
        <w:jc w:val="both"/>
        <w:ind w:right="420" w:firstLine="646"/>
        <w:spacing w:after="0" w:line="262"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2013, the tax years ended December 31, 2009 through 2012 remained subject to audit by federal tax authorities and the tax years ended December 31, 2008 through 2012, remained subject to audit by state tax authorities.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w:t>
      </w:r>
    </w:p>
    <w:p>
      <w:pPr>
        <w:spacing w:after="0" w:line="228" w:lineRule="exact"/>
        <w:rPr>
          <w:sz w:val="20"/>
          <w:szCs w:val="20"/>
          <w:color w:val="auto"/>
        </w:rPr>
      </w:pPr>
    </w:p>
    <w:p>
      <w:pPr>
        <w:jc w:val="both"/>
        <w:ind w:right="420" w:firstLine="646"/>
        <w:spacing w:after="0" w:line="254" w:lineRule="auto"/>
        <w:rPr>
          <w:sz w:val="20"/>
          <w:szCs w:val="20"/>
          <w:color w:val="auto"/>
        </w:rPr>
      </w:pPr>
      <w:r>
        <w:rPr>
          <w:rFonts w:ascii="Arial" w:cs="Arial" w:eastAsia="Arial" w:hAnsi="Arial"/>
          <w:sz w:val="18"/>
          <w:szCs w:val="18"/>
          <w:color w:val="auto"/>
        </w:rPr>
        <w:t>In February 2013, the FASB issued guidance requiring entities to provide information about the amounts reclassified out of accumulated other comprehensive income (“AOCI”) by component. In addition, it requires entities to present, either on the face of the financial statement where net income is presented or in the notes, significant amounts reclassified out of AOCI by the respective line items of net income if the amount reclassified is required under GAAP to be reclassified to net income in its entirety in the same reporting period. This guidance is effective prospectively for annual and interim reporting periods beginning after December 15, 2012, with early adoption permitted. The amounts required to be disclosed under this guidance are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net of tax,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Available for Sale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Cash Flow Swaps</w:t>
            </w:r>
          </w:p>
        </w:tc>
        <w:tc>
          <w:tcPr>
            <w:tcW w:w="10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340" w:type="dxa"/>
            <w:vAlign w:val="bottom"/>
          </w:tcPr>
          <w:p>
            <w:pPr>
              <w:spacing w:after="0"/>
              <w:rPr>
                <w:sz w:val="19"/>
                <w:szCs w:val="19"/>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r>
      <w:tr>
        <w:trPr>
          <w:trHeight w:val="209"/>
        </w:trPr>
        <w:tc>
          <w:tcPr>
            <w:tcW w:w="30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Changes in fair value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2013</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Changes in fair value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2013</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Pr>
          <w:p>
            <w:pPr>
              <w:spacing w:after="0"/>
              <w:rPr>
                <w:sz w:val="21"/>
                <w:szCs w:val="21"/>
                <w:color w:val="auto"/>
              </w:rPr>
            </w:pPr>
          </w:p>
        </w:tc>
      </w:tr>
      <w:tr>
        <w:trPr>
          <w:trHeight w:val="653"/>
        </w:trPr>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4"/>
        </w:trPr>
        <w:tc>
          <w:tcPr>
            <w:tcW w:w="3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0"/>
        </w:trPr>
        <w:tc>
          <w:tcPr>
            <w:tcW w:w="300" w:type="dxa"/>
            <w:vAlign w:val="bottom"/>
            <w:shd w:val="clear" w:color="auto" w:fill="808080"/>
          </w:tcPr>
          <w:p>
            <w:pPr>
              <w:spacing w:after="0"/>
              <w:rPr>
                <w:sz w:val="5"/>
                <w:szCs w:val="5"/>
                <w:color w:val="auto"/>
              </w:rPr>
            </w:pPr>
          </w:p>
        </w:tc>
        <w:tc>
          <w:tcPr>
            <w:tcW w:w="50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6"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09"/>
        </w:trPr>
        <w:tc>
          <w:tcPr>
            <w:tcW w:w="5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5"/>
              </w:rPr>
              <w:t>June 30, 2013</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June 30, 2012</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5"/>
              </w:rPr>
              <w:t>June 30, 2013</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June 30, 2012</w:t>
            </w:r>
          </w:p>
        </w:tc>
        <w:tc>
          <w:tcPr>
            <w:tcW w:w="100" w:type="dxa"/>
            <w:vAlign w:val="bottom"/>
          </w:tcPr>
          <w:p>
            <w:pPr>
              <w:spacing w:after="0"/>
              <w:rPr>
                <w:sz w:val="18"/>
                <w:szCs w:val="18"/>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09"/>
        </w:trPr>
        <w:tc>
          <w:tcPr>
            <w:tcW w:w="5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Acquisitions</w:t>
      </w:r>
    </w:p>
    <w:p>
      <w:pPr>
        <w:spacing w:after="0" w:line="228" w:lineRule="exact"/>
        <w:rPr>
          <w:sz w:val="20"/>
          <w:szCs w:val="20"/>
          <w:color w:val="auto"/>
        </w:rPr>
      </w:pPr>
    </w:p>
    <w:p>
      <w:pPr>
        <w:jc w:val="both"/>
        <w:ind w:right="80" w:firstLine="646"/>
        <w:spacing w:after="0" w:line="276" w:lineRule="auto"/>
        <w:rPr>
          <w:sz w:val="20"/>
          <w:szCs w:val="20"/>
          <w:color w:val="auto"/>
        </w:rPr>
      </w:pPr>
      <w:r>
        <w:rPr>
          <w:rFonts w:ascii="Arial" w:cs="Arial" w:eastAsia="Arial" w:hAnsi="Arial"/>
          <w:sz w:val="18"/>
          <w:szCs w:val="18"/>
          <w:color w:val="auto"/>
        </w:rPr>
        <w:t>On May 6, 2013, the Company acquired certain assets of Piedmont International Trucks, LLC, which operated commercial truck dealerships in Statesville, Hickory and Asheville, North Carolina. The acquisition included International and Idealease franchises.</w:t>
      </w:r>
    </w:p>
    <w:p>
      <w:pPr>
        <w:spacing w:after="0" w:line="170" w:lineRule="exact"/>
        <w:rPr>
          <w:sz w:val="20"/>
          <w:szCs w:val="20"/>
          <w:color w:val="auto"/>
        </w:rPr>
      </w:pPr>
    </w:p>
    <w:p>
      <w:pPr>
        <w:jc w:val="both"/>
        <w:ind w:right="80" w:firstLine="646"/>
        <w:spacing w:after="0" w:line="300" w:lineRule="auto"/>
        <w:rPr>
          <w:sz w:val="20"/>
          <w:szCs w:val="20"/>
          <w:color w:val="auto"/>
        </w:rPr>
      </w:pPr>
      <w:r>
        <w:rPr>
          <w:rFonts w:ascii="Arial" w:cs="Arial" w:eastAsia="Arial" w:hAnsi="Arial"/>
          <w:sz w:val="16"/>
          <w:szCs w:val="16"/>
          <w:color w:val="auto"/>
        </w:rPr>
        <w:t>These locations are operating as Rush Truck Centers and offer commercial vehicles manufactured by International in addition to parts, service, body shop, leasing, financing and insurance capabilities. The transaction was valued at approximately $3.5 million, with the purchase price paid in cash. The operations of Piedmont International Trucks, LLC are included in the accompanying consolidated financial statements from the date of the acquisition. The preliminary purchase price was allocated based on the fair values of the assets at the date of acquisition as follows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09"/>
        </w:trPr>
        <w:tc>
          <w:tcPr>
            <w:tcW w:w="20" w:type="dxa"/>
            <w:vAlign w:val="bottom"/>
          </w:tcPr>
          <w:p>
            <w:pPr>
              <w:spacing w:after="0"/>
              <w:rPr>
                <w:sz w:val="18"/>
                <w:szCs w:val="18"/>
                <w:color w:val="auto"/>
              </w:rPr>
            </w:pPr>
          </w:p>
        </w:tc>
        <w:tc>
          <w:tcPr>
            <w:tcW w:w="7480" w:type="dxa"/>
            <w:vAlign w:val="bottom"/>
            <w:tcBorders>
              <w:top w:val="single" w:sz="8" w:color="CCEEFF"/>
            </w:tcBorders>
          </w:tcPr>
          <w:p>
            <w:pPr>
              <w:ind w:left="144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8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80" w:firstLine="646"/>
        <w:spacing w:after="0" w:line="262"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Pro forma information is not included in accordance with ASC 805 since the acquisition was not considered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Subsequent Event</w:t>
      </w:r>
    </w:p>
    <w:p>
      <w:pPr>
        <w:spacing w:after="0" w:line="228" w:lineRule="exact"/>
        <w:rPr>
          <w:sz w:val="20"/>
          <w:szCs w:val="20"/>
          <w:color w:val="auto"/>
        </w:rPr>
      </w:pPr>
    </w:p>
    <w:p>
      <w:pPr>
        <w:jc w:val="both"/>
        <w:ind w:right="80" w:firstLine="646"/>
        <w:spacing w:after="0" w:line="272" w:lineRule="auto"/>
        <w:rPr>
          <w:sz w:val="20"/>
          <w:szCs w:val="20"/>
          <w:color w:val="auto"/>
        </w:rPr>
      </w:pPr>
      <w:r>
        <w:rPr>
          <w:rFonts w:ascii="Arial" w:cs="Arial" w:eastAsia="Arial" w:hAnsi="Arial"/>
          <w:sz w:val="17"/>
          <w:szCs w:val="17"/>
          <w:color w:val="auto"/>
        </w:rPr>
        <w:t>On July 11, 2013, the Company entered into the third amendment to its $600.0 million amended and restated credit agreement with GE Capital. The amendment increases the aggregate loan commitment to $750.0 million. Borrowings under the amended credit agreement will now bear interest per annum, payable monthly, at the three month LIBOR rate, determined on the last day of the prior month, plus 2.03%. In addition, the Company is required to pay to the lenders a monthly working capital fee equal to 0.35% per annum multiplied by the amount of voluntary prepayments of new and used inventory loans. Pursuant to the third amendment, the credit agreement expires July 11, 2016, although GE Capital has the right to terminate the credit agreement at any time upon 120 days written notice.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120"/>
          </w:cols>
          <w:pgMar w:left="240" w:top="610" w:right="5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8"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2012,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95"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1" w:lineRule="exact"/>
        <w:rPr>
          <w:sz w:val="20"/>
          <w:szCs w:val="20"/>
          <w:color w:val="auto"/>
        </w:rPr>
      </w:pPr>
    </w:p>
    <w:p>
      <w:pPr>
        <w:jc w:val="both"/>
        <w:ind w:firstLine="646"/>
        <w:spacing w:after="0" w:line="213"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Kenworth</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Caterpillar,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Eaton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Eaton Corporation. Arvin Meritor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Meritor Technology</w:t>
      </w:r>
      <w:r>
        <w:rPr>
          <w:rFonts w:ascii="Arial" w:cs="Arial" w:eastAsia="Arial" w:hAnsi="Arial"/>
          <w:sz w:val="16"/>
          <w:szCs w:val="16"/>
          <w:color w:val="auto"/>
        </w:rPr>
        <w:t>,</w:t>
      </w:r>
      <w:r>
        <w:rPr>
          <w:rFonts w:ascii="Arial" w:cs="Arial" w:eastAsia="Arial" w:hAnsi="Arial"/>
          <w:sz w:val="16"/>
          <w:szCs w:val="16"/>
          <w:i w:val="1"/>
          <w:iCs w:val="1"/>
          <w:color w:val="auto"/>
        </w:rPr>
        <w:t xml:space="preserve"> Inc. JPMorgan Chase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Autocar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Shem, LLC.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Collins Bus Corporation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Collins Bus Corporation.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Micro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Body Company. Allison Transmission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Allison Transmission, Inc.</w:t>
      </w:r>
    </w:p>
    <w:p>
      <w:pPr>
        <w:spacing w:after="0" w:line="3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606" w:right="6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83"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17"/>
          <w:szCs w:val="17"/>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76"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84 Rush Truck Centers in 17 states.</w:t>
      </w:r>
    </w:p>
    <w:p>
      <w:pPr>
        <w:spacing w:after="0" w:line="170"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expand product lines and extend our geographic reach through strategic acquisitions and expansion in our existing areas of responsibility.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8" w:lineRule="exact"/>
        <w:rPr>
          <w:sz w:val="20"/>
          <w:szCs w:val="20"/>
          <w:color w:val="auto"/>
        </w:rPr>
      </w:pPr>
    </w:p>
    <w:p>
      <w:pPr>
        <w:jc w:val="both"/>
        <w:ind w:right="40" w:firstLine="646"/>
        <w:spacing w:after="0" w:line="254"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4" w:lineRule="exact"/>
        <w:rPr>
          <w:sz w:val="20"/>
          <w:szCs w:val="20"/>
          <w:color w:val="auto"/>
        </w:rPr>
      </w:pPr>
    </w:p>
    <w:p>
      <w:pPr>
        <w:jc w:val="both"/>
        <w:ind w:right="20" w:firstLine="646"/>
        <w:spacing w:after="0" w:line="278" w:lineRule="auto"/>
        <w:rPr>
          <w:sz w:val="20"/>
          <w:szCs w:val="20"/>
          <w:color w:val="auto"/>
        </w:rPr>
      </w:pPr>
      <w:r>
        <w:rPr>
          <w:rFonts w:ascii="Arial" w:cs="Arial" w:eastAsia="Arial" w:hAnsi="Arial"/>
          <w:sz w:val="17"/>
          <w:szCs w:val="17"/>
          <w:color w:val="auto"/>
        </w:rPr>
        <w:t>Inventories are stated at the lower of cost or market value. Cost is determined by specific identification of new and used commercial vehicles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70" w:lineRule="exact"/>
        <w:rPr>
          <w:sz w:val="20"/>
          <w:szCs w:val="20"/>
          <w:color w:val="auto"/>
        </w:rPr>
      </w:pPr>
    </w:p>
    <w:p>
      <w:pPr>
        <w:jc w:val="both"/>
        <w:ind w:right="20" w:firstLine="646"/>
        <w:spacing w:after="0" w:line="292" w:lineRule="auto"/>
        <w:rPr>
          <w:sz w:val="20"/>
          <w:szCs w:val="20"/>
          <w:color w:val="auto"/>
        </w:rPr>
      </w:pPr>
      <w:r>
        <w:rPr>
          <w:rFonts w:ascii="Arial" w:cs="Arial" w:eastAsia="Arial" w:hAnsi="Arial"/>
          <w:sz w:val="16"/>
          <w:szCs w:val="16"/>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64" w:lineRule="exact"/>
        <w:rPr>
          <w:sz w:val="20"/>
          <w:szCs w:val="20"/>
          <w:color w:val="auto"/>
        </w:rPr>
      </w:pPr>
    </w:p>
    <w:p>
      <w:pPr>
        <w:jc w:val="both"/>
        <w:ind w:right="40" w:firstLine="646"/>
        <w:spacing w:after="0" w:line="290"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579" w:right="599" w:bottom="1440" w:gutter="0" w:footer="0" w:header="0"/>
        </w:sectPr>
      </w:pPr>
    </w:p>
    <w:bookmarkStart w:id="14" w:name="page15"/>
    <w:bookmarkEnd w:id="14"/>
    <w:p>
      <w:pPr>
        <w:jc w:val="both"/>
        <w:ind w:right="20" w:firstLine="646"/>
        <w:spacing w:after="0" w:line="276"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170" w:lineRule="exact"/>
        <w:rPr>
          <w:sz w:val="20"/>
          <w:szCs w:val="20"/>
          <w:color w:val="auto"/>
        </w:rPr>
      </w:pPr>
    </w:p>
    <w:p>
      <w:pPr>
        <w:jc w:val="both"/>
        <w:ind w:firstLine="646"/>
        <w:spacing w:after="0" w:line="295" w:lineRule="auto"/>
        <w:rPr>
          <w:sz w:val="20"/>
          <w:szCs w:val="20"/>
          <w:color w:val="auto"/>
        </w:rPr>
      </w:pPr>
      <w:r>
        <w:rPr>
          <w:rFonts w:ascii="Arial" w:cs="Arial" w:eastAsia="Arial" w:hAnsi="Arial"/>
          <w:sz w:val="16"/>
          <w:szCs w:val="16"/>
          <w:color w:val="auto"/>
        </w:rPr>
        <w:t>The Company does not believe there is a reasonable likelihood that there will be a material change in the future estimates or assumptions it used to test for impairment losses on goodwill in the near term.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4"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76"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4" w:lineRule="exact"/>
        <w:rPr>
          <w:sz w:val="20"/>
          <w:szCs w:val="20"/>
          <w:color w:val="auto"/>
        </w:rPr>
      </w:pPr>
    </w:p>
    <w:p>
      <w:pPr>
        <w:jc w:val="both"/>
        <w:ind w:right="20" w:firstLine="646"/>
        <w:spacing w:after="0" w:line="272"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232"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25"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610" w:right="61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4" w:lineRule="exact"/>
        <w:rPr>
          <w:sz w:val="20"/>
          <w:szCs w:val="20"/>
          <w:color w:val="auto"/>
        </w:rPr>
      </w:pPr>
    </w:p>
    <w:p>
      <w:pPr>
        <w:jc w:val="both"/>
        <w:ind w:firstLine="646"/>
        <w:spacing w:after="0" w:line="310" w:lineRule="auto"/>
        <w:rPr>
          <w:sz w:val="20"/>
          <w:szCs w:val="20"/>
          <w:color w:val="auto"/>
        </w:rPr>
      </w:pPr>
      <w:r>
        <w:rPr>
          <w:rFonts w:ascii="Arial" w:cs="Arial" w:eastAsia="Arial" w:hAnsi="Arial"/>
          <w:sz w:val="16"/>
          <w:szCs w:val="16"/>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restricted stock and restricted stock units and employee stock purchases under the Employee Stock Purchase Plan based on estimated fair values.</w:t>
      </w:r>
    </w:p>
    <w:p>
      <w:pPr>
        <w:spacing w:after="0" w:line="148" w:lineRule="exact"/>
        <w:rPr>
          <w:sz w:val="20"/>
          <w:szCs w:val="20"/>
          <w:color w:val="auto"/>
        </w:rPr>
      </w:pPr>
    </w:p>
    <w:p>
      <w:pPr>
        <w:jc w:val="both"/>
        <w:ind w:right="20" w:firstLine="646"/>
        <w:spacing w:after="0" w:line="262"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24" w:lineRule="exact"/>
        <w:rPr>
          <w:sz w:val="20"/>
          <w:szCs w:val="20"/>
          <w:color w:val="auto"/>
        </w:rPr>
      </w:pPr>
    </w:p>
    <w:p>
      <w:pPr>
        <w:jc w:val="both"/>
        <w:ind w:right="20" w:firstLine="646"/>
        <w:spacing w:after="0" w:line="258"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21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610" w:right="6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ind w:right="440" w:firstLine="646"/>
        <w:spacing w:after="0" w:line="276"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2013 and 2012.</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620" w:type="dxa"/>
            <w:vAlign w:val="bottom"/>
            <w:gridSpan w:val="3"/>
          </w:tcPr>
          <w:p>
            <w:pPr>
              <w:ind w:left="360"/>
              <w:spacing w:after="0"/>
              <w:rPr>
                <w:sz w:val="20"/>
                <w:szCs w:val="20"/>
                <w:color w:val="auto"/>
              </w:rPr>
            </w:pPr>
            <w:r>
              <w:rPr>
                <w:rFonts w:ascii="Arial" w:cs="Arial" w:eastAsia="Arial" w:hAnsi="Arial"/>
                <w:sz w:val="18"/>
                <w:szCs w:val="18"/>
                <w:color w:val="auto"/>
                <w:w w:val="92"/>
              </w:rPr>
              <w:t>The following table sets forth certain financial data as a percentage of total revenues: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0"/>
        </w:trPr>
        <w:tc>
          <w:tcPr>
            <w:tcW w:w="5180" w:type="dxa"/>
            <w:vAlign w:val="bottom"/>
          </w:tcPr>
          <w:p>
            <w:pPr>
              <w:spacing w:after="0"/>
              <w:rPr>
                <w:sz w:val="24"/>
                <w:szCs w:val="24"/>
                <w:color w:val="auto"/>
              </w:rPr>
            </w:pPr>
          </w:p>
        </w:tc>
        <w:tc>
          <w:tcPr>
            <w:tcW w:w="28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5"/>
              </w:rPr>
              <w:t>Three Months Ended June 30,</w:t>
            </w:r>
          </w:p>
        </w:tc>
        <w:tc>
          <w:tcPr>
            <w:tcW w:w="27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09"/>
        </w:trPr>
        <w:tc>
          <w:tcPr>
            <w:tcW w:w="5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New and used truck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71.3%</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Parts and service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Lease and rental</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160" w:type="dxa"/>
            <w:vAlign w:val="bottom"/>
          </w:tcPr>
          <w:p>
            <w:pPr>
              <w:jc w:val="right"/>
              <w:spacing w:after="0"/>
              <w:rPr>
                <w:sz w:val="20"/>
                <w:szCs w:val="20"/>
                <w:color w:val="auto"/>
              </w:rPr>
            </w:pPr>
            <w:r>
              <w:rPr>
                <w:rFonts w:ascii="Arial" w:cs="Arial" w:eastAsia="Arial" w:hAnsi="Arial"/>
                <w:sz w:val="18"/>
                <w:szCs w:val="18"/>
                <w:color w:val="auto"/>
              </w:rPr>
              <w:t>82.6</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84.5</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82.5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0"/>
        </w:trPr>
        <w:tc>
          <w:tcPr>
            <w:tcW w:w="5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8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1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59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r>
      <w:tr>
        <w:trPr>
          <w:trHeight w:val="936"/>
        </w:trPr>
        <w:tc>
          <w:tcPr>
            <w:tcW w:w="300" w:type="dxa"/>
            <w:vAlign w:val="bottom"/>
          </w:tcPr>
          <w:p>
            <w:pPr>
              <w:spacing w:after="0"/>
              <w:rPr>
                <w:sz w:val="24"/>
                <w:szCs w:val="24"/>
                <w:color w:val="auto"/>
              </w:rPr>
            </w:pPr>
          </w:p>
        </w:tc>
        <w:tc>
          <w:tcPr>
            <w:tcW w:w="518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17</w:t>
            </w: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04"/>
        </w:trPr>
        <w:tc>
          <w:tcPr>
            <w:tcW w:w="300" w:type="dxa"/>
            <w:vAlign w:val="bottom"/>
          </w:tcPr>
          <w:p>
            <w:pPr>
              <w:spacing w:after="0"/>
              <w:rPr>
                <w:sz w:val="9"/>
                <w:szCs w:val="9"/>
                <w:color w:val="auto"/>
              </w:rPr>
            </w:pPr>
          </w:p>
        </w:tc>
        <w:tc>
          <w:tcPr>
            <w:tcW w:w="5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0"/>
        </w:trPr>
        <w:tc>
          <w:tcPr>
            <w:tcW w:w="30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6" w:right="199" w:bottom="1440" w:gutter="0" w:footer="0" w:header="0"/>
        </w:sectPr>
      </w:pPr>
    </w:p>
    <w:bookmarkStart w:id="17" w:name="page18"/>
    <w:bookmarkEnd w:id="17"/>
    <w:p>
      <w:pPr>
        <w:ind w:right="640" w:firstLine="646"/>
        <w:spacing w:after="0" w:line="276"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Six Months Ended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2,088</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2,813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4,153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2,141</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New light-duty vehicles</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343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Total new vehicle unit sales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5,297</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Used vehicles</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1,518</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1,242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Vehicle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New heavy-duty vehicles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395.3</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579.9</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New medium-duty vehicles</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137.4</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135.8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New light-duty vehicles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16.66</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Total new vehicle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878.7</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1,036.2</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3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29"/>
                <w:szCs w:val="29"/>
                <w:b w:val="1"/>
                <w:bCs w:val="1"/>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ratio:</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4" w:lineRule="exact"/>
        <w:rPr>
          <w:sz w:val="20"/>
          <w:szCs w:val="20"/>
          <w:color w:val="auto"/>
        </w:rPr>
      </w:pPr>
    </w:p>
    <w:p>
      <w:pPr>
        <w:jc w:val="both"/>
        <w:ind w:right="460" w:firstLine="646"/>
        <w:spacing w:after="0" w:line="290" w:lineRule="auto"/>
        <w:rPr>
          <w:sz w:val="20"/>
          <w:szCs w:val="20"/>
          <w:color w:val="auto"/>
        </w:rPr>
      </w:pPr>
      <w:r>
        <w:rPr>
          <w:rFonts w:ascii="Arial" w:cs="Arial" w:eastAsia="Arial" w:hAnsi="Arial"/>
          <w:sz w:val="16"/>
          <w:szCs w:val="16"/>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ratio was approximately 80%. The Company has made a concerted effort to increase its absorption ratio since 1999. The Company’s truck dealerships achieved a 114.9% absorption ratio for the second quarter of 2013 and 117.7% absorption ratio for the second quarter in 2012.</w:t>
      </w:r>
    </w:p>
    <w:p>
      <w:pPr>
        <w:spacing w:after="0" w:line="166" w:lineRule="exact"/>
        <w:rPr>
          <w:sz w:val="20"/>
          <w:szCs w:val="20"/>
          <w:color w:val="auto"/>
        </w:rPr>
      </w:pPr>
    </w:p>
    <w:p>
      <w:pPr>
        <w:jc w:val="both"/>
        <w:ind w:right="440" w:firstLine="646"/>
        <w:spacing w:after="0" w:line="306" w:lineRule="auto"/>
        <w:rPr>
          <w:sz w:val="20"/>
          <w:szCs w:val="20"/>
          <w:color w:val="auto"/>
        </w:rPr>
      </w:pPr>
      <w:r>
        <w:rPr>
          <w:rFonts w:ascii="Arial" w:cs="Arial" w:eastAsia="Arial" w:hAnsi="Arial"/>
          <w:sz w:val="17"/>
          <w:szCs w:val="17"/>
          <w:color w:val="auto"/>
        </w:rPr>
        <w:t>Our absorption ratio decreased approximately 2.4% from the second quarter of 2012 due to a decrease in energy sector activity and the acquisition of nine dealerships in Ohio on December 31, 2012, which operated with absorption ratios well below the Company average.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Compared to Three Months Ended June 30, 2012</w:t>
      </w:r>
    </w:p>
    <w:p>
      <w:pPr>
        <w:spacing w:after="0" w:line="228" w:lineRule="exact"/>
        <w:rPr>
          <w:sz w:val="20"/>
          <w:szCs w:val="20"/>
          <w:color w:val="auto"/>
        </w:rPr>
      </w:pPr>
    </w:p>
    <w:p>
      <w:pPr>
        <w:jc w:val="both"/>
        <w:ind w:right="460" w:firstLine="646"/>
        <w:spacing w:after="0" w:line="276" w:lineRule="auto"/>
        <w:rPr>
          <w:sz w:val="20"/>
          <w:szCs w:val="20"/>
          <w:color w:val="auto"/>
        </w:rPr>
      </w:pPr>
      <w:r>
        <w:rPr>
          <w:rFonts w:ascii="Arial" w:cs="Arial" w:eastAsia="Arial" w:hAnsi="Arial"/>
          <w:sz w:val="18"/>
          <w:szCs w:val="18"/>
          <w:color w:val="auto"/>
        </w:rPr>
        <w:t>The Company’s financial performance was directly impacted by decreases in U.S. retail sales of Class 8 trucks and increased overhead related to substantial investments made to support the continued growth of its organization.</w:t>
      </w:r>
    </w:p>
    <w:p>
      <w:pPr>
        <w:spacing w:after="0" w:line="170" w:lineRule="exact"/>
        <w:rPr>
          <w:sz w:val="20"/>
          <w:szCs w:val="20"/>
          <w:color w:val="auto"/>
        </w:rPr>
      </w:pPr>
    </w:p>
    <w:p>
      <w:pPr>
        <w:jc w:val="both"/>
        <w:ind w:right="440" w:firstLine="646"/>
        <w:spacing w:after="0" w:line="295" w:lineRule="auto"/>
        <w:rPr>
          <w:sz w:val="20"/>
          <w:szCs w:val="20"/>
          <w:color w:val="auto"/>
        </w:rPr>
      </w:pPr>
      <w:r>
        <w:rPr>
          <w:rFonts w:ascii="Arial" w:cs="Arial" w:eastAsia="Arial" w:hAnsi="Arial"/>
          <w:sz w:val="16"/>
          <w:szCs w:val="16"/>
          <w:color w:val="auto"/>
        </w:rPr>
        <w:t>Parts, service and body shop revenues continue to be driven by strong demand for maintenance and repair from its customers. The Company continually works to expand its network of service points throughout the country and its portfolio of aftermarket solutions, such as its RushCare call center, mobile service and mobile technicians, natural gas vehicle service, oil and coolant diagnostic services and vehicle up-fitting, among others. Additionally, the Company is investing in facility upgrades, diagnostic equipment and technology that will enhance its customer’s service experience and provide service when and where customers need it. The Company expects parts, service and body shop revenues to remain strong throughout 2013.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80"/>
          </w:cols>
          <w:pgMar w:left="240" w:top="610" w:right="179" w:bottom="1440" w:gutter="0" w:footer="0" w:header="0"/>
        </w:sectPr>
      </w:pPr>
    </w:p>
    <w:bookmarkStart w:id="18" w:name="page19"/>
    <w:bookmarkEnd w:id="18"/>
    <w:p>
      <w:pPr>
        <w:jc w:val="both"/>
        <w:ind w:right="20" w:firstLine="646"/>
        <w:spacing w:after="0" w:line="276" w:lineRule="auto"/>
        <w:rPr>
          <w:sz w:val="20"/>
          <w:szCs w:val="20"/>
          <w:color w:val="auto"/>
        </w:rPr>
      </w:pPr>
      <w:r>
        <w:rPr>
          <w:rFonts w:ascii="Arial" w:cs="Arial" w:eastAsia="Arial" w:hAnsi="Arial"/>
          <w:sz w:val="18"/>
          <w:szCs w:val="18"/>
          <w:color w:val="auto"/>
        </w:rPr>
        <w:t>The Company continued to implement its strategy to extend its geographic footprint this quarter, completing an acquisition in North Carolina and entering purchase agreements with two dealer groups to acquire locations in Kansas, Missouri and Virginia.</w:t>
      </w:r>
    </w:p>
    <w:p>
      <w:pPr>
        <w:spacing w:after="0" w:line="197" w:lineRule="exact"/>
        <w:rPr>
          <w:sz w:val="20"/>
          <w:szCs w:val="20"/>
          <w:color w:val="auto"/>
        </w:rPr>
      </w:pPr>
    </w:p>
    <w:p>
      <w:pPr>
        <w:jc w:val="both"/>
        <w:ind w:right="40" w:firstLine="646"/>
        <w:spacing w:after="0" w:line="256" w:lineRule="auto"/>
        <w:rPr>
          <w:sz w:val="20"/>
          <w:szCs w:val="20"/>
          <w:color w:val="auto"/>
        </w:rPr>
      </w:pPr>
      <w:r>
        <w:rPr>
          <w:rFonts w:ascii="Arial" w:cs="Arial" w:eastAsia="Arial" w:hAnsi="Arial"/>
          <w:sz w:val="18"/>
          <w:szCs w:val="18"/>
          <w:color w:val="auto"/>
        </w:rPr>
        <w:t>The Company signed a definitive asset purchase agreement with Midwest Truck Sales to acquire locations in St. Peters and St. Louis, Missouri and Olathe, Kansas. The Missouri operations offer truck sales, parts and service for International trucks and the Kansas location offers truck sales, parts and service capabilities for Hino and Isuzu trucks and parts and service support for Mitsubishi Fuso trucks. The Company also signed a definitive asset purchase agreement with TransAuthority to acquire full service International dealerships in Richmond and Suffolk, Virginia and parts and service locations in Fredericksburg and Chester, Virginia.</w:t>
      </w:r>
    </w:p>
    <w:p>
      <w:pPr>
        <w:spacing w:after="0" w:line="215" w:lineRule="exact"/>
        <w:rPr>
          <w:sz w:val="20"/>
          <w:szCs w:val="20"/>
          <w:color w:val="auto"/>
        </w:rPr>
      </w:pPr>
    </w:p>
    <w:p>
      <w:pPr>
        <w:jc w:val="both"/>
        <w:ind w:right="20" w:firstLine="646"/>
        <w:spacing w:after="0" w:line="285" w:lineRule="auto"/>
        <w:rPr>
          <w:sz w:val="20"/>
          <w:szCs w:val="20"/>
          <w:color w:val="auto"/>
        </w:rPr>
      </w:pPr>
      <w:r>
        <w:rPr>
          <w:rFonts w:ascii="Arial" w:cs="Arial" w:eastAsia="Arial" w:hAnsi="Arial"/>
          <w:sz w:val="17"/>
          <w:szCs w:val="17"/>
          <w:color w:val="auto"/>
        </w:rPr>
        <w:t>The Company completed the Midwest Truck Sales acquisition on July 29, 2013 and expects to complete the Virginia acquisition in the fall. The new acquisitions will also expand the Company’s Rush Truck Leasing capabilities with Idealease franchises in Missouri and Virginia. When complete, these acquisitions will extend the Company’s Navistar Division to 32 Rush Truck Centers and two collision centers in eight states.</w:t>
      </w:r>
    </w:p>
    <w:p>
      <w:pPr>
        <w:spacing w:after="0" w:line="192"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7"/>
          <w:szCs w:val="17"/>
          <w:color w:val="auto"/>
        </w:rPr>
        <w:t>The Company has a track record of growth through acquisitions and additions of dealerships within its current areas of responsibility. It now operates a network of 84 Rush Truck Centers across the United States. The Company believes that this geographic diversity positions the Company to more effectively withstand regional economic downturns and expand service capabilities to match the footprint of its customer base.</w:t>
      </w:r>
    </w:p>
    <w:p>
      <w:pPr>
        <w:spacing w:after="0" w:line="165" w:lineRule="exact"/>
        <w:rPr>
          <w:sz w:val="20"/>
          <w:szCs w:val="20"/>
          <w:color w:val="auto"/>
        </w:rPr>
      </w:pPr>
    </w:p>
    <w:p>
      <w:pPr>
        <w:jc w:val="both"/>
        <w:ind w:right="20" w:firstLine="646"/>
        <w:spacing w:after="0" w:line="278" w:lineRule="auto"/>
        <w:rPr>
          <w:sz w:val="20"/>
          <w:szCs w:val="20"/>
          <w:color w:val="auto"/>
        </w:rPr>
      </w:pPr>
      <w:r>
        <w:rPr>
          <w:rFonts w:ascii="Arial" w:cs="Arial" w:eastAsia="Arial" w:hAnsi="Arial"/>
          <w:sz w:val="17"/>
          <w:szCs w:val="17"/>
          <w:color w:val="auto"/>
        </w:rPr>
        <w:t>On July 11, 2013, the Company entered into the third amendment to its credit agreement with GE Capital. The amendment increases the aggregate loan commitment to $750.0 million. Borrowings under the amended credit agreement will now bear interest per annum, payable monthly, at the three month LIBOR rate, determined on the last day of the prior month, plus 2.03%. Pursuant to the third amendment, the credit agreement expires July 11, 2016, although GE Capital has the right to terminate the credit agreement at any time upon 120 days written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decreased $46.2 million, or 5.5%, in the second quarter of 2013 compared to the second quarter of 2012.</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Parts, service and body shop revenues increased $34.6 million, or 16.6%, in the second quarter of 2013 compared to the second quarter of 2012. This increase is the result of increased service needs of aging vehicles, expanded product and service offerings and the Company’s acquisition of nine dealerships in Ohio on December 31, 2012. The Company expects parts, service and body shop sales to continue to remain strong through 2013 and remains focused on expanding aftermarket product and service offerings.</w:t>
      </w:r>
    </w:p>
    <w:p>
      <w:pPr>
        <w:spacing w:after="0" w:line="187"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Revenues from sales of new and used commercial vehicles decreased $90.0 million, or 15.0%, in the second quarter of 2013 compared to the second quarter of 2012.</w:t>
      </w:r>
    </w:p>
    <w:p>
      <w:pPr>
        <w:spacing w:after="0" w:line="170" w:lineRule="exact"/>
        <w:rPr>
          <w:sz w:val="20"/>
          <w:szCs w:val="20"/>
          <w:color w:val="auto"/>
        </w:rPr>
      </w:pPr>
    </w:p>
    <w:p>
      <w:pPr>
        <w:jc w:val="both"/>
        <w:ind w:right="20" w:firstLine="646"/>
        <w:spacing w:after="0" w:line="271" w:lineRule="auto"/>
        <w:rPr>
          <w:sz w:val="20"/>
          <w:szCs w:val="20"/>
          <w:color w:val="auto"/>
        </w:rPr>
      </w:pPr>
      <w:r>
        <w:rPr>
          <w:rFonts w:ascii="Arial" w:cs="Arial" w:eastAsia="Arial" w:hAnsi="Arial"/>
          <w:sz w:val="17"/>
          <w:szCs w:val="17"/>
          <w:color w:val="auto"/>
        </w:rPr>
        <w:t>The Company sold 2,088 heavy-duty trucks in the second quarter of 2013, a 25.8% decrease compared to 2,813 heavy-duty trucks in the second quarter of 2012. According to A.C.T. Research Co., LLC (“A.C.T. Research”), a truck industry data and forecasting service provider, the U.S. Class 8 truck market decreased 11% in the second quarter of 2013 compared to the second quarter of 2012. A.C.T. Research currently predicts U.S. retail sales of Class 8 trucks of approximately 196,700 units in 2013, 227,000 units in 2014, and 213,000 units in 2015, compared to approximately 198,000 units in 2012. The Company’s share of the U.S. Class 8 truck sales market was approximately 5.0% in 2012. The Company expects its market share to range between 4.8% and 5.3% of U.S. Class 8 truck sales in 2013. This market share percentage would result in the sale of approximately 9,400 to 10,400 of Class 8 trucks in 2013 based on A.C.T. Research’s estimate of U.S. retail sales of 196,700 units.</w:t>
      </w:r>
    </w:p>
    <w:p>
      <w:pPr>
        <w:spacing w:after="0" w:line="178"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The Company sold 2,001 medium-duty commercial vehicles, including 276 buses, in the second quarter of 2013, a 6.5% decrease compared to 2,141 medium-duty commercial vehicles, including 141 buses, in 2012. A.C.T. Research estimates that unit sales of Class 4 through 7 commercial vehicles in the U.S. increased approximately 11% in the second quarter of 2013, compared to the second quarter of 2012. A.C.T. Research currently predicts U.S. retail sales of Class 4 through 7 medium-duty commercial vehicles of approximately 183,000 units in 2013, 197,000 units in 2014, and 210,000 in 2015. In 2012, the Company achieved a 4.3% share of the Class 4 through 7 commercial vehicle sales market in the U.S. The Company expects its market share to range between 4.1% and 4.6% of U.S. Class 4 through 7 commercial vehicle sales in 2013. This market share percentage would result in the sale of approximately 7,500 to 8,400 of Class 4 through 7 commercial vehicles in 2013 based on A.C.T. Research’s current U.S. retail sales estimates of 183,000 units.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610" w:right="599" w:bottom="1440" w:gutter="0" w:footer="0" w:header="0"/>
        </w:sectPr>
      </w:pPr>
    </w:p>
    <w:bookmarkStart w:id="19" w:name="page20"/>
    <w:bookmarkEnd w:id="19"/>
    <w:p>
      <w:pPr>
        <w:jc w:val="both"/>
        <w:ind w:firstLine="646"/>
        <w:spacing w:after="0" w:line="276" w:lineRule="auto"/>
        <w:rPr>
          <w:sz w:val="20"/>
          <w:szCs w:val="20"/>
          <w:color w:val="auto"/>
        </w:rPr>
      </w:pPr>
      <w:r>
        <w:rPr>
          <w:rFonts w:ascii="Arial" w:cs="Arial" w:eastAsia="Arial" w:hAnsi="Arial"/>
          <w:sz w:val="18"/>
          <w:szCs w:val="18"/>
          <w:color w:val="auto"/>
        </w:rPr>
        <w:t>The Company sold 534 light-duty vehicles in the second quarter of 2013, a 55.7% increase compared to 343 light-duty vehicles in the second quarter of 2012. The Company expects to sell 1,500 light-duty vehicles in 2013.</w:t>
      </w:r>
    </w:p>
    <w:p>
      <w:pPr>
        <w:spacing w:after="0" w:line="170"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Company sold 1,518 used commercial vehicles in the second quarter of 2013, a 22.2% increase compared to 1,242 used commercial vehicles in the second quarter of 2012. The Company expects to sell 5,500 to 6,000 used commercial vehicles in 2013. The volume of used commercial vehicle sales will be largely dependent upon our ability to acquire quality used commercial vehicles and maintain an adequate used commercial vehicle inventory throughout 2013.</w:t>
      </w:r>
    </w:p>
    <w:p>
      <w:pPr>
        <w:spacing w:after="0" w:line="187"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Truck lease and rental revenues increased $7.9 million, or 33.8%, in the second quarter of 2013 compared to the second quarter of 2012. The increase in lease and rental revenue is primarily due to the increased number of units put into service in the lease and rental fleet during 2012 and the Ohio acquisition that occurred in the fourth quarter of 2012. The Company expects lease and rental revenue to increase 30% to 35% during 2013, compared to 2012.</w:t>
      </w:r>
    </w:p>
    <w:p>
      <w:pPr>
        <w:spacing w:after="0" w:line="187" w:lineRule="exact"/>
        <w:rPr>
          <w:sz w:val="20"/>
          <w:szCs w:val="20"/>
          <w:color w:val="auto"/>
        </w:rPr>
      </w:pPr>
    </w:p>
    <w:p>
      <w:pPr>
        <w:jc w:val="both"/>
        <w:ind w:firstLine="646"/>
        <w:spacing w:after="0" w:line="310" w:lineRule="auto"/>
        <w:rPr>
          <w:sz w:val="20"/>
          <w:szCs w:val="20"/>
          <w:color w:val="auto"/>
        </w:rPr>
      </w:pPr>
      <w:r>
        <w:rPr>
          <w:rFonts w:ascii="Arial" w:cs="Arial" w:eastAsia="Arial" w:hAnsi="Arial"/>
          <w:sz w:val="16"/>
          <w:szCs w:val="16"/>
          <w:color w:val="auto"/>
        </w:rPr>
        <w:t>Finance and insurance revenues increased $0.3 million, or 7.3%, in the second quarter of 2013 compared to the second quarter of 2012. The Company expects finance and insurance revenue to fluctuate proportionately with the Company’s new and used commercial vehicle sales in 2013. Finance and insurance revenues have limited direct costs and, therefore, contribute a disproportionate share of the Company’s operating profits.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4" w:lineRule="exact"/>
        <w:rPr>
          <w:sz w:val="20"/>
          <w:szCs w:val="20"/>
          <w:color w:val="auto"/>
        </w:rPr>
      </w:pPr>
    </w:p>
    <w:p>
      <w:pPr>
        <w:jc w:val="both"/>
        <w:ind w:right="40" w:firstLine="646"/>
        <w:spacing w:after="0" w:line="256" w:lineRule="auto"/>
        <w:rPr>
          <w:sz w:val="20"/>
          <w:szCs w:val="20"/>
          <w:color w:val="auto"/>
        </w:rPr>
      </w:pPr>
      <w:r>
        <w:rPr>
          <w:rFonts w:ascii="Arial" w:cs="Arial" w:eastAsia="Arial" w:hAnsi="Arial"/>
          <w:sz w:val="18"/>
          <w:szCs w:val="18"/>
          <w:color w:val="auto"/>
        </w:rPr>
        <w:t>Gross profit increased $8.1 million, or 6.2%, in the second quarter of 2013, compared to the second quarter of 2012. Gross profit as a percentage of sales increased to 17.4% in the second quarter of 2013 from 15.5% in the second quarter of 2012. This increase in gross profit as a percentage of sales is a result of a change in our product sales mix. Commercial vehicle sales, a lower margin revenue item, decreased as a percentage of total revenue to 64.3% in 2013, from 71.6% in 2012. Parts and service revenue, a higher margin revenue item, increased as a percentage of total revenue to 30.8% in 2013, from 24.9% in 2012.</w:t>
      </w:r>
    </w:p>
    <w:p>
      <w:pPr>
        <w:spacing w:after="0" w:line="188"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Gross margins from the Company’s parts, service and body shop operations decreased to 37.2% in the second quarter of 2013, from 38.7% in the second quarter of 2012. Gross profit for the parts, service and body shop departments increased to $90.5 million in the second quarter of 2013 from $80.7 million in the second quarter of 2012. Historically, parts operations gross margins range from 27% to 28% and service and body shop operations range from 67% to 68%. Gross profits from parts sales represented 54% of total gross profit for parts, service and body shop operations in the second quarter of 2013, compared to 53% in the second quarter of 2012. Service and body shop operations represented 46% of total gross profit for parts, service and body shop operations in the second quarter of 2013, compared to 47% in the second quarter of 2012. The Company expects blended gross margins on parts, service and body shop operations to range from 37.0% to 39.0% in 2013.</w:t>
      </w:r>
    </w:p>
    <w:p>
      <w:pPr>
        <w:spacing w:after="0" w:line="178"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Gross margins on Class 8 truck sales remained constant at 6.7% in the second quarter of 2013 and the second quarter of 2012. In 2013, the Company expects overall gross margins from Class 8 truck sales of approximately 6.5% to 7.5%.</w:t>
      </w:r>
    </w:p>
    <w:p>
      <w:pPr>
        <w:spacing w:after="0" w:line="224" w:lineRule="exact"/>
        <w:rPr>
          <w:sz w:val="20"/>
          <w:szCs w:val="20"/>
          <w:color w:val="auto"/>
        </w:rPr>
      </w:pPr>
    </w:p>
    <w:p>
      <w:pPr>
        <w:jc w:val="both"/>
        <w:ind w:right="20" w:firstLine="646"/>
        <w:spacing w:after="0" w:line="256" w:lineRule="auto"/>
        <w:rPr>
          <w:sz w:val="20"/>
          <w:szCs w:val="20"/>
          <w:color w:val="auto"/>
        </w:rPr>
      </w:pPr>
      <w:r>
        <w:rPr>
          <w:rFonts w:ascii="Arial" w:cs="Arial" w:eastAsia="Arial" w:hAnsi="Arial"/>
          <w:sz w:val="18"/>
          <w:szCs w:val="18"/>
          <w:color w:val="auto"/>
        </w:rPr>
        <w:t>Gross margins on medium-duty commercial vehicle sales increased to 5.0% in the second quarter of 2013, from 4.2% in the second quarter of 2012. Gross margins on medium-duty commercial vehicles are difficult to forecast accurately because gross margins vary significantly depending upon the mix of fleet and non-fleet purchasers and types of medium-duty commercial vehicles sold. For 2013, the Company expects overall gross margins from medium-duty commercial vehicle sales of approximately 4.5% to 5.5%, but this will largely depend upon the mix of purchasers and types of vehicles sold.</w:t>
      </w:r>
    </w:p>
    <w:p>
      <w:pPr>
        <w:spacing w:after="0" w:line="188" w:lineRule="exact"/>
        <w:rPr>
          <w:sz w:val="20"/>
          <w:szCs w:val="20"/>
          <w:color w:val="auto"/>
        </w:rPr>
      </w:pPr>
    </w:p>
    <w:p>
      <w:pPr>
        <w:jc w:val="both"/>
        <w:ind w:right="40" w:firstLine="646"/>
        <w:spacing w:after="0" w:line="262" w:lineRule="auto"/>
        <w:rPr>
          <w:sz w:val="20"/>
          <w:szCs w:val="20"/>
          <w:color w:val="auto"/>
        </w:rPr>
      </w:pPr>
      <w:r>
        <w:rPr>
          <w:rFonts w:ascii="Arial" w:cs="Arial" w:eastAsia="Arial" w:hAnsi="Arial"/>
          <w:sz w:val="18"/>
          <w:szCs w:val="18"/>
          <w:color w:val="auto"/>
        </w:rPr>
        <w:t>Gross margins on used commercial vehicle sales increased to 10.5% in the second quarter of 2013, from 8.3% in the second quarter of 2012. The Company expects margins on used commercial vehicles to range between 8.5% and 10.5% during 2013 depending upon general economic conditions and the availability of quality used vehicles.</w:t>
      </w:r>
    </w:p>
    <w:p>
      <w:pPr>
        <w:spacing w:after="0" w:line="237"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Gross margins from truck lease and rental sales decreased to 15.9% in the second quarter of 2013, from 16.5% in the second quarter of 2012. The Company expects gross margins from lease and rental sales of approximately 16.0% to 18.0% during 2013,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potentially a corresponding gain or loss on sale when the unit is sold at the end of the lease term.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610" w:right="599" w:bottom="1440" w:gutter="0" w:footer="0" w:header="0"/>
        </w:sectPr>
      </w:pPr>
    </w:p>
    <w:bookmarkStart w:id="20" w:name="page21"/>
    <w:bookmarkEnd w:id="20"/>
    <w:p>
      <w:pPr>
        <w:ind w:right="40" w:firstLine="646"/>
        <w:spacing w:after="0" w:line="276"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4"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color w:val="auto"/>
        </w:rPr>
        <w:t>Selling, General and Administrative (“SG&amp;A”) expenses increased $26.9 million, or 29.4%, in the second quarter of 2013, compared to the second quarter of 2012. This increase is partially due to the execution of the Retirement and Transition Agreement with the Company’s former Chairman, W. Marvin Rush, which resulted in the recognition of $10.8 million in retirement pay and benefits during the second quarter of 2013. SG&amp;A expenses as a percentage of total revenue increased to 15.0% in the second quarter of 2013, from 11.0% in the second quarter of 2012.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2013, the Company expects SG&amp;A expenses as a percentage of total revenue to range from 11.0% to 14.0% and the selling portion of SG&amp;A expenses to be approximately 25% to 30% of new and used commercial vehicle gross profit. In 2013, the Company expects the general and administrative portion of SG&amp;A expenses to increase by approximately 15.0% to 20.0% compared to 2012 due primarily to the full year effect of the Ohio acquisition that occurred in December 2012, the Retirement and Transition Agreement with the Company’s former Chairman, W. Marvin Rush and the addition of resources and technology to support the Company’s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$1.2 million, or 19.9%, in the second quarter of 2013 compared to the second quarter of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primarily due to the Ohio acquisition and dealership expansions.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Net interest expense decreased $0.9 million, or 27.2%, in the second quarter of 2013 compared to the second quarter of 2012. The decrease in net interest expense is primarily due to the decrease in truck inventory levels compared to the second quarter of 2012. Net interest expense in 2013 will depend on inventory levels and cash available for prepayment of floor plan 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As a result of the factors described above, income before income taxes decreased $19.3 million, or 67.4%, in the second quarter of 2013 compared to the second quarter of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4"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Income taxes decreased $7.5 million, or 67.0%, in the second quarter of 2013, compared to the second quarter of 2012. The Company provided for taxes at a 39.5% effective rate in the second quarter of 2013 compared to an effective rate of 39.0% in the second quarter of 2012. The Company expects its effective tax rate to be approximately 37% to 39% of pretax income in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2013, Compared to Six Months Ended June 30, 2012</w:t>
      </w:r>
    </w:p>
    <w:p>
      <w:pPr>
        <w:spacing w:after="0" w:line="228" w:lineRule="exact"/>
        <w:rPr>
          <w:sz w:val="20"/>
          <w:szCs w:val="20"/>
          <w:color w:val="auto"/>
        </w:rPr>
      </w:pPr>
    </w:p>
    <w:p>
      <w:pPr>
        <w:ind w:right="40" w:firstLine="646"/>
        <w:spacing w:after="0" w:line="306" w:lineRule="auto"/>
        <w:rPr>
          <w:sz w:val="20"/>
          <w:szCs w:val="20"/>
          <w:color w:val="auto"/>
        </w:rPr>
      </w:pPr>
      <w:r>
        <w:rPr>
          <w:rFonts w:ascii="Arial" w:cs="Arial" w:eastAsia="Arial" w:hAnsi="Arial"/>
          <w:sz w:val="17"/>
          <w:szCs w:val="17"/>
          <w:color w:val="auto"/>
        </w:rPr>
        <w:t>Unless otherwise stated below, the Company’s variance explanations and future expectations with regard to the items discussed in this section are set forth in the discussion of the “Three Months Ended June 30, 2013, Compared to Three Months Ended June 30, 2012.”</w:t>
      </w:r>
    </w:p>
    <w:p>
      <w:pPr>
        <w:spacing w:after="0" w:line="148" w:lineRule="exact"/>
        <w:rPr>
          <w:sz w:val="20"/>
          <w:szCs w:val="20"/>
          <w:color w:val="auto"/>
        </w:rPr>
      </w:pPr>
    </w:p>
    <w:p>
      <w:pPr>
        <w:ind w:right="40" w:firstLine="646"/>
        <w:spacing w:after="0" w:line="276" w:lineRule="auto"/>
        <w:rPr>
          <w:sz w:val="20"/>
          <w:szCs w:val="20"/>
          <w:color w:val="auto"/>
        </w:rPr>
      </w:pPr>
      <w:r>
        <w:rPr>
          <w:rFonts w:ascii="Arial" w:cs="Arial" w:eastAsia="Arial" w:hAnsi="Arial"/>
          <w:sz w:val="18"/>
          <w:szCs w:val="18"/>
          <w:color w:val="auto"/>
        </w:rPr>
        <w:t>Revenues decreased $66.7 million, or 4.1%, in the first six months of 2013, compared to the first six months of 2012. Sales of new and used trucks decreased $152.3 million, or 13.2%, in the first six months of 2013, compared to the first six months of 2012.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610" w:right="59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Parts and service sales increased $69.5 million, or 17.2%, in the first six months of 2013, compared to the first six months of 2012.</w:t>
      </w:r>
    </w:p>
    <w:p>
      <w:pPr>
        <w:spacing w:after="0" w:line="278"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The Company sold 4,153 heavy-duty trucks in the first six months of 2013, a 25.2% decrease compared to 5,551 heavy-duty trucks in the first six months of 2012. According to A.C.T. Research, retail sales in the U.S. Class 8 truck market decreased 14.0% in the first six months of 2013, compared to the first six months of 2012.</w:t>
      </w:r>
    </w:p>
    <w:p>
      <w:pPr>
        <w:spacing w:after="0" w:line="183"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Company sold 3,955 medium-duty commercial vehicles, including 466 buses in the first six months of 2013. This represented a 7.6% increase compared to 3,675 medium-duty commercial vehicles, including 255 buses in the first six months of 2012. A.C.T. Research estimates that unit sales of Class 4 through 7 commercial vehicles in the U.S increased approximately 5.0% in the first six months of 2013, compared to the first six months of 2012.</w:t>
      </w:r>
    </w:p>
    <w:p>
      <w:pPr>
        <w:spacing w:after="0" w:line="240"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The Company sold 2,932 used commercial vehicles in the first six months of 2013, a 17.6% increase compared to 2,494 used commercial vehicles in the first six months of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$14.6 million, or 31.1%, in the first six months of 2013, compared to the first six months of 2012.</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increased $0.3 million, or 3.8%, in the first six months of 2013, compared to the first six months of 2012.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Gross profit increased $13.6 million, or 5.3%, in the first six months of 2013, compared to the first six months of 2012. Gross profit as a percentage of sales increased to 17.5% in the first six months of 2013 from 16.0% in the first six months of 2012.</w:t>
      </w:r>
    </w:p>
    <w:p>
      <w:pPr>
        <w:spacing w:after="0" w:line="170" w:lineRule="exact"/>
        <w:rPr>
          <w:sz w:val="20"/>
          <w:szCs w:val="20"/>
          <w:color w:val="auto"/>
        </w:rPr>
      </w:pPr>
    </w:p>
    <w:p>
      <w:pPr>
        <w:jc w:val="both"/>
        <w:ind w:right="20" w:firstLine="646"/>
        <w:spacing w:after="0" w:line="295" w:lineRule="auto"/>
        <w:rPr>
          <w:sz w:val="20"/>
          <w:szCs w:val="20"/>
          <w:color w:val="auto"/>
        </w:rPr>
      </w:pPr>
      <w:r>
        <w:rPr>
          <w:rFonts w:ascii="Arial" w:cs="Arial" w:eastAsia="Arial" w:hAnsi="Arial"/>
          <w:sz w:val="16"/>
          <w:szCs w:val="16"/>
          <w:color w:val="auto"/>
        </w:rPr>
        <w:t>Gross margins from the Company’s parts, service and body shop operations decreased to 37.2% in the first six months of 2013, from 39.3% in the first six months of 2012. Gross profit for the parts, service and body shop departments was $176.2 million in the first six months of 2013, compared to $159.1 million in the first six months of 2012. Gross profits from parts sales represented 55% of total gross profit for parts, service and body shop operations in the first six months of 2013, compared to 53% in the first six months of 2012. Service and body shop operations represented 45% of total gross profit for parts, service and body shop operations in the first six months of 2013, compared to 47% in the first six months of 2012.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decreased to 7.0% in the first six months of 2013, from 7.1% in the first six months of 2012.</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increased to 5.3% in the first six months of 2013, from 4.5%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10.3% in the first six months of 2013, from 9.2% in the first six months of 2012.</w:t>
      </w:r>
    </w:p>
    <w:p>
      <w:pPr>
        <w:spacing w:after="0" w:line="200" w:lineRule="exact"/>
        <w:rPr>
          <w:sz w:val="20"/>
          <w:szCs w:val="20"/>
          <w:color w:val="auto"/>
        </w:rPr>
      </w:pPr>
    </w:p>
    <w:p>
      <w:pPr>
        <w:spacing w:after="0" w:line="316" w:lineRule="exact"/>
        <w:rPr>
          <w:sz w:val="20"/>
          <w:szCs w:val="20"/>
          <w:color w:val="auto"/>
        </w:rPr>
      </w:pPr>
    </w:p>
    <w:p>
      <w:pPr>
        <w:jc w:val="both"/>
        <w:ind w:right="20" w:firstLine="646"/>
        <w:spacing w:after="0" w:line="340" w:lineRule="auto"/>
        <w:rPr>
          <w:sz w:val="20"/>
          <w:szCs w:val="20"/>
          <w:color w:val="auto"/>
        </w:rPr>
      </w:pPr>
      <w:r>
        <w:rPr>
          <w:rFonts w:ascii="Arial" w:cs="Arial" w:eastAsia="Arial" w:hAnsi="Arial"/>
          <w:sz w:val="16"/>
          <w:szCs w:val="16"/>
          <w:color w:val="auto"/>
        </w:rPr>
        <w:t>Gross margins from truck lease and rental sales increased to 16.9% in the first six months of 2013, from approximately 15.6% in the first six months of 2012. This increase was attributable to higher utilization of the lease and rental units in the Company’s fleet and decreased maintenance costs.</w:t>
      </w:r>
    </w:p>
    <w:p>
      <w:pPr>
        <w:spacing w:after="0" w:line="125"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4"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SG&amp;A expenses increased $36.0 million, or 19.5%, in the first six months of 2013, compared to the first six months of 2012. SG&amp;A expenses as a percentage of sales was 14.3% in the first six months of 2013 and 11.4% in the first six months of 2012.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610" w:right="6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increased $2.4 million, or 20.4%, in the first six months of 2013 compared to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$1.7 million, or 25.6%, in the first six months of 2013, compared to the first six months of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$23.2 million, or 42.5%, in the first six months of 2013, compared to the first six months of 2012.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4" w:lineRule="exact"/>
        <w:rPr>
          <w:sz w:val="20"/>
          <w:szCs w:val="20"/>
          <w:color w:val="auto"/>
        </w:rPr>
      </w:pPr>
    </w:p>
    <w:p>
      <w:pPr>
        <w:ind w:right="40" w:firstLine="646"/>
        <w:spacing w:after="0" w:line="276" w:lineRule="auto"/>
        <w:rPr>
          <w:sz w:val="20"/>
          <w:szCs w:val="20"/>
          <w:color w:val="auto"/>
        </w:rPr>
      </w:pPr>
      <w:r>
        <w:rPr>
          <w:rFonts w:ascii="Arial" w:cs="Arial" w:eastAsia="Arial" w:hAnsi="Arial"/>
          <w:sz w:val="18"/>
          <w:szCs w:val="18"/>
          <w:color w:val="auto"/>
        </w:rPr>
        <w:t>Income taxes decreased $9.1 million, or 42.6%, in the first six months of 2013, compared to the first six months of 2012. The Company provided for taxes at a 39.0% rate in the first six months of 2013, compared to a rate of 39.0% in the first six months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arrangements and bank financings. As of June 30, 2013, the Company had working capital of approximately $244.1 million, including $203.5 million in cash available to fund our operations. The Company believes that these funds are sufficient to meet its operating requirements for at least the next twelve months.</w:t>
      </w:r>
    </w:p>
    <w:p>
      <w:pPr>
        <w:spacing w:after="0" w:line="188"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The Company has a secured line of credit that provides for a maximum borrowing of $10.0 million. There were no advances outstanding under this secured line of credit at June 30, 2013, however, $8.0 million was pledged to secure various letters of credit related to self-insurance products, leaving $2.0 million available for future borrowings as of June 30, 2013.</w:t>
      </w:r>
    </w:p>
    <w:p>
      <w:pPr>
        <w:spacing w:after="0" w:line="183"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June 30, 2013,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87"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The Company expects to purchase or lease trucks worth approximately $125.0 million for its leasing operations during 2013, depending on customer demand, all of which will be financed. The Company expects to make capital expenditures for recurring items such as computers, shop equipment and vehicles of approximately $7.0 to $10.0 million during the remainder of 2013.</w:t>
      </w:r>
    </w:p>
    <w:p>
      <w:pPr>
        <w:spacing w:after="0" w:line="183"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Company is currently under contract to construct dealership facilities in Corpus Christi, Texas, at an estimated cost of $6.6 million, San Antonio, Texas, at an estimated cost of $12.0 million and Orlando, Florida, at an estimated cost of $4.1 million. The construction project in Corpus Christi is estimated to continue through the third quarter of 2013, the construction projects in San Antonio and Orlando are estimated to continue through the second quarter of 2014.</w:t>
      </w:r>
    </w:p>
    <w:p>
      <w:pPr>
        <w:spacing w:after="0" w:line="187"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The Company currently anticipates funding its capital expenditures relating to the improvement and expansion of existing facilities and recurring expenses through its operating cash flow and the construction or purchase of new facilities through either its operating cash flow or financing 70% to 80% of the appraised value.</w:t>
      </w:r>
    </w:p>
    <w:p>
      <w:pPr>
        <w:spacing w:after="0" w:line="183"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color w:val="auto"/>
        </w:rPr>
        <w:t>On February 1, 2013, the Company’s Board of Directors approved a stock repurchase program authorizing the Company to repurchase, from time to time, up to an aggregate of $40.0 million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January 31, 2014, and may be suspended or discontinued at any time. While the stock repurchase program does not obligate the Company to acquire any particular amount or class of common stock, the Company anticipates that it will be repurchasing primarily shares of its Class B common stock. As of June 30, 2013, the Company has purchased approximately $2.3 million of its Class B common stock under this repurchase program.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583" w:right="599" w:bottom="1440" w:gutter="0" w:footer="0" w:header="0"/>
        </w:sectPr>
      </w:pPr>
    </w:p>
    <w:bookmarkStart w:id="23" w:name="page24"/>
    <w:bookmarkEnd w:id="23"/>
    <w:p>
      <w:pPr>
        <w:jc w:val="both"/>
        <w:ind w:firstLine="646"/>
        <w:spacing w:after="0" w:line="262" w:lineRule="auto"/>
        <w:rPr>
          <w:sz w:val="20"/>
          <w:szCs w:val="20"/>
          <w:color w:val="auto"/>
        </w:rPr>
      </w:pPr>
      <w:r>
        <w:rPr>
          <w:rFonts w:ascii="Arial" w:cs="Arial" w:eastAsia="Arial" w:hAnsi="Arial"/>
          <w:sz w:val="18"/>
          <w:szCs w:val="18"/>
          <w:color w:val="auto"/>
        </w:rPr>
        <w:t>The Company has no other material commitments for capital expenditures as of June 30, 2013,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8"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Cash and cash equivalents increased by $4.8 million during the three months ended June 30, 2013 and decreased by $38.8 million during the three months ended June 30, 2012.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4" w:lineRule="exact"/>
        <w:rPr>
          <w:sz w:val="20"/>
          <w:szCs w:val="20"/>
          <w:color w:val="auto"/>
        </w:rPr>
      </w:pPr>
    </w:p>
    <w:p>
      <w:pPr>
        <w:jc w:val="both"/>
        <w:ind w:right="40" w:firstLine="646"/>
        <w:spacing w:after="0" w:line="285"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six months of 2013, operating activities resulted in net cash provided by operations of $36.7 million. Cash provided by operating activities was primarily impacted by the increase in accounts payable, which was offset by the decrease in accrued liabilities and the increase in inventories.</w:t>
      </w:r>
    </w:p>
    <w:p>
      <w:pPr>
        <w:spacing w:after="0" w:line="165" w:lineRule="exact"/>
        <w:rPr>
          <w:sz w:val="20"/>
          <w:szCs w:val="20"/>
          <w:color w:val="auto"/>
        </w:rPr>
      </w:pPr>
    </w:p>
    <w:p>
      <w:pPr>
        <w:jc w:val="both"/>
        <w:ind w:right="40" w:firstLine="646"/>
        <w:spacing w:after="0" w:line="262" w:lineRule="auto"/>
        <w:rPr>
          <w:sz w:val="20"/>
          <w:szCs w:val="20"/>
          <w:color w:val="auto"/>
        </w:rPr>
      </w:pPr>
      <w:r>
        <w:rPr>
          <w:rFonts w:ascii="Arial" w:cs="Arial" w:eastAsia="Arial" w:hAnsi="Arial"/>
          <w:sz w:val="18"/>
          <w:szCs w:val="18"/>
          <w:color w:val="auto"/>
        </w:rPr>
        <w:t>During the first six months of 2012, operating activities resulted in net cash used in operations of $67.2 million. Cash used in operating activities was primarily impacted by the increase in inventories and the decrease in accrued expenses which was offset by the increase in accounts payable and draws on floor plan notes payable - trade.</w:t>
      </w:r>
    </w:p>
    <w:p>
      <w:pPr>
        <w:spacing w:after="0" w:line="200" w:lineRule="exact"/>
        <w:rPr>
          <w:sz w:val="20"/>
          <w:szCs w:val="20"/>
          <w:color w:val="auto"/>
        </w:rPr>
      </w:pPr>
    </w:p>
    <w:p>
      <w:pPr>
        <w:spacing w:after="0" w:line="226"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17"/>
          <w:szCs w:val="17"/>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June 30, 2013, the interest rate on the wholesale financing agreement was 5.25% before considering the applicable incentives. As of June 30, 2013, the Company had an outstanding balance of $39.3 million under the Ford Motor Credit Company wholesale financing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Cash flows used in investing activities consist primarily of cash used for capital expenditures and business acquisitions. During the first six months of 2013, cash used in investing activities was $85.8 million. Capital expenditures consisted of purchases of property and equipment and improvements to our existing dealership facilities of $82.5 million. Property and equipment purchases during the first six months of 2013 consisted of $57.6 million for additional units for rental and leasing operations, which will be directly offset by borrowings of long-term debt. The Company expects to purchase or lease trucks worth approximately $125.0 million for its leasing operations in 2013, depending on customer demand, all of which will be financed. The Company expects to make capital expenditures for recurring items such as computers, shop equipment and vehicles of approximately $7.0 to $10.0 million during the remainder of 2013.</w:t>
      </w:r>
    </w:p>
    <w:p>
      <w:pPr>
        <w:spacing w:after="0" w:line="189" w:lineRule="exact"/>
        <w:rPr>
          <w:sz w:val="20"/>
          <w:szCs w:val="20"/>
          <w:color w:val="auto"/>
        </w:rPr>
      </w:pPr>
    </w:p>
    <w:p>
      <w:pPr>
        <w:jc w:val="both"/>
        <w:ind w:right="40" w:firstLine="646"/>
        <w:spacing w:after="0" w:line="310" w:lineRule="auto"/>
        <w:rPr>
          <w:sz w:val="20"/>
          <w:szCs w:val="20"/>
          <w:color w:val="auto"/>
        </w:rPr>
      </w:pPr>
      <w:r>
        <w:rPr>
          <w:rFonts w:ascii="Arial" w:cs="Arial" w:eastAsia="Arial" w:hAnsi="Arial"/>
          <w:sz w:val="16"/>
          <w:szCs w:val="16"/>
          <w:color w:val="auto"/>
        </w:rPr>
        <w:t>During the first six months of 2012, cash used in investing activities was $78.2 million. Capital expenditures consisted of purchases of property and equipment and improvements to our existing dealership facilities of $78.5 million. Property and equipment purchases during the first six months of 2012 consisted of $69.9 million for additional units for rental and leasing operations, which will be directly offset by borrowings of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4" w:lineRule="exact"/>
        <w:rPr>
          <w:sz w:val="20"/>
          <w:szCs w:val="20"/>
          <w:color w:val="auto"/>
        </w:rPr>
      </w:pPr>
    </w:p>
    <w:p>
      <w:pPr>
        <w:jc w:val="both"/>
        <w:ind w:right="40" w:firstLine="646"/>
        <w:spacing w:after="0" w:line="256"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 non-trade. Cash provided by financing activities was $53.8 million during the first six months of 2013. The Company had borrowings of long-term debt of $65.7 million and repayments of long-term debt and capital lease obligations of $52.0 million during the first six months of 2013. The Company had net draws on floor plan notes payable – non-trade of $33.0 million during the first six months of 2013. The borrowings of long-term debt were primarily related to units for the rental and leasing operations.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610" w:right="599" w:bottom="1440" w:gutter="0" w:footer="0" w:header="0"/>
        </w:sectPr>
      </w:pPr>
    </w:p>
    <w:bookmarkStart w:id="24" w:name="page25"/>
    <w:bookmarkEnd w:id="24"/>
    <w:p>
      <w:pPr>
        <w:jc w:val="both"/>
        <w:ind w:right="40" w:firstLine="646"/>
        <w:spacing w:after="0" w:line="258" w:lineRule="auto"/>
        <w:rPr>
          <w:sz w:val="20"/>
          <w:szCs w:val="20"/>
          <w:color w:val="auto"/>
        </w:rPr>
      </w:pPr>
      <w:r>
        <w:rPr>
          <w:rFonts w:ascii="Arial" w:cs="Arial" w:eastAsia="Arial" w:hAnsi="Arial"/>
          <w:sz w:val="18"/>
          <w:szCs w:val="18"/>
          <w:color w:val="auto"/>
        </w:rPr>
        <w:t>Cash provided by financing activities was $106.6 million during the first six months of 2012. The Company had borrowings of long-term debt of $63.9 million and repayments of long-term debt and capital lease obligations of $40.6 million during the first six months of 2012. The Company had net draws on floor plan notes payable – non-trade of $77.9 million during the first six months of 2012. The borrowings of long-term debt were primarily related to units for the rental and leasing operations.</w:t>
      </w:r>
    </w:p>
    <w:p>
      <w:pPr>
        <w:spacing w:after="0" w:line="240"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color w:val="auto"/>
        </w:rPr>
        <w:t>Substantially all of the Company’s commercial vehicle purchases are made on terms requiring payment to the manufacturer within 15 days or less from the date the commercial vehicles are invoiced from the factory. 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written notice. The Company makes monthly interest payments to GE Capital on the amount financed, but is not required to commence loan principal repayments on any vehicle until such vehicle has been financed for 12 months or was sold, whichever occurs first. On June 30, 2013, the Company had approximately $533.0 million outstanding under its credit agreement with GE Capital. The average outstanding borrowings under the credit agreement with GE Capital during the second quarter of 2013 were $453.8 million.</w:t>
      </w:r>
    </w:p>
    <w:p>
      <w:pPr>
        <w:spacing w:after="0" w:line="205"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color w:val="auto"/>
        </w:rPr>
        <w:t>On July 11, 2013, the Company entered into the third amendment to its $600.0 million amended and restated credit agreement with GE Capital. The amendment increases the aggregate loan commitment to $750.0 million. Borrowings under the amended credit agreement will now bear interest per annum, payable monthly, at the three month LIBOR rate, determined on the last day of the prior month, plus 2.03%. In addition, the Company is required to pay to the lenders a monthly working capital fee equal to 0.35% per annum multiplied by the amount of voluntary prepayments of new and used inventory loans. Loans under the credit agreement for the purchase of used inventory are limited to $150.0 million. Pursuant to the third amendment, the credit agreement expires July 11, 2016, although GE Capital has the right to terminate the credit agreement at any time upon 120 days written notice. The Company may terminate the credit agreement at any time, although if it does so it must pay the lenders a prepayment processing fee of (i) $15,000,000 if it terminates on or prior January 11, 2015, (ii) $7,500,000 if it terminates after January 11, 2015 but on or prior to July 11, 2015 and (iii) $300,000 if it terminates thereafter, subject in each case to specified limited exceptions.</w:t>
      </w:r>
    </w:p>
    <w:p>
      <w:pPr>
        <w:spacing w:after="0" w:line="181"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Navistar Financial Corporation and Peterbilt offer trade terms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4" w:lineRule="exact"/>
        <w:rPr>
          <w:sz w:val="20"/>
          <w:szCs w:val="20"/>
          <w:color w:val="auto"/>
        </w:rPr>
      </w:pPr>
    </w:p>
    <w:p>
      <w:pPr>
        <w:jc w:val="both"/>
        <w:ind w:right="20" w:firstLine="646"/>
        <w:spacing w:after="0" w:line="272" w:lineRule="auto"/>
        <w:rPr>
          <w:sz w:val="20"/>
          <w:szCs w:val="20"/>
          <w:color w:val="auto"/>
        </w:rPr>
      </w:pPr>
      <w:r>
        <w:rPr>
          <w:rFonts w:ascii="Arial" w:cs="Arial" w:eastAsia="Arial" w:hAnsi="Arial"/>
          <w:sz w:val="17"/>
          <w:szCs w:val="17"/>
          <w:color w:val="auto"/>
        </w:rPr>
        <w:t>On June 30, 2013, the Company’s backlog of commercial vehicle orders was approximately $703.5 million compared to a backlog of commercial vehicle orders of approximately $753.2 million on June 30, 2012. The Company includes only confirmed orders in its backlog. The delivery time for a custom-ordered commercial vehicle varies depending on the truck specifications and demand for the particular model ordered, however, the Company expects to fill the majority of its backlog orders during 2013. The Company sells the majority of its new heavy-duty commercial vehicles by customer special order. The Company sells the majority of its medium- and light-duty commercial vehicles out of inventory. Orders from a number of the Company’s major fleet customers are included in the Company’s backlog as of June 30,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610" w:right="59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Cyclicality</w:t>
      </w:r>
    </w:p>
    <w:p>
      <w:pPr>
        <w:spacing w:after="0" w:line="224" w:lineRule="exact"/>
        <w:rPr>
          <w:sz w:val="20"/>
          <w:szCs w:val="20"/>
          <w:color w:val="auto"/>
        </w:rPr>
      </w:pPr>
    </w:p>
    <w:p>
      <w:pPr>
        <w:jc w:val="both"/>
        <w:ind w:right="40" w:firstLine="646"/>
        <w:spacing w:after="0" w:line="271"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that it is in a better position to reduce the negative impact on the Company’s earnings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4"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6"/>
        <w:spacing w:after="0" w:line="292" w:lineRule="auto"/>
        <w:rPr>
          <w:sz w:val="20"/>
          <w:szCs w:val="20"/>
          <w:color w:val="auto"/>
        </w:rPr>
      </w:pPr>
      <w:r>
        <w:rPr>
          <w:rFonts w:ascii="Arial" w:cs="Arial" w:eastAsia="Arial" w:hAnsi="Arial"/>
          <w:sz w:val="16"/>
          <w:szCs w:val="16"/>
          <w:color w:val="auto"/>
        </w:rPr>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4"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78" w:lineRule="exact"/>
        <w:rPr>
          <w:sz w:val="20"/>
          <w:szCs w:val="20"/>
          <w:color w:val="auto"/>
        </w:rPr>
      </w:pPr>
    </w:p>
    <w:p>
      <w:pPr>
        <w:jc w:val="both"/>
        <w:ind w:firstLine="646"/>
        <w:spacing w:after="0" w:line="295" w:lineRule="auto"/>
        <w:rPr>
          <w:sz w:val="20"/>
          <w:szCs w:val="20"/>
          <w:color w:val="auto"/>
        </w:rPr>
      </w:pPr>
      <w:r>
        <w:rPr>
          <w:rFonts w:ascii="Arial" w:cs="Arial" w:eastAsia="Arial" w:hAnsi="Arial"/>
          <w:sz w:val="16"/>
          <w:szCs w:val="16"/>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610" w:right="599" w:bottom="1440" w:gutter="0" w:footer="0" w:header="0"/>
        </w:sectPr>
      </w:pPr>
    </w:p>
    <w:bookmarkStart w:id="26" w:name="page27"/>
    <w:bookmarkEnd w:id="26"/>
    <w:p>
      <w:pPr>
        <w:jc w:val="both"/>
        <w:ind w:firstLine="646"/>
        <w:spacing w:after="0" w:line="270"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79"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 It is not possible at this time to accurately predict how the foregoing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8"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6"/>
        <w:spacing w:after="0" w:line="30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June 30, 2013, the Company had floor plan borrowings and variable interest rate real estate debt of approximately $652.5 million. Assuming an increase or decrease in LIBOR of 100 basis points, annual interest expense could correspondingly increase or decrease by approximately $6.5 million.</w:t>
      </w:r>
    </w:p>
    <w:p>
      <w:pPr>
        <w:spacing w:after="0" w:line="157" w:lineRule="exact"/>
        <w:rPr>
          <w:sz w:val="20"/>
          <w:szCs w:val="20"/>
          <w:color w:val="auto"/>
        </w:rPr>
      </w:pPr>
    </w:p>
    <w:p>
      <w:pPr>
        <w:jc w:val="both"/>
        <w:ind w:right="20" w:firstLine="646"/>
        <w:spacing w:after="0" w:line="258" w:lineRule="auto"/>
        <w:rPr>
          <w:sz w:val="20"/>
          <w:szCs w:val="20"/>
          <w:color w:val="auto"/>
        </w:rPr>
      </w:pPr>
      <w:r>
        <w:rPr>
          <w:rFonts w:ascii="Arial" w:cs="Arial" w:eastAsia="Arial" w:hAnsi="Arial"/>
          <w:sz w:val="18"/>
          <w:szCs w:val="18"/>
          <w:color w:val="auto"/>
        </w:rPr>
        <w:t>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7" w:lineRule="exact"/>
        <w:rPr>
          <w:sz w:val="20"/>
          <w:szCs w:val="20"/>
          <w:color w:val="auto"/>
        </w:rPr>
      </w:pPr>
    </w:p>
    <w:p>
      <w:pPr>
        <w:jc w:val="both"/>
        <w:ind w:right="20" w:firstLine="646"/>
        <w:spacing w:after="0" w:line="254"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June 30, 2013, the Company had interest rate swaps with a total notional amount of $40.0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93" w:lineRule="exact"/>
        <w:rPr>
          <w:sz w:val="20"/>
          <w:szCs w:val="20"/>
          <w:color w:val="auto"/>
        </w:rPr>
      </w:pPr>
    </w:p>
    <w:p>
      <w:pPr>
        <w:jc w:val="both"/>
        <w:ind w:right="20" w:firstLine="646"/>
        <w:spacing w:after="0" w:line="254"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$203.5 million on June 30, 2013.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$2.0 million.</w:t>
      </w:r>
    </w:p>
    <w:p>
      <w:pPr>
        <w:spacing w:after="0" w:line="193" w:lineRule="exact"/>
        <w:rPr>
          <w:sz w:val="20"/>
          <w:szCs w:val="20"/>
          <w:color w:val="auto"/>
        </w:rPr>
      </w:pPr>
    </w:p>
    <w:p>
      <w:pPr>
        <w:jc w:val="both"/>
        <w:ind w:right="20" w:firstLine="646"/>
        <w:spacing w:after="0" w:line="258" w:lineRule="auto"/>
        <w:rPr>
          <w:sz w:val="20"/>
          <w:szCs w:val="20"/>
          <w:color w:val="auto"/>
        </w:rPr>
      </w:pPr>
      <w:r>
        <w:rPr>
          <w:rFonts w:ascii="Arial" w:cs="Arial" w:eastAsia="Arial" w:hAnsi="Arial"/>
          <w:sz w:val="18"/>
          <w:szCs w:val="18"/>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610" w:right="599" w:bottom="1440" w:gutter="0" w:footer="0" w:header="0"/>
        </w:sectPr>
      </w:pPr>
    </w:p>
    <w:bookmarkStart w:id="27" w:name="page28"/>
    <w:bookmarkEnd w:id="27"/>
    <w:p>
      <w:pPr>
        <w:jc w:val="both"/>
        <w:ind w:firstLine="646"/>
        <w:spacing w:after="0" w:line="272" w:lineRule="auto"/>
        <w:rPr>
          <w:sz w:val="20"/>
          <w:szCs w:val="20"/>
          <w:color w:val="auto"/>
        </w:rPr>
      </w:pPr>
      <w:r>
        <w:rPr>
          <w:rFonts w:ascii="Arial" w:cs="Arial" w:eastAsia="Arial" w:hAnsi="Arial"/>
          <w:sz w:val="17"/>
          <w:szCs w:val="17"/>
          <w:color w:val="auto"/>
        </w:rPr>
        <w:t>As of June 30, 2013,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8"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2013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205" w:lineRule="exact"/>
        <w:rPr>
          <w:sz w:val="20"/>
          <w:szCs w:val="20"/>
          <w:color w:val="auto"/>
        </w:rPr>
      </w:pPr>
    </w:p>
    <w:p>
      <w:pPr>
        <w:jc w:val="both"/>
        <w:ind w:right="20" w:firstLine="646"/>
        <w:spacing w:after="0" w:line="306"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June 30, 2013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8" w:lineRule="exact"/>
        <w:rPr>
          <w:sz w:val="20"/>
          <w:szCs w:val="20"/>
          <w:color w:val="auto"/>
        </w:rPr>
      </w:pPr>
    </w:p>
    <w:p>
      <w:pPr>
        <w:jc w:val="both"/>
        <w:ind w:right="20" w:firstLine="646"/>
        <w:spacing w:after="0" w:line="290"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8"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2012 Annual Report on Form 10-K (the “2012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2012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610" w:right="61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A summary of the repurchase activity for the Company’s second quarter of 2013 is as follows:</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w:t>
            </w: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that</w:t>
            </w: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May Yet be</w:t>
            </w: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Average Price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Under the</w:t>
            </w: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Paid Per Share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Plans or</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(1)</w:t>
            </w:r>
          </w:p>
        </w:tc>
        <w:tc>
          <w:tcPr>
            <w:tcW w:w="280" w:type="dxa"/>
            <w:vAlign w:val="bottom"/>
          </w:tcPr>
          <w:p>
            <w:pPr>
              <w:spacing w:after="0"/>
              <w:rPr>
                <w:sz w:val="20"/>
                <w:szCs w:val="20"/>
                <w:color w:val="auto"/>
              </w:rPr>
            </w:pPr>
          </w:p>
        </w:tc>
        <w:tc>
          <w:tcPr>
            <w:tcW w:w="90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Programs (2)</w:t>
            </w:r>
          </w:p>
        </w:tc>
        <w:tc>
          <w:tcPr>
            <w:tcW w:w="8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Programs (3)</w:t>
            </w: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2013</w:t>
            </w:r>
          </w:p>
        </w:tc>
        <w:tc>
          <w:tcPr>
            <w:tcW w:w="1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39,673,021</w:t>
            </w:r>
          </w:p>
        </w:tc>
        <w:tc>
          <w:tcPr>
            <w:tcW w:w="100" w:type="dxa"/>
            <w:vAlign w:val="bottom"/>
            <w:shd w:val="clear" w:color="auto" w:fill="CCEEFF"/>
          </w:tcPr>
          <w:p>
            <w:pPr>
              <w:spacing w:after="0"/>
              <w:rPr>
                <w:sz w:val="18"/>
                <w:szCs w:val="18"/>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May 1 – May 31, 2013</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45,568</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21.88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62,309</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38,675,807</w:t>
            </w: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2013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42,976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105,285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37,730,450</w:t>
            </w: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105,285</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105,285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rPr>
              <w:t>37,730,450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-8890</wp:posOffset>
            </wp:positionV>
            <wp:extent cx="7607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073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-8890</wp:posOffset>
            </wp:positionV>
            <wp:extent cx="7518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7" w:lineRule="exact"/>
        <w:rPr>
          <w:sz w:val="20"/>
          <w:szCs w:val="20"/>
          <w:color w:val="auto"/>
        </w:rPr>
      </w:pPr>
    </w:p>
    <w:p>
      <w:pPr>
        <w:ind w:left="660" w:hanging="652"/>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8" w:lineRule="exact"/>
        <w:rPr>
          <w:rFonts w:ascii="Arial" w:cs="Arial" w:eastAsia="Arial" w:hAnsi="Arial"/>
          <w:sz w:val="18"/>
          <w:szCs w:val="18"/>
          <w:color w:val="auto"/>
        </w:rPr>
      </w:pPr>
    </w:p>
    <w:p>
      <w:pPr>
        <w:jc w:val="both"/>
        <w:ind w:left="660" w:right="300" w:hanging="652"/>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repurchased shares under a program announced on February 1, 2013, which authorized the repurchase of up to $40.0 million of its shares of Class A common stock, $.01 par value per share, and/or Class B common stock, $.01 par value per share. The stock repurchase program expires on January 31, 2014 and may be suspended or discontinued at any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61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92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412"/>
        </w:trPr>
        <w:tc>
          <w:tcPr>
            <w:tcW w:w="44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Exhibit</w:t>
            </w:r>
          </w:p>
        </w:tc>
        <w:tc>
          <w:tcPr>
            <w:tcW w:w="920" w:type="dxa"/>
            <w:vAlign w:val="bottom"/>
          </w:tcPr>
          <w:p>
            <w:pPr>
              <w:spacing w:after="0"/>
              <w:rPr>
                <w:sz w:val="24"/>
                <w:szCs w:val="24"/>
                <w:color w:val="auto"/>
              </w:rPr>
            </w:pPr>
          </w:p>
        </w:tc>
        <w:tc>
          <w:tcPr>
            <w:tcW w:w="8360" w:type="dxa"/>
            <w:vAlign w:val="bottom"/>
          </w:tcPr>
          <w:p>
            <w:pPr>
              <w:spacing w:after="0"/>
              <w:rPr>
                <w:sz w:val="24"/>
                <w:szCs w:val="24"/>
                <w:color w:val="auto"/>
              </w:rPr>
            </w:pPr>
          </w:p>
        </w:tc>
      </w:tr>
      <w:tr>
        <w:trPr>
          <w:trHeight w:val="193"/>
        </w:trPr>
        <w:tc>
          <w:tcPr>
            <w:tcW w:w="1540" w:type="dxa"/>
            <w:vAlign w:val="bottom"/>
            <w:gridSpan w:val="3"/>
          </w:tcPr>
          <w:p>
            <w:pPr>
              <w:jc w:val="center"/>
              <w:ind w:right="20"/>
              <w:spacing w:after="0" w:line="194" w:lineRule="exact"/>
              <w:rPr>
                <w:sz w:val="20"/>
                <w:szCs w:val="20"/>
                <w:color w:val="auto"/>
              </w:rPr>
            </w:pPr>
            <w:r>
              <w:rPr>
                <w:rFonts w:ascii="Arial" w:cs="Arial" w:eastAsia="Arial" w:hAnsi="Arial"/>
                <w:sz w:val="18"/>
                <w:szCs w:val="18"/>
                <w:b w:val="1"/>
                <w:bCs w:val="1"/>
                <w:color w:val="auto"/>
                <w:w w:val="94"/>
              </w:rPr>
              <w:t>Number</w:t>
            </w:r>
          </w:p>
        </w:tc>
        <w:tc>
          <w:tcPr>
            <w:tcW w:w="928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Exhibit Title</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221"/>
        </w:trPr>
        <w:tc>
          <w:tcPr>
            <w:tcW w:w="440" w:type="dxa"/>
            <w:vAlign w:val="bottom"/>
          </w:tcPr>
          <w:p>
            <w:pPr>
              <w:spacing w:after="0"/>
              <w:rPr>
                <w:sz w:val="19"/>
                <w:szCs w:val="19"/>
                <w:color w:val="auto"/>
              </w:rPr>
            </w:pPr>
          </w:p>
        </w:tc>
        <w:tc>
          <w:tcPr>
            <w:tcW w:w="640" w:type="dxa"/>
            <w:vAlign w:val="bottom"/>
          </w:tcPr>
          <w:p>
            <w:pPr>
              <w:jc w:val="center"/>
              <w:ind w:right="270"/>
              <w:spacing w:after="0"/>
              <w:rPr>
                <w:sz w:val="20"/>
                <w:szCs w:val="20"/>
                <w:color w:val="auto"/>
              </w:rPr>
            </w:pPr>
            <w:r>
              <w:rPr>
                <w:rFonts w:ascii="Arial" w:cs="Arial" w:eastAsia="Arial" w:hAnsi="Arial"/>
                <w:sz w:val="18"/>
                <w:szCs w:val="18"/>
                <w:color w:val="auto"/>
                <w:w w:val="95"/>
              </w:rPr>
              <w:t>3.1</w:t>
            </w:r>
          </w:p>
        </w:tc>
        <w:tc>
          <w:tcPr>
            <w:tcW w:w="46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 the Company’s</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Quarterly Report on Form 10-Q (File No. 000-20797) for the quarter ended June 30, 2008)</w:t>
            </w:r>
          </w:p>
        </w:tc>
      </w:tr>
      <w:tr>
        <w:trPr>
          <w:trHeight w:val="215"/>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Rush Enterprises, Inc. Amended and Restated Bylaws (incorporated herein by reference to Exhibit 3.1 of the Company’s Current</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Report on Form 8-K (File No. 000-20797) filed May 21,2013)</w:t>
            </w:r>
          </w:p>
        </w:tc>
      </w:tr>
      <w:tr>
        <w:trPr>
          <w:trHeight w:val="215"/>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1"/>
              </w:rPr>
              <w:t>Third Amendment to Credit Agreement, dated July 11, 2013, among Rush Truck Centers of Alabama, Inc., Rush Truck Centers</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7"/>
              </w:rPr>
              <w:t>of Arizona, Inc., Rush Truck Centers of California, Inc., Rush Medium Duty Truck Centers of Colorado, Inc., Rush Truck</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Centers of Colorado, Inc., Rush Truck Centers of Florida, Inc., Rush Truck Centers of Georgia, Inc., Rush Truck Centers of New</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5"/>
              </w:rPr>
              <w:t>Mexico, Inc., Rush Truck Centers of Oklahoma, Inc., Rush Truck Centers of Tennessee, Inc., Rush Truck Centers of North</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Carolina, Inc., Rush Truck Centers of Idaho, Inc., Rush Truck Centers of Utah, Inc., Rush Truck Centers of Oregon, Inc., Rush</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Truck Centers of Ohio, Inc., Rush Truck Centers of Kansas, Inc., Rush Truck Centers of Missouri, Inc., Rush Truck Centers of</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Texas, L.P., Rush Enterprises, Inc., the Lenders party thereto, and GE Capital Commercial Inc. (incorporated herein by reference</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to Exhibit 10.1 of the Company’s Current Report on Form 8-K (File No. 000-20797) filed July 16, 2013)</w:t>
            </w:r>
          </w:p>
        </w:tc>
      </w:tr>
      <w:tr>
        <w:trPr>
          <w:trHeight w:val="215"/>
        </w:trPr>
        <w:tc>
          <w:tcPr>
            <w:tcW w:w="1080" w:type="dxa"/>
            <w:vAlign w:val="bottom"/>
            <w:gridSpan w:val="2"/>
          </w:tcPr>
          <w:p>
            <w:pPr>
              <w:jc w:val="cente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Retirement and Transition Agreement, dated May 20, 2013, by and between the Company and W. Marvin Rush (incorporated</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4"/>
              </w:rPr>
              <w:t>herein by reference to Exhibit 10.1 of the Company’s Current Report on Form 8-K (File No. 000-20797) filed May 21, 2013)</w:t>
            </w:r>
          </w:p>
        </w:tc>
      </w:tr>
      <w:tr>
        <w:trPr>
          <w:trHeight w:val="215"/>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Sarbanes-Oxley Act of</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2002.</w:t>
            </w:r>
          </w:p>
        </w:tc>
        <w:tc>
          <w:tcPr>
            <w:tcW w:w="8360" w:type="dxa"/>
            <w:vAlign w:val="bottom"/>
          </w:tcPr>
          <w:p>
            <w:pPr>
              <w:spacing w:after="0"/>
              <w:rPr>
                <w:sz w:val="18"/>
                <w:szCs w:val="18"/>
                <w:color w:val="auto"/>
              </w:rPr>
            </w:pPr>
          </w:p>
        </w:tc>
      </w:tr>
      <w:tr>
        <w:trPr>
          <w:trHeight w:val="215"/>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Certification of CFO pursuant to Rules 13a-14(a) and 15d-14(a) adopted pursuant to Section 302 of the Sarbanes-Oxley Act of</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2002.</w:t>
            </w:r>
          </w:p>
        </w:tc>
        <w:tc>
          <w:tcPr>
            <w:tcW w:w="8360" w:type="dxa"/>
            <w:vAlign w:val="bottom"/>
          </w:tcPr>
          <w:p>
            <w:pPr>
              <w:spacing w:after="0"/>
              <w:rPr>
                <w:sz w:val="18"/>
                <w:szCs w:val="18"/>
                <w:color w:val="auto"/>
              </w:rPr>
            </w:pPr>
          </w:p>
        </w:tc>
      </w:tr>
      <w:tr>
        <w:trPr>
          <w:trHeight w:val="215"/>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Certification of CEO pursuant to 18 U.S.C. Section 1350 as adopted pursuant to Section 906 of the Sarbanes-Oxley Act of 2002.</w:t>
            </w:r>
          </w:p>
        </w:tc>
      </w:tr>
      <w:tr>
        <w:trPr>
          <w:trHeight w:val="215"/>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32.2**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 Act of 2002.</w:t>
            </w:r>
          </w:p>
        </w:tc>
      </w:tr>
      <w:tr>
        <w:trPr>
          <w:trHeight w:val="215"/>
        </w:trPr>
        <w:tc>
          <w:tcPr>
            <w:tcW w:w="1540" w:type="dxa"/>
            <w:vAlign w:val="bottom"/>
            <w:gridSpan w:val="3"/>
          </w:tcPr>
          <w:p>
            <w:pPr>
              <w:ind w:left="160"/>
              <w:spacing w:after="0"/>
              <w:rPr>
                <w:sz w:val="20"/>
                <w:szCs w:val="20"/>
                <w:color w:val="auto"/>
              </w:rPr>
            </w:pPr>
            <w:r>
              <w:rPr>
                <w:rFonts w:ascii="Arial" w:cs="Arial" w:eastAsia="Arial" w:hAnsi="Arial"/>
                <w:sz w:val="18"/>
                <w:szCs w:val="18"/>
                <w:color w:val="auto"/>
              </w:rPr>
              <w:t>101.INS+++</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5"/>
        </w:trPr>
        <w:tc>
          <w:tcPr>
            <w:tcW w:w="1540" w:type="dxa"/>
            <w:vAlign w:val="bottom"/>
            <w:gridSpan w:val="3"/>
          </w:tcPr>
          <w:p>
            <w:pPr>
              <w:ind w:left="160"/>
              <w:spacing w:after="0"/>
              <w:rPr>
                <w:sz w:val="20"/>
                <w:szCs w:val="20"/>
                <w:color w:val="auto"/>
              </w:rPr>
            </w:pPr>
            <w:r>
              <w:rPr>
                <w:rFonts w:ascii="Arial" w:cs="Arial" w:eastAsia="Arial" w:hAnsi="Arial"/>
                <w:sz w:val="18"/>
                <w:szCs w:val="18"/>
                <w:color w:val="auto"/>
              </w:rPr>
              <w:t>101.SCH+++</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1540" w:type="dxa"/>
            <w:vAlign w:val="bottom"/>
            <w:gridSpan w:val="3"/>
          </w:tcPr>
          <w:p>
            <w:pPr>
              <w:ind w:left="160"/>
              <w:spacing w:after="0"/>
              <w:rPr>
                <w:sz w:val="20"/>
                <w:szCs w:val="20"/>
                <w:color w:val="auto"/>
              </w:rPr>
            </w:pPr>
            <w:r>
              <w:rPr>
                <w:rFonts w:ascii="Arial" w:cs="Arial" w:eastAsia="Arial" w:hAnsi="Arial"/>
                <w:sz w:val="18"/>
                <w:szCs w:val="18"/>
                <w:color w:val="auto"/>
              </w:rPr>
              <w:t>101.CAL+++</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5"/>
        </w:trPr>
        <w:tc>
          <w:tcPr>
            <w:tcW w:w="1540" w:type="dxa"/>
            <w:vAlign w:val="bottom"/>
            <w:gridSpan w:val="3"/>
          </w:tcPr>
          <w:p>
            <w:pPr>
              <w:ind w:left="160"/>
              <w:spacing w:after="0"/>
              <w:rPr>
                <w:sz w:val="20"/>
                <w:szCs w:val="20"/>
                <w:color w:val="auto"/>
              </w:rPr>
            </w:pPr>
            <w:r>
              <w:rPr>
                <w:rFonts w:ascii="Arial" w:cs="Arial" w:eastAsia="Arial" w:hAnsi="Arial"/>
                <w:sz w:val="18"/>
                <w:szCs w:val="18"/>
                <w:color w:val="auto"/>
              </w:rPr>
              <w:t>101.DEF+++</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5"/>
        </w:trPr>
        <w:tc>
          <w:tcPr>
            <w:tcW w:w="1540" w:type="dxa"/>
            <w:vAlign w:val="bottom"/>
            <w:gridSpan w:val="3"/>
          </w:tcPr>
          <w:p>
            <w:pPr>
              <w:ind w:left="160"/>
              <w:spacing w:after="0"/>
              <w:rPr>
                <w:sz w:val="20"/>
                <w:szCs w:val="20"/>
                <w:color w:val="auto"/>
              </w:rPr>
            </w:pPr>
            <w:r>
              <w:rPr>
                <w:rFonts w:ascii="Arial" w:cs="Arial" w:eastAsia="Arial" w:hAnsi="Arial"/>
                <w:sz w:val="18"/>
                <w:szCs w:val="18"/>
                <w:color w:val="auto"/>
              </w:rPr>
              <w:t>101.LAB+++</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540" w:type="dxa"/>
            <w:vAlign w:val="bottom"/>
            <w:gridSpan w:val="3"/>
          </w:tcPr>
          <w:p>
            <w:pPr>
              <w:ind w:left="160"/>
              <w:spacing w:after="0"/>
              <w:rPr>
                <w:sz w:val="20"/>
                <w:szCs w:val="20"/>
                <w:color w:val="auto"/>
              </w:rPr>
            </w:pPr>
            <w:r>
              <w:rPr>
                <w:rFonts w:ascii="Arial" w:cs="Arial" w:eastAsia="Arial" w:hAnsi="Arial"/>
                <w:sz w:val="18"/>
                <w:szCs w:val="18"/>
                <w:color w:val="auto"/>
              </w:rPr>
              <w:t>101.PRE+++</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contract or compensating plan or arrangement</w:t>
      </w:r>
    </w:p>
    <w:p>
      <w:pPr>
        <w:spacing w:after="0" w:line="8" w:lineRule="exact"/>
        <w:rPr>
          <w:sz w:val="20"/>
          <w:szCs w:val="20"/>
          <w:color w:val="auto"/>
        </w:rPr>
      </w:pPr>
    </w:p>
    <w:p>
      <w:pPr>
        <w:ind w:left="660" w:hanging="652"/>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240"/>
          </w:cols>
          <w:pgMar w:left="240" w:top="821" w:right="4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3" w:lineRule="exact"/>
        <w:rPr>
          <w:sz w:val="20"/>
          <w:szCs w:val="20"/>
          <w:color w:val="auto"/>
        </w:rPr>
      </w:pPr>
    </w:p>
    <w:p>
      <w:pPr>
        <w:ind w:firstLine="404"/>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RUSH ENTERPRISES, INC.</w:t>
      </w:r>
    </w:p>
    <w:p>
      <w:pPr>
        <w:spacing w:after="0" w:line="2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August 9,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13970</wp:posOffset>
            </wp:positionV>
            <wp:extent cx="2529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7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August 9,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13970</wp:posOffset>
            </wp:positionV>
            <wp:extent cx="25298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Steven L. Keller</w:t>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20"/>
          </w:cols>
          <w:pgMar w:left="240" w:top="606" w:right="639" w:bottom="1440" w:gutter="0" w:footer="0" w:header="0"/>
        </w:sectPr>
      </w:pPr>
    </w:p>
    <w:bookmarkStart w:id="31" w:name="page32"/>
    <w:bookmarkEnd w:id="31"/>
    <w:tbl>
      <w:tblPr>
        <w:tblLayout w:type="fixed"/>
        <w:tblInd w:w="152"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60" w:type="dxa"/>
            <w:vAlign w:val="bottom"/>
          </w:tcPr>
          <w:p>
            <w:pPr>
              <w:ind w:left="236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28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Exhibit</w:t>
            </w:r>
          </w:p>
        </w:tc>
        <w:tc>
          <w:tcPr>
            <w:tcW w:w="920" w:type="dxa"/>
            <w:vAlign w:val="bottom"/>
          </w:tcPr>
          <w:p>
            <w:pPr>
              <w:spacing w:after="0"/>
              <w:rPr>
                <w:sz w:val="24"/>
                <w:szCs w:val="24"/>
                <w:color w:val="auto"/>
              </w:rPr>
            </w:pPr>
          </w:p>
        </w:tc>
        <w:tc>
          <w:tcPr>
            <w:tcW w:w="8360" w:type="dxa"/>
            <w:vAlign w:val="bottom"/>
          </w:tcPr>
          <w:p>
            <w:pPr>
              <w:spacing w:after="0"/>
              <w:rPr>
                <w:sz w:val="24"/>
                <w:szCs w:val="24"/>
                <w:color w:val="auto"/>
              </w:rPr>
            </w:pPr>
          </w:p>
        </w:tc>
      </w:tr>
      <w:tr>
        <w:trPr>
          <w:trHeight w:val="193"/>
        </w:trPr>
        <w:tc>
          <w:tcPr>
            <w:tcW w:w="1380" w:type="dxa"/>
            <w:vAlign w:val="bottom"/>
            <w:gridSpan w:val="3"/>
          </w:tcPr>
          <w:p>
            <w:pPr>
              <w:jc w:val="center"/>
              <w:ind w:right="180"/>
              <w:spacing w:after="0" w:line="194" w:lineRule="exact"/>
              <w:rPr>
                <w:sz w:val="20"/>
                <w:szCs w:val="20"/>
                <w:color w:val="auto"/>
              </w:rPr>
            </w:pPr>
            <w:r>
              <w:rPr>
                <w:rFonts w:ascii="Arial" w:cs="Arial" w:eastAsia="Arial" w:hAnsi="Arial"/>
                <w:sz w:val="18"/>
                <w:szCs w:val="18"/>
                <w:b w:val="1"/>
                <w:bCs w:val="1"/>
                <w:color w:val="auto"/>
                <w:w w:val="94"/>
              </w:rPr>
              <w:t>Number</w:t>
            </w:r>
          </w:p>
        </w:tc>
        <w:tc>
          <w:tcPr>
            <w:tcW w:w="928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Exhibit Title</w:t>
            </w:r>
          </w:p>
        </w:tc>
      </w:tr>
      <w:tr>
        <w:trPr>
          <w:trHeight w:val="20"/>
        </w:trPr>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221"/>
        </w:trPr>
        <w:tc>
          <w:tcPr>
            <w:tcW w:w="280" w:type="dxa"/>
            <w:vAlign w:val="bottom"/>
          </w:tcPr>
          <w:p>
            <w:pPr>
              <w:spacing w:after="0"/>
              <w:rPr>
                <w:sz w:val="19"/>
                <w:szCs w:val="19"/>
                <w:color w:val="auto"/>
              </w:rPr>
            </w:pPr>
          </w:p>
        </w:tc>
        <w:tc>
          <w:tcPr>
            <w:tcW w:w="640" w:type="dxa"/>
            <w:vAlign w:val="bottom"/>
          </w:tcPr>
          <w:p>
            <w:pPr>
              <w:jc w:val="center"/>
              <w:ind w:right="270"/>
              <w:spacing w:after="0"/>
              <w:rPr>
                <w:sz w:val="20"/>
                <w:szCs w:val="20"/>
                <w:color w:val="auto"/>
              </w:rPr>
            </w:pPr>
            <w:r>
              <w:rPr>
                <w:rFonts w:ascii="Arial" w:cs="Arial" w:eastAsia="Arial" w:hAnsi="Arial"/>
                <w:sz w:val="18"/>
                <w:szCs w:val="18"/>
                <w:color w:val="auto"/>
                <w:w w:val="95"/>
              </w:rPr>
              <w:t>3.1</w:t>
            </w:r>
          </w:p>
        </w:tc>
        <w:tc>
          <w:tcPr>
            <w:tcW w:w="46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 the Company’s</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Quarterly Report on Form 10-Q (File No. 000-20797) for the quarter ended June 30, 2008)</w:t>
            </w:r>
          </w:p>
        </w:tc>
      </w:tr>
      <w:tr>
        <w:trPr>
          <w:trHeight w:val="21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Rush Enterprises, Inc. Amended and Restated Bylaws (incorporated herein by reference to Exhibit 3.1 of the Company’s Current</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Report on Form 8-K (File No. 000-20797) filed May 21,2013)</w:t>
            </w:r>
          </w:p>
        </w:tc>
      </w:tr>
      <w:tr>
        <w:trPr>
          <w:trHeight w:val="21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1"/>
              </w:rPr>
              <w:t>Third Amendment to Credit Agreement, dated July 11, 2013, among Rush Truck Centers of Alabama, Inc., Rush Truck Centers</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7"/>
              </w:rPr>
              <w:t>of Arizona, Inc., Rush Truck Centers of California, Inc., Rush Medium Duty Truck Centers of Colorado, Inc., Rush Truck</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Centers of Colorado, Inc., Rush Truck Centers of Florida, Inc., Rush Truck Centers of Georgia, Inc., Rush Truck Centers of New</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5"/>
              </w:rPr>
              <w:t>Mexico, Inc., Rush Truck Centers of Oklahoma, Inc., Rush Truck Centers of Tennessee, Inc., Rush Truck Centers of North</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Carolina, Inc., Rush Truck Centers of Idaho, Inc., Rush Truck Centers of Utah, Inc., Rush Truck Centers of Oregon, Inc., Rush</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Truck Centers of Ohio, Inc., Rush Truck Centers of Kansas, Inc., Rush Truck Centers of Missouri, Inc., Rush Truck Centers of</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Texas, L.P., Rush Enterprises, Inc., the Lenders party thereto, and GE Capital Commercial Inc. (incorporated herein by reference</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to Exhibit 10.1 of the Company’s Current Report on Form 8-K (File No. 000-20797) filed July 16, 2013)</w:t>
            </w:r>
          </w:p>
        </w:tc>
      </w:tr>
      <w:tr>
        <w:trPr>
          <w:trHeight w:val="215"/>
        </w:trPr>
        <w:tc>
          <w:tcPr>
            <w:tcW w:w="920" w:type="dxa"/>
            <w:vAlign w:val="bottom"/>
            <w:gridSpan w:val="2"/>
          </w:tcPr>
          <w:p>
            <w:pPr>
              <w:jc w:val="cente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Retirement and Transition Agreement, dated May 20, 2013, by and between the Company and W. Marvin Rush (incorporated</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4"/>
              </w:rPr>
              <w:t>herein by reference to Exhibit 10.1 of the Company’s Current Report on Form 8-K (File No. 000-20797) filed May 21, 2013)</w:t>
            </w:r>
          </w:p>
        </w:tc>
      </w:tr>
      <w:tr>
        <w:trPr>
          <w:trHeight w:val="21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Sarbanes-Oxley Act of</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2002.</w:t>
            </w:r>
          </w:p>
        </w:tc>
        <w:tc>
          <w:tcPr>
            <w:tcW w:w="8360" w:type="dxa"/>
            <w:vAlign w:val="bottom"/>
          </w:tcPr>
          <w:p>
            <w:pPr>
              <w:spacing w:after="0"/>
              <w:rPr>
                <w:sz w:val="18"/>
                <w:szCs w:val="18"/>
                <w:color w:val="auto"/>
              </w:rPr>
            </w:pPr>
          </w:p>
        </w:tc>
      </w:tr>
      <w:tr>
        <w:trPr>
          <w:trHeight w:val="21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Certification of CFO pursuant to Rules 13a-14(a) and 15d-14(a) adopted pursuant to Section 302 of the Sarbanes-Oxley Act of</w:t>
            </w:r>
          </w:p>
        </w:tc>
      </w:tr>
      <w:tr>
        <w:trPr>
          <w:trHeight w:val="215"/>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2002.</w:t>
            </w:r>
          </w:p>
        </w:tc>
        <w:tc>
          <w:tcPr>
            <w:tcW w:w="8360" w:type="dxa"/>
            <w:vAlign w:val="bottom"/>
          </w:tcPr>
          <w:p>
            <w:pPr>
              <w:spacing w:after="0"/>
              <w:rPr>
                <w:sz w:val="18"/>
                <w:szCs w:val="18"/>
                <w:color w:val="auto"/>
              </w:rPr>
            </w:pPr>
          </w:p>
        </w:tc>
      </w:tr>
      <w:tr>
        <w:trPr>
          <w:trHeight w:val="21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Certification of CEO pursuant to 18 U.S.C. Section 1350 as adopted pursuant to Section 906 of the Sarbanes-Oxley Act of 2002.</w:t>
            </w:r>
          </w:p>
        </w:tc>
      </w:tr>
      <w:tr>
        <w:trPr>
          <w:trHeight w:val="215"/>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7"/>
              </w:rPr>
              <w:t>32.2**</w:t>
            </w:r>
          </w:p>
        </w:tc>
        <w:tc>
          <w:tcPr>
            <w:tcW w:w="4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 Act of 2002.</w:t>
            </w:r>
          </w:p>
        </w:tc>
      </w:tr>
      <w:tr>
        <w:trPr>
          <w:trHeight w:val="215"/>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5"/>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5"/>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5"/>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8" w:lineRule="exact"/>
        <w:rPr>
          <w:rFonts w:ascii="Arial" w:cs="Arial" w:eastAsia="Arial" w:hAnsi="Arial"/>
          <w:sz w:val="18"/>
          <w:szCs w:val="18"/>
          <w:color w:val="auto"/>
        </w:rPr>
      </w:pPr>
    </w:p>
    <w:p>
      <w:pPr>
        <w:ind w:left="652" w:hanging="652"/>
        <w:spacing w:after="0"/>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compensating plan or arrangement</w:t>
      </w:r>
    </w:p>
    <w:p>
      <w:pPr>
        <w:spacing w:after="0" w:line="8" w:lineRule="exact"/>
        <w:rPr>
          <w:sz w:val="20"/>
          <w:szCs w:val="20"/>
          <w:color w:val="auto"/>
        </w:rPr>
      </w:pPr>
    </w:p>
    <w:p>
      <w:pPr>
        <w:ind w:left="652" w:hanging="652"/>
        <w:spacing w:after="0" w:line="276"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72"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32"/>
          </w:cols>
          <w:pgMar w:left="248" w:top="606"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3" w:lineRule="exact"/>
        <w:rPr>
          <w:rFonts w:ascii="Arial" w:cs="Arial" w:eastAsia="Arial" w:hAnsi="Arial"/>
          <w:sz w:val="18"/>
          <w:szCs w:val="18"/>
          <w:color w:val="auto"/>
        </w:rPr>
      </w:pPr>
    </w:p>
    <w:p>
      <w:pPr>
        <w:ind w:firstLine="8"/>
        <w:spacing w:after="0" w:line="340" w:lineRule="auto"/>
        <w:tabs>
          <w:tab w:leader="none" w:pos="3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20" w:firstLine="8"/>
        <w:spacing w:after="0" w:line="276" w:lineRule="auto"/>
        <w:tabs>
          <w:tab w:leader="none" w:pos="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right="20" w:firstLine="8"/>
        <w:spacing w:after="0" w:line="262" w:lineRule="auto"/>
        <w:tabs>
          <w:tab w:leader="none" w:pos="4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20" w:firstLine="654"/>
        <w:spacing w:after="0" w:line="262" w:lineRule="auto"/>
        <w:tabs>
          <w:tab w:leader="none" w:pos="12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4"/>
        <w:spacing w:after="0" w:line="262" w:lineRule="auto"/>
        <w:tabs>
          <w:tab w:leader="none" w:pos="11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4"/>
        <w:spacing w:after="0" w:line="306" w:lineRule="auto"/>
        <w:tabs>
          <w:tab w:leader="none" w:pos="1178"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7"/>
          <w:szCs w:val="17"/>
          <w:color w:val="auto"/>
        </w:rPr>
      </w:pPr>
    </w:p>
    <w:p>
      <w:pPr>
        <w:jc w:val="both"/>
        <w:ind w:firstLine="654"/>
        <w:spacing w:after="0" w:line="262" w:lineRule="auto"/>
        <w:tabs>
          <w:tab w:leader="none" w:pos="117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0" w:firstLine="8"/>
        <w:spacing w:after="0" w:line="306" w:lineRule="auto"/>
        <w:tabs>
          <w:tab w:leader="none" w:pos="3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7"/>
          <w:szCs w:val="17"/>
          <w:color w:val="auto"/>
        </w:rPr>
      </w:pPr>
    </w:p>
    <w:p>
      <w:pPr>
        <w:ind w:right="20" w:firstLine="654"/>
        <w:spacing w:after="0" w:line="276" w:lineRule="auto"/>
        <w:tabs>
          <w:tab w:leader="none" w:pos="12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right="20" w:firstLine="654"/>
        <w:spacing w:after="0" w:line="276" w:lineRule="auto"/>
        <w:tabs>
          <w:tab w:leader="none" w:pos="1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600" w:val="left"/>
          <w:tab w:leader="none" w:pos="5700" w:val="left"/>
        </w:tabs>
        <w:rPr>
          <w:sz w:val="20"/>
          <w:szCs w:val="20"/>
          <w:color w:val="auto"/>
        </w:rPr>
      </w:pPr>
      <w:r>
        <w:rPr>
          <w:rFonts w:ascii="Arial" w:cs="Arial" w:eastAsia="Arial" w:hAnsi="Arial"/>
          <w:sz w:val="18"/>
          <w:szCs w:val="18"/>
          <w:color w:val="auto"/>
        </w:rPr>
        <w:t>Date:</w:t>
        <w:tab/>
        <w:t>August 9, 2013</w:t>
      </w:r>
      <w:r>
        <w:rPr>
          <w:sz w:val="20"/>
          <w:szCs w:val="20"/>
          <w:color w:val="auto"/>
        </w:rPr>
        <w:tab/>
      </w:r>
      <w:r>
        <w:rPr>
          <w:rFonts w:ascii="Arial" w:cs="Arial" w:eastAsia="Arial" w:hAnsi="Arial"/>
          <w:sz w:val="17"/>
          <w:szCs w:val="17"/>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22860</wp:posOffset>
            </wp:positionV>
            <wp:extent cx="25298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40"/>
          </w:cols>
          <w:pgMar w:left="240" w:top="125" w:right="6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3" w:lineRule="exact"/>
        <w:rPr>
          <w:rFonts w:ascii="Arial" w:cs="Arial" w:eastAsia="Arial" w:hAnsi="Arial"/>
          <w:sz w:val="18"/>
          <w:szCs w:val="18"/>
          <w:color w:val="auto"/>
        </w:rPr>
      </w:pPr>
    </w:p>
    <w:p>
      <w:pPr>
        <w:ind w:firstLine="8"/>
        <w:spacing w:after="0" w:line="340" w:lineRule="auto"/>
        <w:tabs>
          <w:tab w:leader="none" w:pos="3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20" w:firstLine="8"/>
        <w:spacing w:after="0" w:line="276"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right="20" w:firstLine="8"/>
        <w:spacing w:after="0" w:line="262" w:lineRule="auto"/>
        <w:tabs>
          <w:tab w:leader="none" w:pos="4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20" w:firstLine="654"/>
        <w:spacing w:after="0" w:line="262" w:lineRule="auto"/>
        <w:tabs>
          <w:tab w:leader="none" w:pos="12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4"/>
        <w:spacing w:after="0" w:line="262" w:lineRule="auto"/>
        <w:tabs>
          <w:tab w:leader="none" w:pos="11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4"/>
        <w:spacing w:after="0" w:line="306" w:lineRule="auto"/>
        <w:tabs>
          <w:tab w:leader="none" w:pos="1178"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7"/>
          <w:szCs w:val="17"/>
          <w:color w:val="auto"/>
        </w:rPr>
      </w:pPr>
    </w:p>
    <w:p>
      <w:pPr>
        <w:jc w:val="both"/>
        <w:ind w:firstLine="654"/>
        <w:spacing w:after="0" w:line="262" w:lineRule="auto"/>
        <w:tabs>
          <w:tab w:leader="none" w:pos="11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0" w:firstLine="8"/>
        <w:spacing w:after="0" w:line="306" w:lineRule="auto"/>
        <w:tabs>
          <w:tab w:leader="none" w:pos="3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7"/>
          <w:szCs w:val="17"/>
          <w:color w:val="auto"/>
        </w:rPr>
      </w:pPr>
    </w:p>
    <w:p>
      <w:pPr>
        <w:ind w:right="20" w:firstLine="654"/>
        <w:spacing w:after="0" w:line="276" w:lineRule="auto"/>
        <w:tabs>
          <w:tab w:leader="none" w:pos="121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right="20" w:firstLine="654"/>
        <w:spacing w:after="0" w:line="276" w:lineRule="auto"/>
        <w:tabs>
          <w:tab w:leader="none" w:pos="11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0" w:val="left"/>
          <w:tab w:leader="none" w:pos="5700" w:val="left"/>
        </w:tabs>
        <w:rPr>
          <w:sz w:val="20"/>
          <w:szCs w:val="20"/>
          <w:color w:val="auto"/>
        </w:rPr>
      </w:pPr>
      <w:r>
        <w:rPr>
          <w:rFonts w:ascii="Arial" w:cs="Arial" w:eastAsia="Arial" w:hAnsi="Arial"/>
          <w:sz w:val="18"/>
          <w:szCs w:val="18"/>
          <w:color w:val="auto"/>
        </w:rPr>
        <w:t>Date:</w:t>
        <w:tab/>
        <w:t>August 9, 2013</w:t>
      </w:r>
      <w:r>
        <w:rPr>
          <w:sz w:val="20"/>
          <w:szCs w:val="20"/>
          <w:color w:val="auto"/>
        </w:rPr>
        <w:tab/>
      </w:r>
      <w:r>
        <w:rPr>
          <w:rFonts w:ascii="Arial" w:cs="Arial" w:eastAsia="Arial" w:hAnsi="Arial"/>
          <w:sz w:val="17"/>
          <w:szCs w:val="17"/>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22860</wp:posOffset>
            </wp:positionV>
            <wp:extent cx="25298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Keller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40"/>
          </w:cols>
          <w:pgMar w:left="240" w:top="125" w:right="6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2013,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3" w:lineRule="exact"/>
        <w:rPr>
          <w:sz w:val="20"/>
          <w:szCs w:val="20"/>
          <w:color w:val="auto"/>
        </w:rPr>
      </w:pPr>
    </w:p>
    <w:p>
      <w:pPr>
        <w:ind w:left="1300" w:hanging="646"/>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300" w:right="20" w:hanging="646"/>
        <w:spacing w:after="0" w:line="27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p>
      <w:pPr>
        <w:ind w:left="502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-10795</wp:posOffset>
            </wp:positionV>
            <wp:extent cx="14452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526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W.M. “Rusty” Rush</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Chairman, President and Chief Executive Officer</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Date: August 9, 2013</w:t>
      </w:r>
    </w:p>
    <w:p>
      <w:pPr>
        <w:spacing w:after="0" w:line="200" w:lineRule="exact"/>
        <w:rPr>
          <w:sz w:val="20"/>
          <w:szCs w:val="20"/>
          <w:color w:val="auto"/>
        </w:rPr>
      </w:pP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5" w:right="6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2013,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1300" w:hanging="646"/>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300" w:right="20" w:hanging="646"/>
        <w:spacing w:after="0" w:line="27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Steven L. Keller</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Senior Vice President and Chief Financial Officer</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Date: August 9, 2013</w:t>
      </w:r>
    </w:p>
    <w:p>
      <w:pPr>
        <w:spacing w:after="0" w:line="200" w:lineRule="exact"/>
        <w:rPr>
          <w:sz w:val="20"/>
          <w:szCs w:val="20"/>
          <w:color w:val="auto"/>
        </w:rPr>
      </w:pP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endash "/>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2019-12-06T15:27:51Z</dcterms:created>
  <dcterms:modified xsi:type="dcterms:W3CDTF">2019-12-06T15:27:51Z</dcterms:modified>
</cp:coreProperties>
</file>