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27" w:lineRule="exact"/>
        <w:rPr>
          <w:sz w:val="24"/>
          <w:szCs w:val="24"/>
          <w:color w:val="auto"/>
        </w:rPr>
      </w:pPr>
    </w:p>
    <w:p>
      <w:pPr>
        <w:ind w:left="640" w:hanging="635"/>
        <w:spacing w:after="0"/>
        <w:tabs>
          <w:tab w:leader="none" w:pos="6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07" w:lineRule="exact"/>
        <w:rPr>
          <w:rFonts w:ascii="MS PGothic" w:cs="MS PGothic" w:eastAsia="MS PGothic" w:hAnsi="MS PGothic"/>
          <w:sz w:val="17"/>
          <w:szCs w:val="17"/>
          <w:color w:val="auto"/>
        </w:rPr>
      </w:pPr>
    </w:p>
    <w:p>
      <w:pPr>
        <w:ind w:left="386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For the quarterly period ended March 31,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OR</w:t>
      </w:r>
    </w:p>
    <w:p>
      <w:pPr>
        <w:spacing w:after="0" w:line="27" w:lineRule="exact"/>
        <w:rPr>
          <w:sz w:val="24"/>
          <w:szCs w:val="24"/>
          <w:color w:val="auto"/>
        </w:rPr>
      </w:pPr>
    </w:p>
    <w:p>
      <w:pPr>
        <w:ind w:left="640" w:hanging="635"/>
        <w:spacing w:after="0"/>
        <w:tabs>
          <w:tab w:leader="none" w:pos="6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09"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7"/>
          <w:szCs w:val="17"/>
          <w:color w:val="auto"/>
        </w:rPr>
        <w:t>For the transition period from _____________________ to _______________________</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RUSH ENTERPRISES,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461" w:right="339" w:bottom="739" w:gutter="0" w:footer="0" w:header="0"/>
        </w:sectPr>
      </w:pPr>
    </w:p>
    <w:p>
      <w:pPr>
        <w:spacing w:after="0" w:line="205"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7"/>
          <w:szCs w:val="17"/>
          <w:color w:val="auto"/>
        </w:rPr>
        <w:t>Texas</w:t>
      </w:r>
    </w:p>
    <w:p>
      <w:pPr>
        <w:spacing w:after="0" w:line="32"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14"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7"/>
          <w:szCs w:val="17"/>
          <w:color w:val="auto"/>
        </w:rPr>
        <w:t>74-1733016</w:t>
      </w:r>
    </w:p>
    <w:p>
      <w:pPr>
        <w:spacing w:after="0" w:line="32"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409" w:lineRule="exact"/>
        <w:rPr>
          <w:sz w:val="24"/>
          <w:szCs w:val="24"/>
          <w:color w:val="auto"/>
        </w:rPr>
      </w:pPr>
    </w:p>
    <w:p>
      <w:pPr>
        <w:sectPr>
          <w:pgSz w:w="11900" w:h="16838" w:orient="portrait"/>
          <w:cols w:equalWidth="0" w:num="2">
            <w:col w:w="6440" w:space="720"/>
            <w:col w:w="4080"/>
          </w:cols>
          <w:pgMar w:left="320" w:top="461" w:right="339" w:bottom="739" w:gutter="0" w:footer="0" w:header="0"/>
          <w:type w:val="continuous"/>
        </w:sectPr>
      </w:pP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555 I.H. 35 South, Suite 500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New Braunfels, Texas 78130</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(Zip Code)</w:t>
      </w:r>
    </w:p>
    <w:p>
      <w:pPr>
        <w:sectPr>
          <w:pgSz w:w="11900" w:h="16838" w:orient="portrait"/>
          <w:cols w:equalWidth="0" w:num="1">
            <w:col w:w="11240"/>
          </w:cols>
          <w:pgMar w:left="320" w:top="461" w:right="339" w:bottom="739" w:gutter="0" w:footer="0" w:header="0"/>
          <w:type w:val="continuous"/>
        </w:sect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(830) 302-5200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5" w:lineRule="exact"/>
        <w:rPr>
          <w:sz w:val="24"/>
          <w:szCs w:val="24"/>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420"/>
        <w:spacing w:after="0" w:line="196" w:lineRule="exact"/>
        <w:tabs>
          <w:tab w:leader="none" w:pos="232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firstLine="557"/>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9" w:lineRule="exact"/>
        <w:rPr>
          <w:sz w:val="24"/>
          <w:szCs w:val="24"/>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p>
      <w:pPr>
        <w:spacing w:after="0" w:line="196" w:lineRule="exact"/>
        <w:tabs>
          <w:tab w:leader="none" w:pos="2800" w:val="left"/>
          <w:tab w:leader="none" w:pos="5600" w:val="left"/>
          <w:tab w:leader="none" w:pos="8420" w:val="left"/>
        </w:tabs>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84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9" w:lineRule="exact"/>
        <w:rPr>
          <w:sz w:val="24"/>
          <w:szCs w:val="24"/>
          <w:color w:val="auto"/>
        </w:rPr>
      </w:pPr>
    </w:p>
    <w:p>
      <w:pPr>
        <w:jc w:val="both"/>
        <w:ind w:firstLine="627"/>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461" w:right="339" w:bottom="739" w:gutter="0" w:footer="0" w:header="0"/>
          <w:type w:val="continuous"/>
        </w:sectPr>
      </w:pPr>
    </w:p>
    <w:p>
      <w:pPr>
        <w:spacing w:after="0" w:line="38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w:t>
      </w:r>
    </w:p>
    <w:p>
      <w:pPr>
        <w:spacing w:after="0" w:line="32" w:lineRule="exact"/>
        <w:rPr>
          <w:sz w:val="24"/>
          <w:szCs w:val="24"/>
          <w:color w:val="auto"/>
        </w:rPr>
      </w:pPr>
    </w:p>
    <w:p>
      <w:pPr>
        <w:ind w:left="3800"/>
        <w:spacing w:after="0" w:line="196" w:lineRule="exact"/>
        <w:tabs>
          <w:tab w:leader="none" w:pos="500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360" w:space="120"/>
            <w:col w:w="10760"/>
          </w:cols>
          <w:pgMar w:left="320" w:top="461" w:right="339" w:bottom="739" w:gutter="0" w:footer="0" w:header="0"/>
          <w:type w:val="continuous"/>
        </w:sectPr>
      </w:pPr>
    </w:p>
    <w:p>
      <w:pPr>
        <w:spacing w:after="0" w:line="5"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7"/>
          <w:szCs w:val="17"/>
          <w:color w:val="auto"/>
        </w:rPr>
        <w:t>Indicated below is the number of shares outstanding of each of the issuer’s classes of common stock, as of May 2, 2023.</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60" w:type="dxa"/>
            <w:vAlign w:val="bottom"/>
            <w:gridSpan w:val="3"/>
          </w:tcPr>
          <w:p>
            <w:pPr>
              <w:jc w:val="center"/>
              <w:ind w:right="1680"/>
              <w:spacing w:after="0"/>
              <w:rPr>
                <w:sz w:val="20"/>
                <w:szCs w:val="20"/>
                <w:color w:val="auto"/>
              </w:rPr>
            </w:pPr>
            <w:r>
              <w:rPr>
                <w:rFonts w:ascii="Times New Roman" w:cs="Times New Roman" w:eastAsia="Times New Roman" w:hAnsi="Times New Roman"/>
                <w:sz w:val="17"/>
                <w:szCs w:val="17"/>
                <w:color w:val="auto"/>
              </w:rPr>
              <w:t>Number of Shares</w:t>
            </w:r>
          </w:p>
        </w:tc>
        <w:tc>
          <w:tcPr>
            <w:tcW w:w="40" w:type="dxa"/>
            <w:vAlign w:val="bottom"/>
          </w:tcPr>
          <w:p>
            <w:pPr>
              <w:spacing w:after="0"/>
              <w:rPr>
                <w:sz w:val="18"/>
                <w:szCs w:val="18"/>
                <w:color w:val="auto"/>
              </w:rPr>
            </w:pPr>
          </w:p>
        </w:tc>
      </w:tr>
      <w:tr>
        <w:trPr>
          <w:trHeight w:val="188"/>
        </w:trPr>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4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Title of Class</w:t>
            </w:r>
          </w:p>
        </w:tc>
        <w:tc>
          <w:tcPr>
            <w:tcW w:w="1580" w:type="dxa"/>
            <w:vAlign w:val="bottom"/>
            <w:gridSpan w:val="2"/>
          </w:tcPr>
          <w:p>
            <w:pPr>
              <w:spacing w:after="0"/>
              <w:rPr>
                <w:sz w:val="16"/>
                <w:szCs w:val="16"/>
                <w:color w:val="auto"/>
              </w:rPr>
            </w:pPr>
          </w:p>
        </w:tc>
        <w:tc>
          <w:tcPr>
            <w:tcW w:w="2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Outstanding</w:t>
            </w:r>
          </w:p>
        </w:tc>
        <w:tc>
          <w:tcPr>
            <w:tcW w:w="23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0"/>
        </w:trPr>
        <w:tc>
          <w:tcPr>
            <w:tcW w:w="80" w:type="dxa"/>
            <w:vAlign w:val="bottom"/>
          </w:tcPr>
          <w:p>
            <w:pPr>
              <w:spacing w:after="0"/>
              <w:rPr>
                <w:sz w:val="18"/>
                <w:szCs w:val="18"/>
                <w:color w:val="auto"/>
              </w:rPr>
            </w:pPr>
          </w:p>
        </w:tc>
        <w:tc>
          <w:tcPr>
            <w:tcW w:w="4760" w:type="dxa"/>
            <w:vAlign w:val="bottom"/>
            <w:gridSpan w:val="4"/>
          </w:tcPr>
          <w:p>
            <w:pPr>
              <w:ind w:left="1340"/>
              <w:spacing w:after="0"/>
              <w:rPr>
                <w:sz w:val="20"/>
                <w:szCs w:val="20"/>
                <w:color w:val="auto"/>
              </w:rPr>
            </w:pPr>
            <w:r>
              <w:rPr>
                <w:rFonts w:ascii="Times New Roman" w:cs="Times New Roman" w:eastAsia="Times New Roman" w:hAnsi="Times New Roman"/>
                <w:sz w:val="17"/>
                <w:szCs w:val="17"/>
                <w:color w:val="auto"/>
              </w:rPr>
              <w:t>Class A Common Stock, $.01 Par Value</w:t>
            </w:r>
          </w:p>
        </w:tc>
        <w:tc>
          <w:tcPr>
            <w:tcW w:w="2500" w:type="dxa"/>
            <w:vAlign w:val="bottom"/>
          </w:tcPr>
          <w:p>
            <w:pPr>
              <w:spacing w:after="0"/>
              <w:rPr>
                <w:sz w:val="18"/>
                <w:szCs w:val="18"/>
                <w:color w:val="auto"/>
              </w:rPr>
            </w:pPr>
          </w:p>
        </w:tc>
        <w:tc>
          <w:tcPr>
            <w:tcW w:w="1520" w:type="dxa"/>
            <w:vAlign w:val="bottom"/>
            <w:gridSpan w:val="2"/>
          </w:tcPr>
          <w:p>
            <w:pPr>
              <w:jc w:val="center"/>
              <w:ind w:left="573"/>
              <w:spacing w:after="0"/>
              <w:rPr>
                <w:sz w:val="20"/>
                <w:szCs w:val="20"/>
                <w:color w:val="auto"/>
              </w:rPr>
            </w:pPr>
            <w:r>
              <w:rPr>
                <w:rFonts w:ascii="Times New Roman" w:cs="Times New Roman" w:eastAsia="Times New Roman" w:hAnsi="Times New Roman"/>
                <w:sz w:val="17"/>
                <w:szCs w:val="17"/>
                <w:color w:val="auto"/>
              </w:rPr>
              <w:t>42,020,101</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80" w:type="dxa"/>
            <w:vAlign w:val="bottom"/>
          </w:tcPr>
          <w:p>
            <w:pPr>
              <w:spacing w:after="0"/>
              <w:rPr>
                <w:sz w:val="19"/>
                <w:szCs w:val="19"/>
                <w:color w:val="auto"/>
              </w:rPr>
            </w:pPr>
          </w:p>
        </w:tc>
        <w:tc>
          <w:tcPr>
            <w:tcW w:w="4760" w:type="dxa"/>
            <w:vAlign w:val="bottom"/>
            <w:gridSpan w:val="4"/>
          </w:tcPr>
          <w:p>
            <w:pPr>
              <w:ind w:left="1340"/>
              <w:spacing w:after="0"/>
              <w:rPr>
                <w:sz w:val="20"/>
                <w:szCs w:val="20"/>
                <w:color w:val="auto"/>
              </w:rPr>
            </w:pPr>
            <w:r>
              <w:rPr>
                <w:rFonts w:ascii="Times New Roman" w:cs="Times New Roman" w:eastAsia="Times New Roman" w:hAnsi="Times New Roman"/>
                <w:sz w:val="17"/>
                <w:szCs w:val="17"/>
                <w:color w:val="auto"/>
              </w:rPr>
              <w:t>Class B Common Stock, $.01 Par Value</w:t>
            </w:r>
          </w:p>
        </w:tc>
        <w:tc>
          <w:tcPr>
            <w:tcW w:w="2500" w:type="dxa"/>
            <w:vAlign w:val="bottom"/>
          </w:tcPr>
          <w:p>
            <w:pPr>
              <w:spacing w:after="0"/>
              <w:rPr>
                <w:sz w:val="19"/>
                <w:szCs w:val="19"/>
                <w:color w:val="auto"/>
              </w:rPr>
            </w:pPr>
          </w:p>
        </w:tc>
        <w:tc>
          <w:tcPr>
            <w:tcW w:w="1520" w:type="dxa"/>
            <w:vAlign w:val="bottom"/>
            <w:gridSpan w:val="2"/>
          </w:tcPr>
          <w:p>
            <w:pPr>
              <w:jc w:val="center"/>
              <w:ind w:left="573"/>
              <w:spacing w:after="0"/>
              <w:rPr>
                <w:sz w:val="20"/>
                <w:szCs w:val="20"/>
                <w:color w:val="auto"/>
              </w:rPr>
            </w:pPr>
            <w:r>
              <w:rPr>
                <w:rFonts w:ascii="Times New Roman" w:cs="Times New Roman" w:eastAsia="Times New Roman" w:hAnsi="Times New Roman"/>
                <w:sz w:val="17"/>
                <w:szCs w:val="17"/>
                <w:color w:val="auto"/>
              </w:rPr>
              <w:t>12,264,252</w:t>
            </w: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80" w:type="dxa"/>
            <w:vAlign w:val="bottom"/>
          </w:tcPr>
          <w:p>
            <w:pPr>
              <w:spacing w:after="0"/>
              <w:rPr>
                <w:sz w:val="24"/>
                <w:szCs w:val="24"/>
                <w:color w:val="auto"/>
              </w:rPr>
            </w:pPr>
          </w:p>
        </w:tc>
        <w:tc>
          <w:tcPr>
            <w:tcW w:w="476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6"/>
        </w:trPr>
        <w:tc>
          <w:tcPr>
            <w:tcW w:w="80" w:type="dxa"/>
            <w:vAlign w:val="bottom"/>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182"/>
        </w:trPr>
        <w:tc>
          <w:tcPr>
            <w:tcW w:w="80" w:type="dxa"/>
            <w:vAlign w:val="bottom"/>
            <w:tcBorders>
              <w:right w:val="single" w:sz="8" w:color="auto"/>
            </w:tcBorders>
          </w:tcPr>
          <w:p>
            <w:pPr>
              <w:spacing w:after="0"/>
              <w:rPr>
                <w:sz w:val="15"/>
                <w:szCs w:val="15"/>
                <w:color w:val="auto"/>
              </w:rPr>
            </w:pPr>
          </w:p>
        </w:tc>
        <w:tc>
          <w:tcPr>
            <w:tcW w:w="4040" w:type="dxa"/>
            <w:vAlign w:val="bottom"/>
            <w:tcBorders>
              <w:bottom w:val="single" w:sz="8" w:color="auto"/>
              <w:right w:val="single" w:sz="8" w:color="auto"/>
            </w:tcBorders>
            <w:gridSpan w:val="3"/>
          </w:tcPr>
          <w:p>
            <w:pPr>
              <w:ind w:left="1360"/>
              <w:spacing w:after="0" w:line="163" w:lineRule="exact"/>
              <w:rPr>
                <w:sz w:val="20"/>
                <w:szCs w:val="20"/>
                <w:color w:val="auto"/>
              </w:rPr>
            </w:pPr>
            <w:r>
              <w:rPr>
                <w:rFonts w:ascii="Times New Roman" w:cs="Times New Roman" w:eastAsia="Times New Roman" w:hAnsi="Times New Roman"/>
                <w:sz w:val="17"/>
                <w:szCs w:val="17"/>
                <w:color w:val="auto"/>
              </w:rPr>
              <w:t>Title of each class</w:t>
            </w:r>
          </w:p>
        </w:tc>
        <w:tc>
          <w:tcPr>
            <w:tcW w:w="720" w:type="dxa"/>
            <w:vAlign w:val="bottom"/>
            <w:tcBorders>
              <w:bottom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jc w:val="center"/>
              <w:ind w:right="733"/>
              <w:spacing w:after="0" w:line="163" w:lineRule="exact"/>
              <w:rPr>
                <w:sz w:val="20"/>
                <w:szCs w:val="20"/>
                <w:color w:val="auto"/>
              </w:rPr>
            </w:pPr>
            <w:r>
              <w:rPr>
                <w:rFonts w:ascii="Times New Roman" w:cs="Times New Roman" w:eastAsia="Times New Roman" w:hAnsi="Times New Roman"/>
                <w:sz w:val="17"/>
                <w:szCs w:val="17"/>
                <w:color w:val="auto"/>
              </w:rPr>
              <w:t>Trading Symbol(s)</w:t>
            </w:r>
          </w:p>
        </w:tc>
        <w:tc>
          <w:tcPr>
            <w:tcW w:w="3860" w:type="dxa"/>
            <w:vAlign w:val="bottom"/>
            <w:tcBorders>
              <w:bottom w:val="single" w:sz="8" w:color="auto"/>
              <w:right w:val="single" w:sz="8" w:color="auto"/>
            </w:tcBorders>
            <w:gridSpan w:val="3"/>
          </w:tcPr>
          <w:p>
            <w:pPr>
              <w:jc w:val="center"/>
              <w:ind w:right="60"/>
              <w:spacing w:after="0" w:line="163" w:lineRule="exact"/>
              <w:rPr>
                <w:sz w:val="20"/>
                <w:szCs w:val="20"/>
                <w:color w:val="auto"/>
              </w:rPr>
            </w:pPr>
            <w:r>
              <w:rPr>
                <w:rFonts w:ascii="Times New Roman" w:cs="Times New Roman" w:eastAsia="Times New Roman" w:hAnsi="Times New Roman"/>
                <w:sz w:val="17"/>
                <w:szCs w:val="17"/>
                <w:color w:val="auto"/>
              </w:rPr>
              <w:t>Name of each exchange on which registered</w:t>
            </w:r>
          </w:p>
        </w:tc>
        <w:tc>
          <w:tcPr>
            <w:tcW w:w="40" w:type="dxa"/>
            <w:vAlign w:val="bottom"/>
          </w:tcPr>
          <w:p>
            <w:pPr>
              <w:spacing w:after="0"/>
              <w:rPr>
                <w:sz w:val="15"/>
                <w:szCs w:val="15"/>
                <w:color w:val="auto"/>
              </w:rPr>
            </w:pPr>
          </w:p>
        </w:tc>
      </w:tr>
      <w:tr>
        <w:trPr>
          <w:trHeight w:val="186"/>
        </w:trPr>
        <w:tc>
          <w:tcPr>
            <w:tcW w:w="80" w:type="dxa"/>
            <w:vAlign w:val="bottom"/>
            <w:tcBorders>
              <w:right w:val="single" w:sz="8" w:color="auto"/>
            </w:tcBorders>
          </w:tcPr>
          <w:p>
            <w:pPr>
              <w:spacing w:after="0"/>
              <w:rPr>
                <w:sz w:val="16"/>
                <w:szCs w:val="16"/>
                <w:color w:val="auto"/>
              </w:rPr>
            </w:pPr>
          </w:p>
        </w:tc>
        <w:tc>
          <w:tcPr>
            <w:tcW w:w="4040" w:type="dxa"/>
            <w:vAlign w:val="bottom"/>
            <w:tcBorders>
              <w:bottom w:val="single" w:sz="8" w:color="auto"/>
              <w:right w:val="single" w:sz="8" w:color="auto"/>
            </w:tcBorders>
            <w:gridSpan w:val="3"/>
          </w:tcPr>
          <w:p>
            <w:pPr>
              <w:ind w:left="600"/>
              <w:spacing w:after="0" w:line="185" w:lineRule="exact"/>
              <w:rPr>
                <w:sz w:val="20"/>
                <w:szCs w:val="20"/>
                <w:color w:val="auto"/>
              </w:rPr>
            </w:pPr>
            <w:r>
              <w:rPr>
                <w:rFonts w:ascii="Times New Roman" w:cs="Times New Roman" w:eastAsia="Times New Roman" w:hAnsi="Times New Roman"/>
                <w:sz w:val="17"/>
                <w:szCs w:val="17"/>
                <w:color w:val="auto"/>
              </w:rPr>
              <w:t>Class A Common Stock, $0.01 par value</w:t>
            </w:r>
          </w:p>
        </w:tc>
        <w:tc>
          <w:tcPr>
            <w:tcW w:w="720" w:type="dxa"/>
            <w:vAlign w:val="bottom"/>
            <w:tcBorders>
              <w:bottom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jc w:val="center"/>
              <w:ind w:right="713"/>
              <w:spacing w:after="0" w:line="185" w:lineRule="exact"/>
              <w:rPr>
                <w:sz w:val="20"/>
                <w:szCs w:val="20"/>
                <w:color w:val="auto"/>
              </w:rPr>
            </w:pPr>
            <w:r>
              <w:rPr>
                <w:rFonts w:ascii="Times New Roman" w:cs="Times New Roman" w:eastAsia="Times New Roman" w:hAnsi="Times New Roman"/>
                <w:sz w:val="17"/>
                <w:szCs w:val="17"/>
                <w:color w:val="auto"/>
              </w:rPr>
              <w:t>RUSHA</w:t>
            </w:r>
          </w:p>
        </w:tc>
        <w:tc>
          <w:tcPr>
            <w:tcW w:w="660" w:type="dxa"/>
            <w:vAlign w:val="bottom"/>
            <w:tcBorders>
              <w:bottom w:val="single" w:sz="8" w:color="auto"/>
            </w:tcBorders>
          </w:tcPr>
          <w:p>
            <w:pPr>
              <w:spacing w:after="0"/>
              <w:rPr>
                <w:sz w:val="16"/>
                <w:szCs w:val="16"/>
                <w:color w:val="auto"/>
              </w:rPr>
            </w:pPr>
          </w:p>
        </w:tc>
        <w:tc>
          <w:tcPr>
            <w:tcW w:w="3200" w:type="dxa"/>
            <w:vAlign w:val="bottom"/>
            <w:tcBorders>
              <w:bottom w:val="single" w:sz="8" w:color="auto"/>
              <w:right w:val="single" w:sz="8" w:color="auto"/>
            </w:tcBorders>
            <w:gridSpan w:val="2"/>
          </w:tcPr>
          <w:p>
            <w:pPr>
              <w:jc w:val="center"/>
              <w:ind w:right="700"/>
              <w:spacing w:after="0" w:line="185" w:lineRule="exact"/>
              <w:rPr>
                <w:sz w:val="20"/>
                <w:szCs w:val="20"/>
                <w:color w:val="auto"/>
              </w:rPr>
            </w:pPr>
            <w:r>
              <w:rPr>
                <w:rFonts w:ascii="Times New Roman" w:cs="Times New Roman" w:eastAsia="Times New Roman" w:hAnsi="Times New Roman"/>
                <w:sz w:val="17"/>
                <w:szCs w:val="17"/>
                <w:color w:val="auto"/>
              </w:rPr>
              <w:t>NASDAQ Global Select Market</w:t>
            </w:r>
          </w:p>
        </w:tc>
        <w:tc>
          <w:tcPr>
            <w:tcW w:w="40" w:type="dxa"/>
            <w:vAlign w:val="bottom"/>
          </w:tcPr>
          <w:p>
            <w:pPr>
              <w:spacing w:after="0"/>
              <w:rPr>
                <w:sz w:val="16"/>
                <w:szCs w:val="16"/>
                <w:color w:val="auto"/>
              </w:rPr>
            </w:pPr>
          </w:p>
        </w:tc>
      </w:tr>
      <w:tr>
        <w:trPr>
          <w:trHeight w:val="202"/>
        </w:trPr>
        <w:tc>
          <w:tcPr>
            <w:tcW w:w="80" w:type="dxa"/>
            <w:vAlign w:val="bottom"/>
            <w:tcBorders>
              <w:right w:val="single" w:sz="8" w:color="auto"/>
            </w:tcBorders>
          </w:tcPr>
          <w:p>
            <w:pPr>
              <w:spacing w:after="0"/>
              <w:rPr>
                <w:sz w:val="17"/>
                <w:szCs w:val="17"/>
                <w:color w:val="auto"/>
              </w:rPr>
            </w:pPr>
          </w:p>
        </w:tc>
        <w:tc>
          <w:tcPr>
            <w:tcW w:w="4040" w:type="dxa"/>
            <w:vAlign w:val="bottom"/>
            <w:tcBorders>
              <w:bottom w:val="single" w:sz="8" w:color="auto"/>
              <w:right w:val="single" w:sz="8" w:color="auto"/>
            </w:tcBorders>
            <w:gridSpan w:val="3"/>
          </w:tcPr>
          <w:p>
            <w:pPr>
              <w:ind w:left="600"/>
              <w:spacing w:after="0"/>
              <w:rPr>
                <w:sz w:val="20"/>
                <w:szCs w:val="20"/>
                <w:color w:val="auto"/>
              </w:rPr>
            </w:pPr>
            <w:r>
              <w:rPr>
                <w:rFonts w:ascii="Times New Roman" w:cs="Times New Roman" w:eastAsia="Times New Roman" w:hAnsi="Times New Roman"/>
                <w:sz w:val="17"/>
                <w:szCs w:val="17"/>
                <w:color w:val="auto"/>
              </w:rPr>
              <w:t>Class B Common Stock, $0.01 par value</w:t>
            </w:r>
          </w:p>
        </w:tc>
        <w:tc>
          <w:tcPr>
            <w:tcW w:w="720" w:type="dxa"/>
            <w:vAlign w:val="bottom"/>
            <w:tcBorders>
              <w:bottom w:val="single" w:sz="8" w:color="auto"/>
            </w:tcBorders>
          </w:tcPr>
          <w:p>
            <w:pPr>
              <w:spacing w:after="0"/>
              <w:rPr>
                <w:sz w:val="17"/>
                <w:szCs w:val="17"/>
                <w:color w:val="auto"/>
              </w:rPr>
            </w:pPr>
          </w:p>
        </w:tc>
        <w:tc>
          <w:tcPr>
            <w:tcW w:w="2500" w:type="dxa"/>
            <w:vAlign w:val="bottom"/>
            <w:tcBorders>
              <w:bottom w:val="single" w:sz="8" w:color="auto"/>
              <w:right w:val="single" w:sz="8" w:color="auto"/>
            </w:tcBorders>
          </w:tcPr>
          <w:p>
            <w:pPr>
              <w:jc w:val="center"/>
              <w:ind w:right="713"/>
              <w:spacing w:after="0"/>
              <w:rPr>
                <w:sz w:val="20"/>
                <w:szCs w:val="20"/>
                <w:color w:val="auto"/>
              </w:rPr>
            </w:pPr>
            <w:r>
              <w:rPr>
                <w:rFonts w:ascii="Times New Roman" w:cs="Times New Roman" w:eastAsia="Times New Roman" w:hAnsi="Times New Roman"/>
                <w:sz w:val="17"/>
                <w:szCs w:val="17"/>
                <w:color w:val="auto"/>
              </w:rPr>
              <w:t>RUSHB</w:t>
            </w:r>
          </w:p>
        </w:tc>
        <w:tc>
          <w:tcPr>
            <w:tcW w:w="6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NASDAQ Global Select Market</w:t>
            </w:r>
          </w:p>
        </w:tc>
        <w:tc>
          <w:tcPr>
            <w:tcW w:w="40" w:type="dxa"/>
            <w:vAlign w:val="bottom"/>
          </w:tcPr>
          <w:p>
            <w:pPr>
              <w:spacing w:after="0"/>
              <w:rPr>
                <w:sz w:val="17"/>
                <w:szCs w:val="17"/>
                <w:color w:val="auto"/>
              </w:rPr>
            </w:pPr>
          </w:p>
        </w:tc>
      </w:tr>
      <w:tr>
        <w:trPr>
          <w:trHeight w:val="548"/>
        </w:trPr>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1" w:right="339" w:bottom="739"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8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2"/>
        </w:trPr>
        <w:tc>
          <w:tcPr>
            <w:tcW w:w="9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gridSpan w:val="10"/>
          </w:tcPr>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RUSH ENTERPRISES, INC. AND SUBSIDIARIES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gridSpan w:val="7"/>
          </w:tcPr>
          <w:p>
            <w:pPr>
              <w:jc w:val="center"/>
              <w:ind w:right="400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008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700" w:type="dxa"/>
            <w:vAlign w:val="bottom"/>
          </w:tcPr>
          <w:p>
            <w:pPr>
              <w:spacing w:after="0"/>
              <w:rPr>
                <w:sz w:val="24"/>
                <w:szCs w:val="24"/>
                <w:color w:val="auto"/>
              </w:rPr>
            </w:pPr>
          </w:p>
        </w:tc>
        <w:tc>
          <w:tcPr>
            <w:tcW w:w="46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398"/>
        </w:trPr>
        <w:tc>
          <w:tcPr>
            <w:tcW w:w="10080" w:type="dxa"/>
            <w:vAlign w:val="bottom"/>
            <w:gridSpan w:val="20"/>
          </w:tcPr>
          <w:p>
            <w:pPr>
              <w:ind w:left="340"/>
              <w:spacing w:after="0"/>
              <w:rPr>
                <w:sz w:val="20"/>
                <w:szCs w:val="20"/>
                <w:color w:val="auto"/>
              </w:rPr>
            </w:pPr>
            <w:r>
              <w:rPr>
                <w:rFonts w:ascii="Times New Roman" w:cs="Times New Roman" w:eastAsia="Times New Roman" w:hAnsi="Times New Roman"/>
                <w:sz w:val="17"/>
                <w:szCs w:val="17"/>
                <w:color w:val="auto"/>
              </w:rPr>
              <w:t xml:space="preserve">Item 1. </w:t>
            </w:r>
            <w:r>
              <w:rPr>
                <w:rFonts w:ascii="Times New Roman" w:cs="Times New Roman" w:eastAsia="Times New Roman" w:hAnsi="Times New Roman"/>
                <w:sz w:val="17"/>
                <w:szCs w:val="17"/>
                <w:color w:val="0000EE"/>
              </w:rPr>
              <w:t>Financial Statements</w:t>
            </w:r>
          </w:p>
        </w:tc>
        <w:tc>
          <w:tcPr>
            <w:tcW w:w="700" w:type="dxa"/>
            <w:vAlign w:val="bottom"/>
          </w:tcPr>
          <w:p>
            <w:pPr>
              <w:spacing w:after="0"/>
              <w:rPr>
                <w:sz w:val="24"/>
                <w:szCs w:val="24"/>
                <w:color w:val="auto"/>
              </w:rPr>
            </w:pPr>
          </w:p>
        </w:tc>
        <w:tc>
          <w:tcPr>
            <w:tcW w:w="220" w:type="dxa"/>
            <w:vAlign w:val="bottom"/>
            <w:tcBorders>
              <w:top w:val="single" w:sz="8" w:color="auto"/>
            </w:tcBorders>
            <w:gridSpan w:val="2"/>
          </w:tcPr>
          <w:p>
            <w:pPr>
              <w:jc w:val="center"/>
              <w:ind w:left="53"/>
              <w:spacing w:after="0"/>
              <w:rPr>
                <w:sz w:val="20"/>
                <w:szCs w:val="20"/>
                <w:color w:val="auto"/>
              </w:rPr>
            </w:pPr>
            <w:r>
              <w:rPr>
                <w:rFonts w:ascii="Times New Roman" w:cs="Times New Roman" w:eastAsia="Times New Roman" w:hAnsi="Times New Roman"/>
                <w:sz w:val="17"/>
                <w:szCs w:val="17"/>
                <w:color w:val="0000EE"/>
                <w:w w:val="93"/>
              </w:rPr>
              <w:t>3</w:t>
            </w: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0" w:type="dxa"/>
            <w:vAlign w:val="bottom"/>
          </w:tcPr>
          <w:p>
            <w:pPr>
              <w:spacing w:after="0"/>
              <w:rPr>
                <w:sz w:val="24"/>
                <w:szCs w:val="24"/>
                <w:color w:val="auto"/>
              </w:rPr>
            </w:pPr>
          </w:p>
        </w:tc>
        <w:tc>
          <w:tcPr>
            <w:tcW w:w="58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Consolidated Balance Sheets - March 31, 2023 (unaudited) and December 31, 2022</w:t>
            </w:r>
          </w:p>
        </w:tc>
        <w:tc>
          <w:tcPr>
            <w:tcW w:w="3340" w:type="dxa"/>
            <w:vAlign w:val="bottom"/>
            <w:gridSpan w:val="6"/>
          </w:tcPr>
          <w:p>
            <w:pPr>
              <w:spacing w:after="0"/>
              <w:rPr>
                <w:sz w:val="24"/>
                <w:szCs w:val="24"/>
                <w:color w:val="auto"/>
              </w:rPr>
            </w:pPr>
          </w:p>
        </w:tc>
        <w:tc>
          <w:tcPr>
            <w:tcW w:w="920" w:type="dxa"/>
            <w:vAlign w:val="bottom"/>
            <w:gridSpan w:val="3"/>
          </w:tcPr>
          <w:p>
            <w:pPr>
              <w:jc w:val="center"/>
              <w:ind w:left="753"/>
              <w:spacing w:after="0"/>
              <w:rPr>
                <w:sz w:val="20"/>
                <w:szCs w:val="20"/>
                <w:color w:val="auto"/>
              </w:rPr>
            </w:pPr>
            <w:r>
              <w:rPr>
                <w:rFonts w:ascii="Times New Roman" w:cs="Times New Roman" w:eastAsia="Times New Roman" w:hAnsi="Times New Roman"/>
                <w:sz w:val="17"/>
                <w:szCs w:val="17"/>
                <w:color w:val="0000EE"/>
                <w:w w:val="93"/>
              </w:rPr>
              <w:t>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0" w:type="dxa"/>
            <w:vAlign w:val="bottom"/>
          </w:tcPr>
          <w:p>
            <w:pPr>
              <w:spacing w:after="0"/>
              <w:rPr>
                <w:sz w:val="24"/>
                <w:szCs w:val="24"/>
                <w:color w:val="auto"/>
              </w:rPr>
            </w:pPr>
          </w:p>
        </w:tc>
        <w:tc>
          <w:tcPr>
            <w:tcW w:w="918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Consolidated Statements of Income - For the Three Months Ended March 31, 2023 and 2022 (unaudited)</w:t>
            </w:r>
          </w:p>
        </w:tc>
        <w:tc>
          <w:tcPr>
            <w:tcW w:w="920" w:type="dxa"/>
            <w:vAlign w:val="bottom"/>
            <w:gridSpan w:val="3"/>
          </w:tcPr>
          <w:p>
            <w:pPr>
              <w:jc w:val="center"/>
              <w:ind w:left="753"/>
              <w:spacing w:after="0"/>
              <w:rPr>
                <w:sz w:val="20"/>
                <w:szCs w:val="20"/>
                <w:color w:val="auto"/>
              </w:rPr>
            </w:pPr>
            <w:r>
              <w:rPr>
                <w:rFonts w:ascii="Times New Roman" w:cs="Times New Roman" w:eastAsia="Times New Roman" w:hAnsi="Times New Roman"/>
                <w:sz w:val="17"/>
                <w:szCs w:val="17"/>
                <w:color w:val="0000EE"/>
                <w:w w:val="93"/>
              </w:rPr>
              <w:t>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0" w:type="dxa"/>
            <w:vAlign w:val="bottom"/>
          </w:tcPr>
          <w:p>
            <w:pPr>
              <w:spacing w:after="0"/>
              <w:rPr>
                <w:sz w:val="24"/>
                <w:szCs w:val="24"/>
                <w:color w:val="auto"/>
              </w:rPr>
            </w:pPr>
          </w:p>
        </w:tc>
        <w:tc>
          <w:tcPr>
            <w:tcW w:w="918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Consolidated Statements of Comprehensive Income - For the Three Months Ended March 31, 2023 and 2022 (unaudited)</w:t>
            </w:r>
          </w:p>
        </w:tc>
        <w:tc>
          <w:tcPr>
            <w:tcW w:w="920" w:type="dxa"/>
            <w:vAlign w:val="bottom"/>
            <w:gridSpan w:val="3"/>
          </w:tcPr>
          <w:p>
            <w:pPr>
              <w:jc w:val="center"/>
              <w:ind w:left="753"/>
              <w:spacing w:after="0"/>
              <w:rPr>
                <w:sz w:val="20"/>
                <w:szCs w:val="20"/>
                <w:color w:val="auto"/>
              </w:rPr>
            </w:pPr>
            <w:r>
              <w:rPr>
                <w:rFonts w:ascii="Times New Roman" w:cs="Times New Roman" w:eastAsia="Times New Roman" w:hAnsi="Times New Roman"/>
                <w:sz w:val="17"/>
                <w:szCs w:val="17"/>
                <w:color w:val="0000EE"/>
                <w:w w:val="93"/>
              </w:rPr>
              <w:t>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0" w:type="dxa"/>
            <w:vAlign w:val="bottom"/>
          </w:tcPr>
          <w:p>
            <w:pPr>
              <w:spacing w:after="0"/>
              <w:rPr>
                <w:sz w:val="24"/>
                <w:szCs w:val="24"/>
                <w:color w:val="auto"/>
              </w:rPr>
            </w:pPr>
          </w:p>
        </w:tc>
        <w:tc>
          <w:tcPr>
            <w:tcW w:w="8320" w:type="dxa"/>
            <w:vAlign w:val="bottom"/>
            <w:gridSpan w:val="17"/>
          </w:tcPr>
          <w:p>
            <w:pPr>
              <w:spacing w:after="0"/>
              <w:rPr>
                <w:sz w:val="20"/>
                <w:szCs w:val="20"/>
                <w:color w:val="auto"/>
              </w:rPr>
            </w:pPr>
            <w:r>
              <w:rPr>
                <w:rFonts w:ascii="Times New Roman" w:cs="Times New Roman" w:eastAsia="Times New Roman" w:hAnsi="Times New Roman"/>
                <w:sz w:val="17"/>
                <w:szCs w:val="17"/>
                <w:color w:val="0000EE"/>
              </w:rPr>
              <w:t>Consolidated Statements of Shareholders’ Equity – For the Three Months Ended March 31, 2023 and 2022 (unaudited)</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gridSpan w:val="3"/>
          </w:tcPr>
          <w:p>
            <w:pPr>
              <w:jc w:val="center"/>
              <w:ind w:left="753"/>
              <w:spacing w:after="0"/>
              <w:rPr>
                <w:sz w:val="20"/>
                <w:szCs w:val="20"/>
                <w:color w:val="auto"/>
              </w:rPr>
            </w:pPr>
            <w:r>
              <w:rPr>
                <w:rFonts w:ascii="Times New Roman" w:cs="Times New Roman" w:eastAsia="Times New Roman" w:hAnsi="Times New Roman"/>
                <w:sz w:val="17"/>
                <w:szCs w:val="17"/>
                <w:color w:val="0000EE"/>
                <w:w w:val="93"/>
              </w:rPr>
              <w:t>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0" w:type="dxa"/>
            <w:vAlign w:val="bottom"/>
          </w:tcPr>
          <w:p>
            <w:pPr>
              <w:spacing w:after="0"/>
              <w:rPr>
                <w:sz w:val="24"/>
                <w:szCs w:val="24"/>
                <w:color w:val="auto"/>
              </w:rPr>
            </w:pPr>
          </w:p>
        </w:tc>
        <w:tc>
          <w:tcPr>
            <w:tcW w:w="8320" w:type="dxa"/>
            <w:vAlign w:val="bottom"/>
            <w:gridSpan w:val="17"/>
          </w:tcPr>
          <w:p>
            <w:pPr>
              <w:spacing w:after="0"/>
              <w:rPr>
                <w:sz w:val="20"/>
                <w:szCs w:val="20"/>
                <w:color w:val="auto"/>
              </w:rPr>
            </w:pPr>
            <w:r>
              <w:rPr>
                <w:rFonts w:ascii="Times New Roman" w:cs="Times New Roman" w:eastAsia="Times New Roman" w:hAnsi="Times New Roman"/>
                <w:sz w:val="17"/>
                <w:szCs w:val="17"/>
                <w:color w:val="0000EE"/>
              </w:rPr>
              <w:t>Consolidated Statements of Cash Flows - For the Three Months Ended March 31, 2023 and 2022 (unaudited)</w:t>
            </w:r>
          </w:p>
        </w:tc>
        <w:tc>
          <w:tcPr>
            <w:tcW w:w="860" w:type="dxa"/>
            <w:vAlign w:val="bottom"/>
            <w:gridSpan w:val="2"/>
          </w:tcPr>
          <w:p>
            <w:pPr>
              <w:spacing w:after="0"/>
              <w:rPr>
                <w:sz w:val="24"/>
                <w:szCs w:val="24"/>
                <w:color w:val="auto"/>
              </w:rPr>
            </w:pPr>
          </w:p>
        </w:tc>
        <w:tc>
          <w:tcPr>
            <w:tcW w:w="920" w:type="dxa"/>
            <w:vAlign w:val="bottom"/>
            <w:gridSpan w:val="3"/>
          </w:tcPr>
          <w:p>
            <w:pPr>
              <w:jc w:val="center"/>
              <w:ind w:left="753"/>
              <w:spacing w:after="0"/>
              <w:rPr>
                <w:sz w:val="20"/>
                <w:szCs w:val="20"/>
                <w:color w:val="auto"/>
              </w:rPr>
            </w:pPr>
            <w:r>
              <w:rPr>
                <w:rFonts w:ascii="Times New Roman" w:cs="Times New Roman" w:eastAsia="Times New Roman" w:hAnsi="Times New Roman"/>
                <w:sz w:val="17"/>
                <w:szCs w:val="17"/>
                <w:color w:val="0000EE"/>
                <w:w w:val="93"/>
              </w:rPr>
              <w:t>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0" w:type="dxa"/>
            <w:vAlign w:val="bottom"/>
          </w:tcPr>
          <w:p>
            <w:pPr>
              <w:spacing w:after="0"/>
              <w:rPr>
                <w:sz w:val="24"/>
                <w:szCs w:val="24"/>
                <w:color w:val="auto"/>
              </w:rPr>
            </w:pPr>
          </w:p>
        </w:tc>
        <w:tc>
          <w:tcPr>
            <w:tcW w:w="762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 (unaudited)</w:t>
            </w:r>
          </w:p>
        </w:tc>
        <w:tc>
          <w:tcPr>
            <w:tcW w:w="1560" w:type="dxa"/>
            <w:vAlign w:val="bottom"/>
            <w:gridSpan w:val="3"/>
          </w:tcPr>
          <w:p>
            <w:pPr>
              <w:spacing w:after="0"/>
              <w:rPr>
                <w:sz w:val="24"/>
                <w:szCs w:val="24"/>
                <w:color w:val="auto"/>
              </w:rPr>
            </w:pPr>
          </w:p>
        </w:tc>
        <w:tc>
          <w:tcPr>
            <w:tcW w:w="920" w:type="dxa"/>
            <w:vAlign w:val="bottom"/>
            <w:gridSpan w:val="3"/>
          </w:tcPr>
          <w:p>
            <w:pPr>
              <w:jc w:val="center"/>
              <w:ind w:left="753"/>
              <w:spacing w:after="0"/>
              <w:rPr>
                <w:sz w:val="20"/>
                <w:szCs w:val="20"/>
                <w:color w:val="auto"/>
              </w:rPr>
            </w:pPr>
            <w:r>
              <w:rPr>
                <w:rFonts w:ascii="Times New Roman" w:cs="Times New Roman" w:eastAsia="Times New Roman" w:hAnsi="Times New Roman"/>
                <w:sz w:val="17"/>
                <w:szCs w:val="17"/>
                <w:color w:val="0000EE"/>
                <w:w w:val="93"/>
              </w:rPr>
              <w:t>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080" w:type="dxa"/>
            <w:vAlign w:val="bottom"/>
            <w:gridSpan w:val="20"/>
          </w:tcPr>
          <w:p>
            <w:pPr>
              <w:ind w:left="340"/>
              <w:spacing w:after="0"/>
              <w:rPr>
                <w:sz w:val="20"/>
                <w:szCs w:val="20"/>
                <w:color w:val="auto"/>
              </w:rPr>
            </w:pPr>
            <w:r>
              <w:rPr>
                <w:rFonts w:ascii="Times New Roman" w:cs="Times New Roman" w:eastAsia="Times New Roman" w:hAnsi="Times New Roman"/>
                <w:sz w:val="17"/>
                <w:szCs w:val="17"/>
                <w:color w:val="auto"/>
              </w:rPr>
              <w:t xml:space="preserve">Item 2. </w:t>
            </w:r>
            <w:r>
              <w:rPr>
                <w:rFonts w:ascii="Times New Roman" w:cs="Times New Roman" w:eastAsia="Times New Roman" w:hAnsi="Times New Roman"/>
                <w:sz w:val="17"/>
                <w:szCs w:val="17"/>
                <w:color w:val="0000EE"/>
              </w:rPr>
              <w:t>Management’s Discussion and Analysis of Financial Condition and Results of Operations</w:t>
            </w:r>
          </w:p>
        </w:tc>
        <w:tc>
          <w:tcPr>
            <w:tcW w:w="920" w:type="dxa"/>
            <w:vAlign w:val="bottom"/>
            <w:gridSpan w:val="3"/>
          </w:tcPr>
          <w:p>
            <w:pPr>
              <w:jc w:val="center"/>
              <w:ind w:left="673"/>
              <w:spacing w:after="0"/>
              <w:rPr>
                <w:sz w:val="20"/>
                <w:szCs w:val="20"/>
                <w:color w:val="auto"/>
              </w:rPr>
            </w:pPr>
            <w:r>
              <w:rPr>
                <w:rFonts w:ascii="Times New Roman" w:cs="Times New Roman" w:eastAsia="Times New Roman" w:hAnsi="Times New Roman"/>
                <w:sz w:val="17"/>
                <w:szCs w:val="17"/>
                <w:color w:val="0000EE"/>
                <w:w w:val="93"/>
              </w:rPr>
              <w:t>13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8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080" w:type="dxa"/>
            <w:vAlign w:val="bottom"/>
            <w:gridSpan w:val="20"/>
          </w:tcPr>
          <w:p>
            <w:pPr>
              <w:ind w:left="340"/>
              <w:spacing w:after="0"/>
              <w:rPr>
                <w:sz w:val="20"/>
                <w:szCs w:val="20"/>
                <w:color w:val="auto"/>
              </w:rPr>
            </w:pPr>
            <w:r>
              <w:rPr>
                <w:rFonts w:ascii="Times New Roman" w:cs="Times New Roman" w:eastAsia="Times New Roman" w:hAnsi="Times New Roman"/>
                <w:sz w:val="17"/>
                <w:szCs w:val="17"/>
                <w:color w:val="auto"/>
              </w:rPr>
              <w:t xml:space="preserve">Item 3. </w:t>
            </w:r>
            <w:r>
              <w:rPr>
                <w:rFonts w:ascii="Times New Roman" w:cs="Times New Roman" w:eastAsia="Times New Roman" w:hAnsi="Times New Roman"/>
                <w:sz w:val="17"/>
                <w:szCs w:val="17"/>
                <w:color w:val="0000EE"/>
              </w:rPr>
              <w:t>Quantitative and Qualitative Disclosures About Market Risk</w:t>
            </w:r>
          </w:p>
        </w:tc>
        <w:tc>
          <w:tcPr>
            <w:tcW w:w="920" w:type="dxa"/>
            <w:vAlign w:val="bottom"/>
            <w:gridSpan w:val="3"/>
          </w:tcPr>
          <w:p>
            <w:pPr>
              <w:jc w:val="center"/>
              <w:ind w:left="673"/>
              <w:spacing w:after="0"/>
              <w:rPr>
                <w:sz w:val="20"/>
                <w:szCs w:val="20"/>
                <w:color w:val="auto"/>
              </w:rPr>
            </w:pPr>
            <w:r>
              <w:rPr>
                <w:rFonts w:ascii="Times New Roman" w:cs="Times New Roman" w:eastAsia="Times New Roman" w:hAnsi="Times New Roman"/>
                <w:sz w:val="17"/>
                <w:szCs w:val="17"/>
                <w:color w:val="0000EE"/>
                <w:w w:val="93"/>
              </w:rPr>
              <w:t>24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8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080" w:type="dxa"/>
            <w:vAlign w:val="bottom"/>
            <w:gridSpan w:val="20"/>
          </w:tcPr>
          <w:p>
            <w:pPr>
              <w:ind w:left="340"/>
              <w:spacing w:after="0"/>
              <w:rPr>
                <w:sz w:val="20"/>
                <w:szCs w:val="20"/>
                <w:color w:val="auto"/>
              </w:rPr>
            </w:pPr>
            <w:r>
              <w:rPr>
                <w:rFonts w:ascii="Times New Roman" w:cs="Times New Roman" w:eastAsia="Times New Roman" w:hAnsi="Times New Roman"/>
                <w:sz w:val="17"/>
                <w:szCs w:val="17"/>
                <w:color w:val="auto"/>
              </w:rPr>
              <w:t xml:space="preserve">Item 4. </w:t>
            </w:r>
            <w:r>
              <w:rPr>
                <w:rFonts w:ascii="Times New Roman" w:cs="Times New Roman" w:eastAsia="Times New Roman" w:hAnsi="Times New Roman"/>
                <w:sz w:val="17"/>
                <w:szCs w:val="17"/>
                <w:color w:val="0000EE"/>
              </w:rPr>
              <w:t>Controls and Procedures</w:t>
            </w:r>
          </w:p>
        </w:tc>
        <w:tc>
          <w:tcPr>
            <w:tcW w:w="920" w:type="dxa"/>
            <w:vAlign w:val="bottom"/>
            <w:gridSpan w:val="3"/>
          </w:tcPr>
          <w:p>
            <w:pPr>
              <w:jc w:val="center"/>
              <w:ind w:left="673"/>
              <w:spacing w:after="0"/>
              <w:rPr>
                <w:sz w:val="20"/>
                <w:szCs w:val="20"/>
                <w:color w:val="auto"/>
              </w:rPr>
            </w:pPr>
            <w:r>
              <w:rPr>
                <w:rFonts w:ascii="Times New Roman" w:cs="Times New Roman" w:eastAsia="Times New Roman" w:hAnsi="Times New Roman"/>
                <w:sz w:val="17"/>
                <w:szCs w:val="17"/>
                <w:color w:val="0000EE"/>
                <w:w w:val="93"/>
              </w:rPr>
              <w:t>24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008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0080" w:type="dxa"/>
            <w:vAlign w:val="bottom"/>
            <w:gridSpan w:val="20"/>
          </w:tcPr>
          <w:p>
            <w:pPr>
              <w:ind w:left="340"/>
              <w:spacing w:after="0"/>
              <w:rPr>
                <w:sz w:val="20"/>
                <w:szCs w:val="20"/>
                <w:color w:val="auto"/>
              </w:rPr>
            </w:pPr>
            <w:r>
              <w:rPr>
                <w:rFonts w:ascii="Times New Roman" w:cs="Times New Roman" w:eastAsia="Times New Roman" w:hAnsi="Times New Roman"/>
                <w:sz w:val="17"/>
                <w:szCs w:val="17"/>
                <w:color w:val="auto"/>
              </w:rPr>
              <w:t xml:space="preserve">Item 1. </w:t>
            </w:r>
            <w:r>
              <w:rPr>
                <w:rFonts w:ascii="Times New Roman" w:cs="Times New Roman" w:eastAsia="Times New Roman" w:hAnsi="Times New Roman"/>
                <w:sz w:val="17"/>
                <w:szCs w:val="17"/>
                <w:color w:val="0000EE"/>
              </w:rPr>
              <w:t>Legal Proceedings</w:t>
            </w:r>
          </w:p>
        </w:tc>
        <w:tc>
          <w:tcPr>
            <w:tcW w:w="920" w:type="dxa"/>
            <w:vAlign w:val="bottom"/>
            <w:gridSpan w:val="3"/>
          </w:tcPr>
          <w:p>
            <w:pPr>
              <w:jc w:val="center"/>
              <w:ind w:left="673"/>
              <w:spacing w:after="0"/>
              <w:rPr>
                <w:sz w:val="20"/>
                <w:szCs w:val="20"/>
                <w:color w:val="auto"/>
              </w:rPr>
            </w:pPr>
            <w:r>
              <w:rPr>
                <w:rFonts w:ascii="Times New Roman" w:cs="Times New Roman" w:eastAsia="Times New Roman" w:hAnsi="Times New Roman"/>
                <w:sz w:val="17"/>
                <w:szCs w:val="17"/>
                <w:color w:val="0000EE"/>
                <w:w w:val="93"/>
              </w:rPr>
              <w:t>24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Item</w:t>
            </w: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00" w:type="dxa"/>
            <w:vAlign w:val="bottom"/>
            <w:vMerge w:val="continue"/>
          </w:tcPr>
          <w:p>
            <w:pPr>
              <w:spacing w:after="0"/>
              <w:rPr>
                <w:sz w:val="24"/>
                <w:szCs w:val="24"/>
                <w:color w:val="auto"/>
              </w:rPr>
            </w:pPr>
          </w:p>
        </w:tc>
        <w:tc>
          <w:tcPr>
            <w:tcW w:w="1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7880" w:type="dxa"/>
            <w:vAlign w:val="bottom"/>
            <w:gridSpan w:val="14"/>
            <w:vMerge w:val="restart"/>
          </w:tcPr>
          <w:p>
            <w:pPr>
              <w:spacing w:after="0"/>
              <w:rPr>
                <w:sz w:val="24"/>
                <w:szCs w:val="24"/>
                <w:color w:val="auto"/>
              </w:rPr>
            </w:pPr>
          </w:p>
        </w:tc>
        <w:tc>
          <w:tcPr>
            <w:tcW w:w="920" w:type="dxa"/>
            <w:vAlign w:val="bottom"/>
            <w:gridSpan w:val="3"/>
            <w:vMerge w:val="restart"/>
          </w:tcPr>
          <w:p>
            <w:pPr>
              <w:jc w:val="center"/>
              <w:ind w:left="673"/>
              <w:spacing w:after="0"/>
              <w:rPr>
                <w:sz w:val="20"/>
                <w:szCs w:val="20"/>
                <w:color w:val="auto"/>
              </w:rPr>
            </w:pPr>
            <w:r>
              <w:rPr>
                <w:rFonts w:ascii="Times New Roman" w:cs="Times New Roman" w:eastAsia="Times New Roman" w:hAnsi="Times New Roman"/>
                <w:sz w:val="17"/>
                <w:szCs w:val="17"/>
                <w:color w:val="0000EE"/>
                <w:w w:val="93"/>
              </w:rPr>
              <w:t>24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90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1A.</w:t>
            </w:r>
          </w:p>
        </w:tc>
        <w:tc>
          <w:tcPr>
            <w:tcW w:w="1300" w:type="dxa"/>
            <w:vAlign w:val="bottom"/>
            <w:gridSpan w:val="5"/>
            <w:vMerge w:val="continue"/>
          </w:tcPr>
          <w:p>
            <w:pPr>
              <w:spacing w:after="0"/>
              <w:rPr>
                <w:sz w:val="7"/>
                <w:szCs w:val="7"/>
                <w:color w:val="auto"/>
              </w:rPr>
            </w:pPr>
          </w:p>
        </w:tc>
        <w:tc>
          <w:tcPr>
            <w:tcW w:w="7880" w:type="dxa"/>
            <w:vAlign w:val="bottom"/>
            <w:gridSpan w:val="14"/>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900" w:type="dxa"/>
            <w:vAlign w:val="bottom"/>
            <w:vMerge w:val="continue"/>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080" w:type="dxa"/>
            <w:vAlign w:val="bottom"/>
            <w:gridSpan w:val="20"/>
          </w:tcPr>
          <w:p>
            <w:pPr>
              <w:ind w:left="340"/>
              <w:spacing w:after="0"/>
              <w:rPr>
                <w:sz w:val="20"/>
                <w:szCs w:val="20"/>
                <w:color w:val="auto"/>
              </w:rPr>
            </w:pPr>
            <w:r>
              <w:rPr>
                <w:rFonts w:ascii="Times New Roman" w:cs="Times New Roman" w:eastAsia="Times New Roman" w:hAnsi="Times New Roman"/>
                <w:sz w:val="17"/>
                <w:szCs w:val="17"/>
                <w:color w:val="auto"/>
              </w:rPr>
              <w:t xml:space="preserve">Item 2. </w:t>
            </w:r>
            <w:r>
              <w:rPr>
                <w:rFonts w:ascii="Times New Roman" w:cs="Times New Roman" w:eastAsia="Times New Roman" w:hAnsi="Times New Roman"/>
                <w:sz w:val="17"/>
                <w:szCs w:val="17"/>
                <w:color w:val="0000EE"/>
              </w:rPr>
              <w:t>Unregistered Sales of Equity Securities and Use of Proceeds</w:t>
            </w:r>
          </w:p>
        </w:tc>
        <w:tc>
          <w:tcPr>
            <w:tcW w:w="920" w:type="dxa"/>
            <w:vAlign w:val="bottom"/>
            <w:gridSpan w:val="3"/>
          </w:tcPr>
          <w:p>
            <w:pPr>
              <w:jc w:val="center"/>
              <w:ind w:left="673"/>
              <w:spacing w:after="0"/>
              <w:rPr>
                <w:sz w:val="20"/>
                <w:szCs w:val="20"/>
                <w:color w:val="auto"/>
              </w:rPr>
            </w:pPr>
            <w:r>
              <w:rPr>
                <w:rFonts w:ascii="Times New Roman" w:cs="Times New Roman" w:eastAsia="Times New Roman" w:hAnsi="Times New Roman"/>
                <w:sz w:val="17"/>
                <w:szCs w:val="17"/>
                <w:color w:val="0000EE"/>
                <w:w w:val="93"/>
              </w:rPr>
              <w:t>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8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080" w:type="dxa"/>
            <w:vAlign w:val="bottom"/>
            <w:gridSpan w:val="20"/>
          </w:tcPr>
          <w:p>
            <w:pPr>
              <w:ind w:left="340"/>
              <w:spacing w:after="0"/>
              <w:rPr>
                <w:sz w:val="20"/>
                <w:szCs w:val="20"/>
                <w:color w:val="auto"/>
              </w:rPr>
            </w:pPr>
            <w:r>
              <w:rPr>
                <w:rFonts w:ascii="Times New Roman" w:cs="Times New Roman" w:eastAsia="Times New Roman" w:hAnsi="Times New Roman"/>
                <w:sz w:val="17"/>
                <w:szCs w:val="17"/>
                <w:color w:val="auto"/>
              </w:rPr>
              <w:t xml:space="preserve">Item 3. </w:t>
            </w:r>
            <w:r>
              <w:rPr>
                <w:rFonts w:ascii="Times New Roman" w:cs="Times New Roman" w:eastAsia="Times New Roman" w:hAnsi="Times New Roman"/>
                <w:sz w:val="17"/>
                <w:szCs w:val="17"/>
                <w:color w:val="0000EE"/>
              </w:rPr>
              <w:t>Defaults Upon Senior Securities</w:t>
            </w:r>
          </w:p>
        </w:tc>
        <w:tc>
          <w:tcPr>
            <w:tcW w:w="920" w:type="dxa"/>
            <w:vAlign w:val="bottom"/>
            <w:gridSpan w:val="3"/>
          </w:tcPr>
          <w:p>
            <w:pPr>
              <w:jc w:val="center"/>
              <w:ind w:left="673"/>
              <w:spacing w:after="0"/>
              <w:rPr>
                <w:sz w:val="20"/>
                <w:szCs w:val="20"/>
                <w:color w:val="auto"/>
              </w:rPr>
            </w:pPr>
            <w:r>
              <w:rPr>
                <w:rFonts w:ascii="Times New Roman" w:cs="Times New Roman" w:eastAsia="Times New Roman" w:hAnsi="Times New Roman"/>
                <w:sz w:val="17"/>
                <w:szCs w:val="17"/>
                <w:color w:val="0000EE"/>
                <w:w w:val="93"/>
              </w:rPr>
              <w:t>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6920" w:type="dxa"/>
            <w:vAlign w:val="bottom"/>
            <w:gridSpan w:val="10"/>
          </w:tcPr>
          <w:p>
            <w:pPr>
              <w:spacing w:after="0" w:line="20" w:lineRule="exact"/>
              <w:rPr>
                <w:sz w:val="1"/>
                <w:szCs w:val="1"/>
                <w:color w:val="auto"/>
              </w:rPr>
            </w:pPr>
          </w:p>
        </w:tc>
        <w:tc>
          <w:tcPr>
            <w:tcW w:w="8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080" w:type="dxa"/>
            <w:vAlign w:val="bottom"/>
            <w:gridSpan w:val="20"/>
          </w:tcPr>
          <w:p>
            <w:pPr>
              <w:ind w:left="340"/>
              <w:spacing w:after="0"/>
              <w:rPr>
                <w:sz w:val="20"/>
                <w:szCs w:val="20"/>
                <w:color w:val="auto"/>
              </w:rPr>
            </w:pPr>
            <w:r>
              <w:rPr>
                <w:rFonts w:ascii="Times New Roman" w:cs="Times New Roman" w:eastAsia="Times New Roman" w:hAnsi="Times New Roman"/>
                <w:sz w:val="17"/>
                <w:szCs w:val="17"/>
                <w:color w:val="auto"/>
              </w:rPr>
              <w:t xml:space="preserve">Item 4. </w:t>
            </w:r>
            <w:r>
              <w:rPr>
                <w:rFonts w:ascii="Times New Roman" w:cs="Times New Roman" w:eastAsia="Times New Roman" w:hAnsi="Times New Roman"/>
                <w:sz w:val="17"/>
                <w:szCs w:val="17"/>
                <w:color w:val="0000EE"/>
              </w:rPr>
              <w:t>Mine Safety Disclosures</w:t>
            </w:r>
          </w:p>
        </w:tc>
        <w:tc>
          <w:tcPr>
            <w:tcW w:w="920" w:type="dxa"/>
            <w:vAlign w:val="bottom"/>
            <w:gridSpan w:val="3"/>
          </w:tcPr>
          <w:p>
            <w:pPr>
              <w:jc w:val="center"/>
              <w:ind w:left="673"/>
              <w:spacing w:after="0"/>
              <w:rPr>
                <w:sz w:val="20"/>
                <w:szCs w:val="20"/>
                <w:color w:val="auto"/>
              </w:rPr>
            </w:pPr>
            <w:r>
              <w:rPr>
                <w:rFonts w:ascii="Times New Roman" w:cs="Times New Roman" w:eastAsia="Times New Roman" w:hAnsi="Times New Roman"/>
                <w:sz w:val="17"/>
                <w:szCs w:val="17"/>
                <w:color w:val="0000EE"/>
                <w:w w:val="93"/>
              </w:rPr>
              <w:t>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460" w:type="dxa"/>
            <w:vAlign w:val="bottom"/>
            <w:gridSpan w:val="11"/>
          </w:tcPr>
          <w:p>
            <w:pPr>
              <w:spacing w:after="0" w:line="20" w:lineRule="exact"/>
              <w:rPr>
                <w:sz w:val="1"/>
                <w:szCs w:val="1"/>
                <w:color w:val="auto"/>
              </w:rPr>
            </w:pPr>
          </w:p>
        </w:tc>
        <w:tc>
          <w:tcPr>
            <w:tcW w:w="8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080" w:type="dxa"/>
            <w:vAlign w:val="bottom"/>
            <w:gridSpan w:val="20"/>
          </w:tcPr>
          <w:p>
            <w:pPr>
              <w:ind w:left="340"/>
              <w:spacing w:after="0"/>
              <w:rPr>
                <w:sz w:val="20"/>
                <w:szCs w:val="20"/>
                <w:color w:val="auto"/>
              </w:rPr>
            </w:pPr>
            <w:r>
              <w:rPr>
                <w:rFonts w:ascii="Times New Roman" w:cs="Times New Roman" w:eastAsia="Times New Roman" w:hAnsi="Times New Roman"/>
                <w:sz w:val="17"/>
                <w:szCs w:val="17"/>
                <w:color w:val="auto"/>
              </w:rPr>
              <w:t xml:space="preserve">Item 5. </w:t>
            </w:r>
            <w:r>
              <w:rPr>
                <w:rFonts w:ascii="Times New Roman" w:cs="Times New Roman" w:eastAsia="Times New Roman" w:hAnsi="Times New Roman"/>
                <w:sz w:val="17"/>
                <w:szCs w:val="17"/>
                <w:color w:val="0000EE"/>
              </w:rPr>
              <w:t>Other Information</w:t>
            </w:r>
          </w:p>
        </w:tc>
        <w:tc>
          <w:tcPr>
            <w:tcW w:w="920" w:type="dxa"/>
            <w:vAlign w:val="bottom"/>
            <w:gridSpan w:val="3"/>
          </w:tcPr>
          <w:p>
            <w:pPr>
              <w:jc w:val="center"/>
              <w:ind w:left="673"/>
              <w:spacing w:after="0"/>
              <w:rPr>
                <w:sz w:val="20"/>
                <w:szCs w:val="20"/>
                <w:color w:val="auto"/>
              </w:rPr>
            </w:pPr>
            <w:r>
              <w:rPr>
                <w:rFonts w:ascii="Times New Roman" w:cs="Times New Roman" w:eastAsia="Times New Roman" w:hAnsi="Times New Roman"/>
                <w:sz w:val="17"/>
                <w:szCs w:val="17"/>
                <w:color w:val="0000EE"/>
                <w:w w:val="93"/>
              </w:rPr>
              <w:t>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7860" w:type="dxa"/>
            <w:vAlign w:val="bottom"/>
            <w:gridSpan w:val="13"/>
          </w:tcPr>
          <w:p>
            <w:pPr>
              <w:spacing w:after="0" w:line="20" w:lineRule="exact"/>
              <w:rPr>
                <w:sz w:val="1"/>
                <w:szCs w:val="1"/>
                <w:color w:val="auto"/>
              </w:rPr>
            </w:pPr>
          </w:p>
        </w:tc>
        <w:tc>
          <w:tcPr>
            <w:tcW w:w="8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080" w:type="dxa"/>
            <w:vAlign w:val="bottom"/>
            <w:gridSpan w:val="20"/>
          </w:tcPr>
          <w:p>
            <w:pPr>
              <w:ind w:left="340"/>
              <w:spacing w:after="0"/>
              <w:rPr>
                <w:sz w:val="20"/>
                <w:szCs w:val="20"/>
                <w:color w:val="auto"/>
              </w:rPr>
            </w:pPr>
            <w:r>
              <w:rPr>
                <w:rFonts w:ascii="Times New Roman" w:cs="Times New Roman" w:eastAsia="Times New Roman" w:hAnsi="Times New Roman"/>
                <w:sz w:val="17"/>
                <w:szCs w:val="17"/>
                <w:color w:val="auto"/>
              </w:rPr>
              <w:t xml:space="preserve">Item 6. </w:t>
            </w:r>
            <w:r>
              <w:rPr>
                <w:rFonts w:ascii="Times New Roman" w:cs="Times New Roman" w:eastAsia="Times New Roman" w:hAnsi="Times New Roman"/>
                <w:sz w:val="17"/>
                <w:szCs w:val="17"/>
                <w:color w:val="0000EE"/>
              </w:rPr>
              <w:t>Exhibits</w:t>
            </w:r>
          </w:p>
        </w:tc>
        <w:tc>
          <w:tcPr>
            <w:tcW w:w="920" w:type="dxa"/>
            <w:vAlign w:val="bottom"/>
            <w:gridSpan w:val="3"/>
          </w:tcPr>
          <w:p>
            <w:pPr>
              <w:jc w:val="center"/>
              <w:ind w:left="673"/>
              <w:spacing w:after="0"/>
              <w:rPr>
                <w:sz w:val="20"/>
                <w:szCs w:val="20"/>
                <w:color w:val="auto"/>
              </w:rPr>
            </w:pPr>
            <w:r>
              <w:rPr>
                <w:rFonts w:ascii="Times New Roman" w:cs="Times New Roman" w:eastAsia="Times New Roman" w:hAnsi="Times New Roman"/>
                <w:sz w:val="17"/>
                <w:szCs w:val="17"/>
                <w:color w:val="0000EE"/>
                <w:w w:val="93"/>
              </w:rPr>
              <w:t>26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0" w:type="dxa"/>
            <w:vAlign w:val="bottom"/>
            <w:gridSpan w:val="16"/>
          </w:tcPr>
          <w:p>
            <w:pPr>
              <w:spacing w:after="0" w:line="20" w:lineRule="exact"/>
              <w:rPr>
                <w:sz w:val="1"/>
                <w:szCs w:val="1"/>
                <w:color w:val="auto"/>
              </w:rPr>
            </w:pPr>
          </w:p>
        </w:tc>
        <w:tc>
          <w:tcPr>
            <w:tcW w:w="8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08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0000EE"/>
              </w:rPr>
              <w:t>SIGNATURES</w:t>
            </w:r>
          </w:p>
        </w:tc>
        <w:tc>
          <w:tcPr>
            <w:tcW w:w="920" w:type="dxa"/>
            <w:vAlign w:val="bottom"/>
            <w:gridSpan w:val="3"/>
          </w:tcPr>
          <w:p>
            <w:pPr>
              <w:jc w:val="center"/>
              <w:ind w:left="673"/>
              <w:spacing w:after="0"/>
              <w:rPr>
                <w:sz w:val="20"/>
                <w:szCs w:val="20"/>
                <w:color w:val="auto"/>
              </w:rPr>
            </w:pPr>
            <w:r>
              <w:rPr>
                <w:rFonts w:ascii="Times New Roman" w:cs="Times New Roman" w:eastAsia="Times New Roman" w:hAnsi="Times New Roman"/>
                <w:sz w:val="17"/>
                <w:szCs w:val="17"/>
                <w:color w:val="0000EE"/>
                <w:w w:val="93"/>
              </w:rPr>
              <w:t>27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9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20" w:type="dxa"/>
            <w:vAlign w:val="bottom"/>
            <w:gridSpan w:val="12"/>
          </w:tcPr>
          <w:p>
            <w:pPr>
              <w:jc w:val="center"/>
              <w:ind w:left="3293"/>
              <w:spacing w:after="0"/>
              <w:rPr>
                <w:sz w:val="20"/>
                <w:szCs w:val="20"/>
                <w:color w:val="auto"/>
              </w:rPr>
            </w:pPr>
            <w:r>
              <w:rPr>
                <w:rFonts w:ascii="Times New Roman" w:cs="Times New Roman" w:eastAsia="Times New Roman" w:hAnsi="Times New Roman"/>
                <w:sz w:val="17"/>
                <w:szCs w:val="17"/>
                <w:color w:val="auto"/>
                <w:w w:val="93"/>
              </w:rPr>
              <w:t>2</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2"/>
        </w:trPr>
        <w:tc>
          <w:tcPr>
            <w:tcW w:w="78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8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9"/>
        </w:trPr>
        <w:tc>
          <w:tcPr>
            <w:tcW w:w="1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120" w:type="dxa"/>
            <w:vAlign w:val="bottom"/>
            <w:gridSpan w:val="4"/>
          </w:tcPr>
          <w:p>
            <w:pPr>
              <w:jc w:val="center"/>
              <w:ind w:right="400"/>
              <w:spacing w:after="0"/>
              <w:rPr>
                <w:sz w:val="20"/>
                <w:szCs w:val="20"/>
                <w:color w:val="auto"/>
              </w:rPr>
            </w:pPr>
            <w:r>
              <w:rPr>
                <w:rFonts w:ascii="Times New Roman" w:cs="Times New Roman" w:eastAsia="Times New Roman" w:hAnsi="Times New Roman"/>
                <w:sz w:val="17"/>
                <w:szCs w:val="17"/>
                <w:color w:val="auto"/>
              </w:rPr>
              <w:t>RUSH ENTERPRISES, INC. AND SUBSIDIARIES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1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300" w:type="dxa"/>
            <w:vAlign w:val="bottom"/>
            <w:tcBorders>
              <w:top w:val="single" w:sz="8" w:color="auto"/>
            </w:tcBorders>
            <w:gridSpan w:val="2"/>
          </w:tcPr>
          <w:p>
            <w:pPr>
              <w:jc w:val="center"/>
              <w:ind w:right="420"/>
              <w:spacing w:after="0" w:line="189" w:lineRule="exact"/>
              <w:rPr>
                <w:sz w:val="20"/>
                <w:szCs w:val="20"/>
                <w:color w:val="auto"/>
              </w:rPr>
            </w:pPr>
            <w:r>
              <w:rPr>
                <w:rFonts w:ascii="Times New Roman" w:cs="Times New Roman" w:eastAsia="Times New Roman" w:hAnsi="Times New Roman"/>
                <w:sz w:val="17"/>
                <w:szCs w:val="17"/>
                <w:color w:val="auto"/>
              </w:rPr>
              <w:t>CONSOLIDATED BALANCE SHEETS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1240" w:type="dxa"/>
            <w:vAlign w:val="bottom"/>
          </w:tcPr>
          <w:p>
            <w:pPr>
              <w:spacing w:after="0"/>
              <w:rPr>
                <w:sz w:val="19"/>
                <w:szCs w:val="19"/>
                <w:color w:val="auto"/>
              </w:rPr>
            </w:pPr>
          </w:p>
        </w:tc>
        <w:tc>
          <w:tcPr>
            <w:tcW w:w="6640" w:type="dxa"/>
            <w:vAlign w:val="bottom"/>
            <w:gridSpan w:val="5"/>
          </w:tcPr>
          <w:p>
            <w:pPr>
              <w:jc w:val="center"/>
              <w:ind w:left="2033"/>
              <w:spacing w:after="0"/>
              <w:rPr>
                <w:sz w:val="20"/>
                <w:szCs w:val="20"/>
                <w:color w:val="auto"/>
              </w:rPr>
            </w:pPr>
            <w:r>
              <w:rPr>
                <w:rFonts w:ascii="Times New Roman" w:cs="Times New Roman" w:eastAsia="Times New Roman" w:hAnsi="Times New Roman"/>
                <w:sz w:val="17"/>
                <w:szCs w:val="17"/>
                <w:color w:val="auto"/>
              </w:rPr>
              <w:t>(In Thousands, Except Shares and Per Share Amounts)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8"/>
        </w:trPr>
        <w:tc>
          <w:tcPr>
            <w:tcW w:w="1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12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r>
      <w:tr>
        <w:trPr>
          <w:trHeight w:val="202"/>
        </w:trPr>
        <w:tc>
          <w:tcPr>
            <w:tcW w:w="1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(unaudited)</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880" w:type="dxa"/>
            <w:vAlign w:val="bottom"/>
            <w:tcBorders>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7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88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226,292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201,044</w:t>
            </w:r>
          </w:p>
        </w:tc>
      </w:tr>
      <w:tr>
        <w:trPr>
          <w:trHeight w:val="209"/>
        </w:trPr>
        <w:tc>
          <w:tcPr>
            <w:tcW w:w="78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Accounts receivable,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229,684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220,651</w:t>
            </w:r>
          </w:p>
        </w:tc>
      </w:tr>
      <w:tr>
        <w:trPr>
          <w:trHeight w:val="209"/>
        </w:trPr>
        <w:tc>
          <w:tcPr>
            <w:tcW w:w="788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Inventories,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1,498,948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1,429,429</w:t>
            </w:r>
          </w:p>
        </w:tc>
      </w:tr>
      <w:tr>
        <w:trPr>
          <w:trHeight w:val="209"/>
        </w:trPr>
        <w:tc>
          <w:tcPr>
            <w:tcW w:w="78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19,028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16,619</w:t>
            </w:r>
          </w:p>
        </w:tc>
        <w:tc>
          <w:tcPr>
            <w:tcW w:w="100" w:type="dxa"/>
            <w:vAlign w:val="bottom"/>
          </w:tcPr>
          <w:p>
            <w:pPr>
              <w:spacing w:after="0"/>
              <w:rPr>
                <w:sz w:val="18"/>
                <w:szCs w:val="18"/>
                <w:color w:val="auto"/>
              </w:rPr>
            </w:pPr>
          </w:p>
        </w:tc>
      </w:tr>
      <w:tr>
        <w:trPr>
          <w:trHeight w:val="202"/>
        </w:trPr>
        <w:tc>
          <w:tcPr>
            <w:tcW w:w="78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1,973,952</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1,867,743</w:t>
            </w:r>
          </w:p>
        </w:tc>
      </w:tr>
      <w:tr>
        <w:trPr>
          <w:trHeight w:val="209"/>
        </w:trPr>
        <w:tc>
          <w:tcPr>
            <w:tcW w:w="7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1,404,566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1,368,594</w:t>
            </w:r>
          </w:p>
        </w:tc>
      </w:tr>
      <w:tr>
        <w:trPr>
          <w:trHeight w:val="209"/>
        </w:trPr>
        <w:tc>
          <w:tcPr>
            <w:tcW w:w="78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99,753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102,685</w:t>
            </w:r>
          </w:p>
        </w:tc>
      </w:tr>
      <w:tr>
        <w:trPr>
          <w:trHeight w:val="209"/>
        </w:trPr>
        <w:tc>
          <w:tcPr>
            <w:tcW w:w="7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Goodwill,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416,481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416,363</w:t>
            </w:r>
          </w:p>
        </w:tc>
      </w:tr>
      <w:tr>
        <w:trPr>
          <w:trHeight w:val="209"/>
        </w:trPr>
        <w:tc>
          <w:tcPr>
            <w:tcW w:w="78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 net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74,800</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78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3,969,552</w:t>
            </w:r>
          </w:p>
        </w:tc>
        <w:tc>
          <w:tcPr>
            <w:tcW w:w="1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3,821,066</w:t>
            </w:r>
          </w:p>
        </w:tc>
      </w:tr>
      <w:tr>
        <w:trPr>
          <w:trHeight w:val="20"/>
        </w:trPr>
        <w:tc>
          <w:tcPr>
            <w:tcW w:w="1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124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78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8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78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Floor plan notes payable</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1,015,971</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933,203</w:t>
            </w:r>
          </w:p>
        </w:tc>
      </w:tr>
      <w:tr>
        <w:trPr>
          <w:trHeight w:val="209"/>
        </w:trPr>
        <w:tc>
          <w:tcPr>
            <w:tcW w:w="788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maturities of finance lease obligations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31,894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29,209</w:t>
            </w:r>
          </w:p>
        </w:tc>
      </w:tr>
      <w:tr>
        <w:trPr>
          <w:trHeight w:val="209"/>
        </w:trPr>
        <w:tc>
          <w:tcPr>
            <w:tcW w:w="78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Current maturities of operating lease obligations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14,948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15,003</w:t>
            </w:r>
          </w:p>
        </w:tc>
      </w:tr>
      <w:tr>
        <w:trPr>
          <w:trHeight w:val="209"/>
        </w:trPr>
        <w:tc>
          <w:tcPr>
            <w:tcW w:w="788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Trade accounts payable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200,412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171,717</w:t>
            </w:r>
          </w:p>
        </w:tc>
      </w:tr>
      <w:tr>
        <w:trPr>
          <w:trHeight w:val="209"/>
        </w:trPr>
        <w:tc>
          <w:tcPr>
            <w:tcW w:w="78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Customer deposits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100,397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116,240</w:t>
            </w:r>
          </w:p>
        </w:tc>
      </w:tr>
      <w:tr>
        <w:trPr>
          <w:trHeight w:val="209"/>
        </w:trPr>
        <w:tc>
          <w:tcPr>
            <w:tcW w:w="788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expenses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149,455</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7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1,513,077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1,428,674</w:t>
            </w:r>
          </w:p>
        </w:tc>
      </w:tr>
      <w:tr>
        <w:trPr>
          <w:trHeight w:val="209"/>
        </w:trPr>
        <w:tc>
          <w:tcPr>
            <w:tcW w:w="78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net of current maturities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262,467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275,433</w:t>
            </w:r>
          </w:p>
        </w:tc>
      </w:tr>
      <w:tr>
        <w:trPr>
          <w:trHeight w:val="209"/>
        </w:trPr>
        <w:tc>
          <w:tcPr>
            <w:tcW w:w="7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Finance lease obligations, net of current maturities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93,483</w:t>
            </w:r>
          </w:p>
        </w:tc>
      </w:tr>
      <w:tr>
        <w:trPr>
          <w:trHeight w:val="209"/>
        </w:trPr>
        <w:tc>
          <w:tcPr>
            <w:tcW w:w="78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obligations, net of current maturities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86,188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89,029</w:t>
            </w:r>
          </w:p>
        </w:tc>
      </w:tr>
      <w:tr>
        <w:trPr>
          <w:trHeight w:val="209"/>
        </w:trPr>
        <w:tc>
          <w:tcPr>
            <w:tcW w:w="7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22,920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19,455</w:t>
            </w:r>
          </w:p>
        </w:tc>
      </w:tr>
      <w:tr>
        <w:trPr>
          <w:trHeight w:val="209"/>
        </w:trPr>
        <w:tc>
          <w:tcPr>
            <w:tcW w:w="78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taxes,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155,124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151,970</w:t>
            </w:r>
          </w:p>
        </w:tc>
      </w:tr>
      <w:tr>
        <w:trPr>
          <w:trHeight w:val="209"/>
        </w:trPr>
        <w:tc>
          <w:tcPr>
            <w:tcW w:w="7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Shareholders’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88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stock, par value $.01 per share; 1,000,000 shares authorized; 0 shares outstanding in 2023 and 2022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1"/>
        </w:trPr>
        <w:tc>
          <w:tcPr>
            <w:tcW w:w="7880" w:type="dxa"/>
            <w:vAlign w:val="bottom"/>
            <w:gridSpan w:val="6"/>
          </w:tcPr>
          <w:p>
            <w:pPr>
              <w:ind w:left="160"/>
              <w:spacing w:after="0" w:line="191" w:lineRule="exact"/>
              <w:rPr>
                <w:sz w:val="20"/>
                <w:szCs w:val="20"/>
                <w:color w:val="auto"/>
              </w:rPr>
            </w:pPr>
            <w:r>
              <w:rPr>
                <w:rFonts w:ascii="Times New Roman" w:cs="Times New Roman" w:eastAsia="Times New Roman" w:hAnsi="Times New Roman"/>
                <w:sz w:val="17"/>
                <w:szCs w:val="17"/>
                <w:color w:val="auto"/>
              </w:rPr>
              <w:t>Common stock, par value $.01 per share; 60,000,000 Class A shares and 20,000,000 Class B shares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7880" w:type="dxa"/>
            <w:vAlign w:val="bottom"/>
            <w:gridSpan w:val="6"/>
          </w:tcPr>
          <w:p>
            <w:pPr>
              <w:ind w:left="320"/>
              <w:spacing w:after="0"/>
              <w:rPr>
                <w:sz w:val="20"/>
                <w:szCs w:val="20"/>
                <w:color w:val="auto"/>
              </w:rPr>
            </w:pPr>
            <w:r>
              <w:rPr>
                <w:rFonts w:ascii="Times New Roman" w:cs="Times New Roman" w:eastAsia="Times New Roman" w:hAnsi="Times New Roman"/>
                <w:sz w:val="17"/>
                <w:szCs w:val="17"/>
                <w:color w:val="auto"/>
              </w:rPr>
              <w:t>authorized; 42,149,927 Class A shares and 12,307,852 Class B shares outstanding in 2023; and 42,345,361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7880" w:type="dxa"/>
            <w:vAlign w:val="bottom"/>
            <w:gridSpan w:val="6"/>
          </w:tcPr>
          <w:p>
            <w:pPr>
              <w:ind w:left="320"/>
              <w:spacing w:after="0"/>
              <w:rPr>
                <w:sz w:val="20"/>
                <w:szCs w:val="20"/>
                <w:color w:val="auto"/>
              </w:rPr>
            </w:pPr>
            <w:r>
              <w:rPr>
                <w:rFonts w:ascii="Times New Roman" w:cs="Times New Roman" w:eastAsia="Times New Roman" w:hAnsi="Times New Roman"/>
                <w:sz w:val="17"/>
                <w:szCs w:val="17"/>
                <w:color w:val="auto"/>
              </w:rPr>
              <w:t>Class A shares and 12,083,085 Class B shares outstanding in 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577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572</w:t>
            </w:r>
          </w:p>
        </w:tc>
      </w:tr>
      <w:tr>
        <w:trPr>
          <w:trHeight w:val="209"/>
        </w:trPr>
        <w:tc>
          <w:tcPr>
            <w:tcW w:w="788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512,998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500,642</w:t>
            </w:r>
          </w:p>
        </w:tc>
      </w:tr>
      <w:tr>
        <w:trPr>
          <w:trHeight w:val="191"/>
        </w:trPr>
        <w:tc>
          <w:tcPr>
            <w:tcW w:w="7880" w:type="dxa"/>
            <w:vAlign w:val="bottom"/>
            <w:gridSpan w:val="6"/>
          </w:tcPr>
          <w:p>
            <w:pPr>
              <w:ind w:left="160"/>
              <w:spacing w:after="0" w:line="191" w:lineRule="exact"/>
              <w:rPr>
                <w:sz w:val="20"/>
                <w:szCs w:val="20"/>
                <w:color w:val="auto"/>
              </w:rPr>
            </w:pPr>
            <w:r>
              <w:rPr>
                <w:rFonts w:ascii="Times New Roman" w:cs="Times New Roman" w:eastAsia="Times New Roman" w:hAnsi="Times New Roman"/>
                <w:sz w:val="17"/>
                <w:szCs w:val="17"/>
                <w:color w:val="auto"/>
              </w:rPr>
              <w:t>Treasury stock, at cost: 2,041,809 Class A shares and 1,168,432 Class B shares in 2023; and 1,626,777 Class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7880" w:type="dxa"/>
            <w:vAlign w:val="bottom"/>
            <w:gridSpan w:val="6"/>
          </w:tcPr>
          <w:p>
            <w:pPr>
              <w:ind w:left="320"/>
              <w:spacing w:after="0"/>
              <w:rPr>
                <w:sz w:val="20"/>
                <w:szCs w:val="20"/>
                <w:color w:val="auto"/>
              </w:rPr>
            </w:pPr>
            <w:r>
              <w:rPr>
                <w:rFonts w:ascii="Times New Roman" w:cs="Times New Roman" w:eastAsia="Times New Roman" w:hAnsi="Times New Roman"/>
                <w:sz w:val="17"/>
                <w:szCs w:val="17"/>
                <w:color w:val="auto"/>
              </w:rPr>
              <w:t>A shares and 1,112,446 Class B shares in 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(156,210)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(130,930)</w:t>
            </w:r>
          </w:p>
        </w:tc>
      </w:tr>
      <w:tr>
        <w:trPr>
          <w:trHeight w:val="209"/>
        </w:trPr>
        <w:tc>
          <w:tcPr>
            <w:tcW w:w="788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Retained earnings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1,457,203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1,378,337</w:t>
            </w:r>
          </w:p>
        </w:tc>
      </w:tr>
      <w:tr>
        <w:trPr>
          <w:trHeight w:val="209"/>
        </w:trPr>
        <w:tc>
          <w:tcPr>
            <w:tcW w:w="78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(3,898)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(4,130)</w:t>
            </w:r>
          </w:p>
        </w:tc>
      </w:tr>
      <w:tr>
        <w:trPr>
          <w:trHeight w:val="202"/>
        </w:trPr>
        <w:tc>
          <w:tcPr>
            <w:tcW w:w="788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Rush Enterprises, Inc. shareholders’ equity</w:t>
            </w: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1,810,670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1,744,491</w:t>
            </w:r>
          </w:p>
        </w:tc>
        <w:tc>
          <w:tcPr>
            <w:tcW w:w="100" w:type="dxa"/>
            <w:vAlign w:val="bottom"/>
            <w:shd w:val="clear" w:color="auto" w:fill="CCEEFF"/>
          </w:tcPr>
          <w:p>
            <w:pPr>
              <w:spacing w:after="0"/>
              <w:rPr>
                <w:sz w:val="17"/>
                <w:szCs w:val="17"/>
                <w:color w:val="auto"/>
              </w:rPr>
            </w:pPr>
          </w:p>
        </w:tc>
      </w:tr>
      <w:tr>
        <w:trPr>
          <w:trHeight w:val="209"/>
        </w:trPr>
        <w:tc>
          <w:tcPr>
            <w:tcW w:w="78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Noncontrolling interest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18,866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18,531</w:t>
            </w:r>
          </w:p>
        </w:tc>
        <w:tc>
          <w:tcPr>
            <w:tcW w:w="100" w:type="dxa"/>
            <w:vAlign w:val="bottom"/>
          </w:tcPr>
          <w:p>
            <w:pPr>
              <w:spacing w:after="0"/>
              <w:rPr>
                <w:sz w:val="18"/>
                <w:szCs w:val="18"/>
                <w:color w:val="auto"/>
              </w:rPr>
            </w:pPr>
          </w:p>
        </w:tc>
      </w:tr>
      <w:tr>
        <w:trPr>
          <w:trHeight w:val="202"/>
        </w:trPr>
        <w:tc>
          <w:tcPr>
            <w:tcW w:w="78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1,829,536</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1,763,022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2"/>
        </w:trPr>
        <w:tc>
          <w:tcPr>
            <w:tcW w:w="78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3,969,552</w:t>
            </w:r>
          </w:p>
        </w:tc>
        <w:tc>
          <w:tcPr>
            <w:tcW w:w="1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3,821,066</w:t>
            </w:r>
          </w:p>
        </w:tc>
      </w:tr>
      <w:tr>
        <w:trPr>
          <w:trHeight w:val="20"/>
        </w:trPr>
        <w:tc>
          <w:tcPr>
            <w:tcW w:w="1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774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3"/>
        </w:trPr>
        <w:tc>
          <w:tcPr>
            <w:tcW w:w="124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3980" w:type="dxa"/>
            <w:vAlign w:val="bottom"/>
            <w:gridSpan w:val="4"/>
          </w:tcPr>
          <w:p>
            <w:pPr>
              <w:jc w:val="center"/>
              <w:ind w:right="260"/>
              <w:spacing w:after="0"/>
              <w:rPr>
                <w:sz w:val="20"/>
                <w:szCs w:val="20"/>
                <w:color w:val="auto"/>
              </w:rPr>
            </w:pPr>
            <w:r>
              <w:rPr>
                <w:rFonts w:ascii="Times New Roman" w:cs="Times New Roman" w:eastAsia="Times New Roman" w:hAnsi="Times New Roman"/>
                <w:sz w:val="17"/>
                <w:szCs w:val="17"/>
                <w:color w:val="auto"/>
              </w:rPr>
              <w:t>RUSH ENTERPRISES, INC. AND SUBSIDIARIES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1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72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7"/>
                <w:szCs w:val="17"/>
                <w:color w:val="auto"/>
              </w:rPr>
              <w:t>CONSOLIDATED STATEMENTS OF INCOME</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1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Thousands, Except Per Share Amounts)</w:t>
            </w:r>
          </w:p>
        </w:tc>
        <w:tc>
          <w:tcPr>
            <w:tcW w:w="3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12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color w:val="auto"/>
              </w:rPr>
              <w:t>(Unaudited)</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8"/>
        </w:trPr>
        <w:tc>
          <w:tcPr>
            <w:tcW w:w="1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ind w:left="440"/>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12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1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7"/>
                <w:szCs w:val="17"/>
                <w:color w:val="auto"/>
              </w:rPr>
            </w:pPr>
          </w:p>
        </w:tc>
      </w:tr>
      <w:tr>
        <w:trPr>
          <w:trHeight w:val="202"/>
        </w:trPr>
        <w:tc>
          <w:tcPr>
            <w:tcW w:w="7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77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New and used commercial vehicle sales</w:t>
            </w:r>
          </w:p>
        </w:tc>
        <w:tc>
          <w:tcPr>
            <w:tcW w:w="60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1,161,725</w:t>
            </w:r>
          </w:p>
        </w:tc>
        <w:tc>
          <w:tcPr>
            <w:tcW w:w="140" w:type="dxa"/>
            <w:vAlign w:val="bottom"/>
          </w:tcPr>
          <w:p>
            <w:pPr>
              <w:spacing w:after="0"/>
              <w:rPr>
                <w:sz w:val="18"/>
                <w:szCs w:val="18"/>
                <w:color w:val="auto"/>
              </w:rPr>
            </w:pPr>
          </w:p>
        </w:tc>
        <w:tc>
          <w:tcPr>
            <w:tcW w:w="48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935,719</w:t>
            </w:r>
          </w:p>
        </w:tc>
      </w:tr>
      <w:tr>
        <w:trPr>
          <w:trHeight w:val="209"/>
        </w:trPr>
        <w:tc>
          <w:tcPr>
            <w:tcW w:w="77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Aftermarket products and services sales</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648,226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543,263</w:t>
            </w:r>
          </w:p>
        </w:tc>
      </w:tr>
      <w:tr>
        <w:trPr>
          <w:trHeight w:val="209"/>
        </w:trPr>
        <w:tc>
          <w:tcPr>
            <w:tcW w:w="77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Lease and rental</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86,666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71,335</w:t>
            </w:r>
          </w:p>
        </w:tc>
      </w:tr>
      <w:tr>
        <w:trPr>
          <w:trHeight w:val="209"/>
        </w:trPr>
        <w:tc>
          <w:tcPr>
            <w:tcW w:w="77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Finance and insurance</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7,525</w:t>
            </w:r>
          </w:p>
        </w:tc>
      </w:tr>
      <w:tr>
        <w:trPr>
          <w:trHeight w:val="209"/>
        </w:trPr>
        <w:tc>
          <w:tcPr>
            <w:tcW w:w="77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8,579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5,360</w:t>
            </w:r>
          </w:p>
        </w:tc>
        <w:tc>
          <w:tcPr>
            <w:tcW w:w="100" w:type="dxa"/>
            <w:vAlign w:val="bottom"/>
          </w:tcPr>
          <w:p>
            <w:pPr>
              <w:spacing w:after="0"/>
              <w:rPr>
                <w:sz w:val="18"/>
                <w:szCs w:val="18"/>
                <w:color w:val="auto"/>
              </w:rPr>
            </w:pPr>
          </w:p>
        </w:tc>
      </w:tr>
      <w:tr>
        <w:trPr>
          <w:trHeight w:val="202"/>
        </w:trPr>
        <w:tc>
          <w:tcPr>
            <w:tcW w:w="77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revenue</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1,911,767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1,563,202</w:t>
            </w:r>
          </w:p>
        </w:tc>
      </w:tr>
      <w:tr>
        <w:trPr>
          <w:trHeight w:val="209"/>
        </w:trPr>
        <w:tc>
          <w:tcPr>
            <w:tcW w:w="774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Cost of products sold</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7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New and used commercial vehicle sales</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1,050,365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834,993</w:t>
            </w:r>
          </w:p>
        </w:tc>
      </w:tr>
      <w:tr>
        <w:trPr>
          <w:trHeight w:val="209"/>
        </w:trPr>
        <w:tc>
          <w:tcPr>
            <w:tcW w:w="77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Aftermarket products and services sales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402,155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334,208</w:t>
            </w:r>
          </w:p>
        </w:tc>
      </w:tr>
      <w:tr>
        <w:trPr>
          <w:trHeight w:val="209"/>
        </w:trPr>
        <w:tc>
          <w:tcPr>
            <w:tcW w:w="774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Lease and rental</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60,478</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77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Total cost of products sold</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1,512,998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1,217,762</w:t>
            </w:r>
          </w:p>
        </w:tc>
        <w:tc>
          <w:tcPr>
            <w:tcW w:w="100" w:type="dxa"/>
            <w:vAlign w:val="bottom"/>
          </w:tcPr>
          <w:p>
            <w:pPr>
              <w:spacing w:after="0"/>
              <w:rPr>
                <w:sz w:val="17"/>
                <w:szCs w:val="17"/>
                <w:color w:val="auto"/>
              </w:rPr>
            </w:pPr>
          </w:p>
        </w:tc>
      </w:tr>
      <w:tr>
        <w:trPr>
          <w:trHeight w:val="202"/>
        </w:trPr>
        <w:tc>
          <w:tcPr>
            <w:tcW w:w="7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398,769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345,440</w:t>
            </w:r>
          </w:p>
        </w:tc>
      </w:tr>
      <w:tr>
        <w:trPr>
          <w:trHeight w:val="209"/>
        </w:trPr>
        <w:tc>
          <w:tcPr>
            <w:tcW w:w="77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256,808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224,447</w:t>
            </w:r>
          </w:p>
        </w:tc>
      </w:tr>
      <w:tr>
        <w:trPr>
          <w:trHeight w:val="209"/>
        </w:trPr>
        <w:tc>
          <w:tcPr>
            <w:tcW w:w="7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14,314</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13,674</w:t>
            </w:r>
          </w:p>
        </w:tc>
      </w:tr>
      <w:tr>
        <w:trPr>
          <w:trHeight w:val="209"/>
        </w:trPr>
        <w:tc>
          <w:tcPr>
            <w:tcW w:w="77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Gain on sale of assets</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8"/>
                <w:szCs w:val="18"/>
                <w:color w:val="auto"/>
              </w:rPr>
            </w:pPr>
          </w:p>
        </w:tc>
      </w:tr>
      <w:tr>
        <w:trPr>
          <w:trHeight w:val="202"/>
        </w:trPr>
        <w:tc>
          <w:tcPr>
            <w:tcW w:w="7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127,776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107,499</w:t>
            </w:r>
          </w:p>
        </w:tc>
      </w:tr>
      <w:tr>
        <w:trPr>
          <w:trHeight w:val="209"/>
        </w:trPr>
        <w:tc>
          <w:tcPr>
            <w:tcW w:w="77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14,064</w:t>
            </w:r>
          </w:p>
        </w:tc>
      </w:tr>
      <w:tr>
        <w:trPr>
          <w:trHeight w:val="209"/>
        </w:trPr>
        <w:tc>
          <w:tcPr>
            <w:tcW w:w="77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10,983</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774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Income before taxes</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119,140</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120,344</w:t>
            </w:r>
          </w:p>
        </w:tc>
      </w:tr>
      <w:tr>
        <w:trPr>
          <w:trHeight w:val="209"/>
        </w:trPr>
        <w:tc>
          <w:tcPr>
            <w:tcW w:w="77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28,350</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774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60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90,790</w:t>
            </w:r>
          </w:p>
        </w:tc>
        <w:tc>
          <w:tcPr>
            <w:tcW w:w="48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92,453</w:t>
            </w:r>
          </w:p>
        </w:tc>
      </w:tr>
      <w:tr>
        <w:trPr>
          <w:trHeight w:val="209"/>
        </w:trPr>
        <w:tc>
          <w:tcPr>
            <w:tcW w:w="7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(335)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774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7"/>
                <w:szCs w:val="17"/>
                <w:b w:val="1"/>
                <w:bCs w:val="1"/>
                <w:color w:val="auto"/>
              </w:rPr>
              <w:t>Net income attributable to Rush Enterprises, Inc.</w:t>
            </w:r>
          </w:p>
        </w:tc>
        <w:tc>
          <w:tcPr>
            <w:tcW w:w="260" w:type="dxa"/>
            <w:vAlign w:val="bottom"/>
            <w:tcBorders>
              <w:top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90,455</w:t>
            </w: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92,453</w:t>
            </w:r>
          </w:p>
        </w:tc>
        <w:tc>
          <w:tcPr>
            <w:tcW w:w="100" w:type="dxa"/>
            <w:vAlign w:val="bottom"/>
            <w:tcBorders>
              <w:top w:val="single" w:sz="8" w:color="CCEEFF"/>
            </w:tcBorders>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124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774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Net income attributable to Rush Enterprises, Inc. per share of common stock:</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w:t>
            </w:r>
          </w:p>
        </w:tc>
        <w:tc>
          <w:tcPr>
            <w:tcW w:w="60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1.65</w:t>
            </w:r>
          </w:p>
        </w:tc>
        <w:tc>
          <w:tcPr>
            <w:tcW w:w="48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1.65</w:t>
            </w:r>
          </w:p>
        </w:tc>
      </w:tr>
      <w:tr>
        <w:trPr>
          <w:trHeight w:val="209"/>
        </w:trPr>
        <w:tc>
          <w:tcPr>
            <w:tcW w:w="77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Diluted</w:t>
            </w:r>
          </w:p>
        </w:tc>
        <w:tc>
          <w:tcPr>
            <w:tcW w:w="60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1.60</w:t>
            </w:r>
          </w:p>
        </w:tc>
        <w:tc>
          <w:tcPr>
            <w:tcW w:w="48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1.60</w:t>
            </w:r>
          </w:p>
        </w:tc>
      </w:tr>
      <w:tr>
        <w:trPr>
          <w:trHeight w:val="209"/>
        </w:trPr>
        <w:tc>
          <w:tcPr>
            <w:tcW w:w="12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774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Weighted average shares outstanding:</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54,767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55,938</w:t>
            </w:r>
          </w:p>
        </w:tc>
      </w:tr>
      <w:tr>
        <w:trPr>
          <w:trHeight w:val="209"/>
        </w:trPr>
        <w:tc>
          <w:tcPr>
            <w:tcW w:w="77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56,564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57,912</w:t>
            </w:r>
          </w:p>
        </w:tc>
      </w:tr>
      <w:tr>
        <w:trPr>
          <w:trHeight w:val="209"/>
        </w:trPr>
        <w:tc>
          <w:tcPr>
            <w:tcW w:w="12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74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Dividends declared per common share</w:t>
            </w:r>
          </w:p>
        </w:tc>
        <w:tc>
          <w:tcPr>
            <w:tcW w:w="60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0.21</w:t>
            </w:r>
          </w:p>
        </w:tc>
        <w:tc>
          <w:tcPr>
            <w:tcW w:w="48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0.19</w:t>
            </w:r>
          </w:p>
        </w:tc>
      </w:tr>
      <w:tr>
        <w:trPr>
          <w:trHeight w:val="398"/>
        </w:trPr>
        <w:tc>
          <w:tcPr>
            <w:tcW w:w="1240" w:type="dxa"/>
            <w:vAlign w:val="bottom"/>
          </w:tcPr>
          <w:p>
            <w:pPr>
              <w:spacing w:after="0"/>
              <w:rPr>
                <w:sz w:val="24"/>
                <w:szCs w:val="24"/>
                <w:color w:val="auto"/>
              </w:rPr>
            </w:pPr>
          </w:p>
        </w:tc>
        <w:tc>
          <w:tcPr>
            <w:tcW w:w="8380" w:type="dxa"/>
            <w:vAlign w:val="bottom"/>
            <w:gridSpan w:val="9"/>
          </w:tcPr>
          <w:p>
            <w:pPr>
              <w:jc w:val="center"/>
              <w:ind w:left="293"/>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360" w:type="dxa"/>
            <w:vAlign w:val="bottom"/>
            <w:gridSpan w:val="4"/>
          </w:tcPr>
          <w:p>
            <w:pPr>
              <w:jc w:val="center"/>
              <w:ind w:left="3793"/>
              <w:spacing w:after="0"/>
              <w:rPr>
                <w:sz w:val="20"/>
                <w:szCs w:val="20"/>
                <w:color w:val="auto"/>
              </w:rPr>
            </w:pPr>
            <w:r>
              <w:rPr>
                <w:rFonts w:ascii="Times New Roman" w:cs="Times New Roman" w:eastAsia="Times New Roman" w:hAnsi="Times New Roman"/>
                <w:sz w:val="17"/>
                <w:szCs w:val="17"/>
                <w:color w:val="auto"/>
                <w:w w:val="93"/>
              </w:rPr>
              <w:t>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1"/>
        </w:trPr>
        <w:tc>
          <w:tcPr>
            <w:tcW w:w="124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1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8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3"/>
        </w:trPr>
        <w:tc>
          <w:tcPr>
            <w:tcW w:w="124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RUSH ENTERPRISES, INC. AND SUBSIDIARIES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12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820" w:type="dxa"/>
            <w:vAlign w:val="bottom"/>
            <w:gridSpan w:val="5"/>
          </w:tcPr>
          <w:p>
            <w:pPr>
              <w:jc w:val="center"/>
              <w:ind w:right="773"/>
              <w:spacing w:after="0" w:line="189" w:lineRule="exact"/>
              <w:rPr>
                <w:sz w:val="20"/>
                <w:szCs w:val="20"/>
                <w:color w:val="auto"/>
              </w:rPr>
            </w:pPr>
            <w:r>
              <w:rPr>
                <w:rFonts w:ascii="Times New Roman" w:cs="Times New Roman" w:eastAsia="Times New Roman" w:hAnsi="Times New Roman"/>
                <w:sz w:val="17"/>
                <w:szCs w:val="17"/>
                <w:color w:val="auto"/>
              </w:rPr>
              <w:t>CONSOLIDATED STATEMENTS OF COMPREHENSIVE INCOME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1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(Unaudited)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2"/>
        </w:trPr>
        <w:tc>
          <w:tcPr>
            <w:tcW w:w="12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5"/>
          </w:tcPr>
          <w:p>
            <w:pPr>
              <w:jc w:val="right"/>
              <w:ind w:right="153"/>
              <w:spacing w:after="0" w:line="182"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1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1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90,790</w:t>
            </w:r>
          </w:p>
        </w:tc>
        <w:tc>
          <w:tcPr>
            <w:tcW w:w="1040" w:type="dxa"/>
            <w:vAlign w:val="bottom"/>
            <w:gridSpan w:val="2"/>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92,453</w:t>
            </w:r>
          </w:p>
        </w:tc>
      </w:tr>
      <w:tr>
        <w:trPr>
          <w:trHeight w:val="209"/>
        </w:trPr>
        <w:tc>
          <w:tcPr>
            <w:tcW w:w="74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48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74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Other comprehensive income attributable to Rush Enterprises, Inc.</w:t>
            </w:r>
          </w:p>
        </w:tc>
        <w:tc>
          <w:tcPr>
            <w:tcW w:w="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17"/>
                <w:szCs w:val="17"/>
                <w:color w:val="auto"/>
              </w:rPr>
            </w:pPr>
          </w:p>
        </w:tc>
      </w:tr>
      <w:tr>
        <w:trPr>
          <w:trHeight w:val="202"/>
        </w:trPr>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91,022</w:t>
            </w:r>
          </w:p>
        </w:tc>
        <w:tc>
          <w:tcPr>
            <w:tcW w:w="1040" w:type="dxa"/>
            <w:vAlign w:val="bottom"/>
            <w:gridSpan w:val="2"/>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92,898</w:t>
            </w:r>
          </w:p>
        </w:tc>
      </w:tr>
      <w:tr>
        <w:trPr>
          <w:trHeight w:val="209"/>
        </w:trPr>
        <w:tc>
          <w:tcPr>
            <w:tcW w:w="74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Less: Comprehensive income attributable to noncontrolling interest</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42"/>
        </w:trPr>
        <w:tc>
          <w:tcPr>
            <w:tcW w:w="74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Comprehensive income attributable to Rush Enterprises, Inc.</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92,898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RUSH ENTERPRISES,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CONSOLIDATED STATEMENTS OF SHAREHOLDERS’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1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color w:val="auto"/>
                <w:w w:val="99"/>
              </w:rPr>
              <w:t>Accumulated</w:t>
            </w:r>
          </w:p>
        </w:tc>
        <w:tc>
          <w:tcPr>
            <w:tcW w:w="140" w:type="dxa"/>
            <w:vAlign w:val="bottom"/>
          </w:tcPr>
          <w:p>
            <w:pPr>
              <w:spacing w:after="0"/>
              <w:rPr>
                <w:sz w:val="12"/>
                <w:szCs w:val="12"/>
                <w:color w:val="auto"/>
              </w:rPr>
            </w:pPr>
          </w:p>
        </w:tc>
        <w:tc>
          <w:tcPr>
            <w:tcW w:w="860" w:type="dxa"/>
            <w:vAlign w:val="bottom"/>
          </w:tcPr>
          <w:p>
            <w:pPr>
              <w:jc w:val="center"/>
              <w:ind w:right="90"/>
              <w:spacing w:after="0" w:line="144" w:lineRule="exact"/>
              <w:rPr>
                <w:sz w:val="20"/>
                <w:szCs w:val="20"/>
                <w:color w:val="auto"/>
              </w:rPr>
            </w:pPr>
            <w:r>
              <w:rPr>
                <w:rFonts w:ascii="Times New Roman" w:cs="Times New Roman" w:eastAsia="Times New Roman" w:hAnsi="Times New Roman"/>
                <w:sz w:val="14"/>
                <w:szCs w:val="14"/>
                <w:color w:val="auto"/>
              </w:rPr>
              <w:t>Rush</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center"/>
              <w:ind w:right="171"/>
              <w:spacing w:after="0"/>
              <w:rPr>
                <w:sz w:val="20"/>
                <w:szCs w:val="20"/>
                <w:color w:val="auto"/>
              </w:rPr>
            </w:pPr>
            <w:r>
              <w:rPr>
                <w:rFonts w:ascii="Times New Roman" w:cs="Times New Roman" w:eastAsia="Times New Roman" w:hAnsi="Times New Roman"/>
                <w:sz w:val="14"/>
                <w:szCs w:val="14"/>
                <w:color w:val="auto"/>
                <w:w w:val="95"/>
              </w:rPr>
              <w:t>$0.01</w:t>
            </w:r>
          </w:p>
        </w:tc>
        <w:tc>
          <w:tcPr>
            <w:tcW w:w="180" w:type="dxa"/>
            <w:vAlign w:val="bottom"/>
          </w:tcPr>
          <w:p>
            <w:pPr>
              <w:spacing w:after="0"/>
              <w:rPr>
                <w:sz w:val="12"/>
                <w:szCs w:val="12"/>
                <w:color w:val="auto"/>
              </w:rPr>
            </w:pPr>
          </w:p>
        </w:tc>
        <w:tc>
          <w:tcPr>
            <w:tcW w:w="880" w:type="dxa"/>
            <w:vAlign w:val="bottom"/>
            <w:vMerge w:val="restart"/>
          </w:tcPr>
          <w:p>
            <w:pPr>
              <w:jc w:val="center"/>
              <w:ind w:right="131"/>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0"/>
              <w:spacing w:after="0" w:line="144" w:lineRule="exact"/>
              <w:rPr>
                <w:sz w:val="20"/>
                <w:szCs w:val="20"/>
                <w:color w:val="auto"/>
              </w:rPr>
            </w:pPr>
            <w:r>
              <w:rPr>
                <w:rFonts w:ascii="Times New Roman" w:cs="Times New Roman" w:eastAsia="Times New Roman" w:hAnsi="Times New Roman"/>
                <w:sz w:val="14"/>
                <w:szCs w:val="14"/>
                <w:color w:val="auto"/>
                <w:w w:val="99"/>
              </w:rPr>
              <w:t>Enterprises,</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66"/>
        </w:trPr>
        <w:tc>
          <w:tcPr>
            <w:tcW w:w="1360" w:type="dxa"/>
            <w:vAlign w:val="bottom"/>
          </w:tcPr>
          <w:p>
            <w:pPr>
              <w:spacing w:after="0"/>
              <w:rPr>
                <w:sz w:val="14"/>
                <w:szCs w:val="14"/>
                <w:color w:val="auto"/>
              </w:rPr>
            </w:pPr>
          </w:p>
        </w:tc>
        <w:tc>
          <w:tcPr>
            <w:tcW w:w="1080" w:type="dxa"/>
            <w:vAlign w:val="bottom"/>
            <w:tcBorders>
              <w:bottom w:val="single" w:sz="8" w:color="auto"/>
            </w:tcBorders>
          </w:tcPr>
          <w:p>
            <w:pPr>
              <w:jc w:val="center"/>
              <w:ind w:left="571"/>
              <w:spacing w:after="0"/>
              <w:rPr>
                <w:sz w:val="20"/>
                <w:szCs w:val="20"/>
                <w:color w:val="auto"/>
              </w:rPr>
            </w:pPr>
            <w:r>
              <w:rPr>
                <w:rFonts w:ascii="Times New Roman" w:cs="Times New Roman" w:eastAsia="Times New Roman" w:hAnsi="Times New Roman"/>
                <w:sz w:val="14"/>
                <w:szCs w:val="14"/>
                <w:color w:val="auto"/>
                <w:w w:val="96"/>
              </w:rPr>
              <w:t>Shares</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4"/>
                <w:szCs w:val="14"/>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Inc.</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360" w:type="dxa"/>
            <w:vAlign w:val="bottom"/>
          </w:tcPr>
          <w:p>
            <w:pPr>
              <w:spacing w:after="0"/>
              <w:rPr>
                <w:sz w:val="9"/>
                <w:szCs w:val="9"/>
                <w:color w:val="auto"/>
              </w:rPr>
            </w:pPr>
          </w:p>
        </w:tc>
        <w:tc>
          <w:tcPr>
            <w:tcW w:w="172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3"/>
                <w:szCs w:val="13"/>
                <w:color w:val="auto"/>
              </w:rPr>
              <w:t>Outstanding</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center"/>
              <w:ind w:right="171"/>
              <w:spacing w:after="0" w:line="114" w:lineRule="exact"/>
              <w:rPr>
                <w:sz w:val="20"/>
                <w:szCs w:val="20"/>
                <w:color w:val="auto"/>
              </w:rPr>
            </w:pPr>
            <w:r>
              <w:rPr>
                <w:rFonts w:ascii="Times New Roman" w:cs="Times New Roman" w:eastAsia="Times New Roman" w:hAnsi="Times New Roman"/>
                <w:sz w:val="13"/>
                <w:szCs w:val="13"/>
                <w:color w:val="auto"/>
              </w:rPr>
              <w:t>Par</w:t>
            </w:r>
          </w:p>
        </w:tc>
        <w:tc>
          <w:tcPr>
            <w:tcW w:w="180" w:type="dxa"/>
            <w:vAlign w:val="bottom"/>
          </w:tcPr>
          <w:p>
            <w:pPr>
              <w:spacing w:after="0"/>
              <w:rPr>
                <w:sz w:val="9"/>
                <w:szCs w:val="9"/>
                <w:color w:val="auto"/>
              </w:rPr>
            </w:pPr>
          </w:p>
        </w:tc>
        <w:tc>
          <w:tcPr>
            <w:tcW w:w="880" w:type="dxa"/>
            <w:vAlign w:val="bottom"/>
          </w:tcPr>
          <w:p>
            <w:pPr>
              <w:jc w:val="center"/>
              <w:ind w:right="131"/>
              <w:spacing w:after="0" w:line="114" w:lineRule="exact"/>
              <w:rPr>
                <w:sz w:val="20"/>
                <w:szCs w:val="20"/>
                <w:color w:val="auto"/>
              </w:rPr>
            </w:pPr>
            <w:r>
              <w:rPr>
                <w:rFonts w:ascii="Times New Roman" w:cs="Times New Roman" w:eastAsia="Times New Roman" w:hAnsi="Times New Roman"/>
                <w:sz w:val="13"/>
                <w:szCs w:val="13"/>
                <w:color w:val="auto"/>
              </w:rPr>
              <w:t>Paid -In</w:t>
            </w:r>
          </w:p>
        </w:tc>
        <w:tc>
          <w:tcPr>
            <w:tcW w:w="180" w:type="dxa"/>
            <w:vAlign w:val="bottom"/>
          </w:tcPr>
          <w:p>
            <w:pPr>
              <w:spacing w:after="0"/>
              <w:rPr>
                <w:sz w:val="9"/>
                <w:szCs w:val="9"/>
                <w:color w:val="auto"/>
              </w:rPr>
            </w:pPr>
          </w:p>
        </w:tc>
        <w:tc>
          <w:tcPr>
            <w:tcW w:w="840" w:type="dxa"/>
            <w:vAlign w:val="bottom"/>
          </w:tcPr>
          <w:p>
            <w:pPr>
              <w:jc w:val="center"/>
              <w:ind w:right="131"/>
              <w:spacing w:after="0" w:line="114" w:lineRule="exact"/>
              <w:rPr>
                <w:sz w:val="20"/>
                <w:szCs w:val="20"/>
                <w:color w:val="auto"/>
              </w:rPr>
            </w:pPr>
            <w:r>
              <w:rPr>
                <w:rFonts w:ascii="Times New Roman" w:cs="Times New Roman" w:eastAsia="Times New Roman" w:hAnsi="Times New Roman"/>
                <w:sz w:val="13"/>
                <w:szCs w:val="13"/>
                <w:color w:val="auto"/>
              </w:rPr>
              <w:t>Treasury</w:t>
            </w:r>
          </w:p>
        </w:tc>
        <w:tc>
          <w:tcPr>
            <w:tcW w:w="180" w:type="dxa"/>
            <w:vAlign w:val="bottom"/>
          </w:tcPr>
          <w:p>
            <w:pPr>
              <w:spacing w:after="0"/>
              <w:rPr>
                <w:sz w:val="9"/>
                <w:szCs w:val="9"/>
                <w:color w:val="auto"/>
              </w:rPr>
            </w:pPr>
          </w:p>
        </w:tc>
        <w:tc>
          <w:tcPr>
            <w:tcW w:w="820" w:type="dxa"/>
            <w:vAlign w:val="bottom"/>
          </w:tcPr>
          <w:p>
            <w:pPr>
              <w:jc w:val="right"/>
              <w:ind w:right="211"/>
              <w:spacing w:after="0" w:line="114" w:lineRule="exact"/>
              <w:rPr>
                <w:sz w:val="20"/>
                <w:szCs w:val="20"/>
                <w:color w:val="auto"/>
              </w:rPr>
            </w:pPr>
            <w:r>
              <w:rPr>
                <w:rFonts w:ascii="Times New Roman" w:cs="Times New Roman" w:eastAsia="Times New Roman" w:hAnsi="Times New Roman"/>
                <w:sz w:val="13"/>
                <w:szCs w:val="13"/>
                <w:color w:val="auto"/>
              </w:rPr>
              <w:t>Retained</w:t>
            </w:r>
          </w:p>
        </w:tc>
        <w:tc>
          <w:tcPr>
            <w:tcW w:w="98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3"/>
                <w:szCs w:val="13"/>
                <w:color w:val="auto"/>
              </w:rPr>
              <w:t>Comprehensive</w:t>
            </w:r>
          </w:p>
        </w:tc>
        <w:tc>
          <w:tcPr>
            <w:tcW w:w="100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3"/>
                <w:szCs w:val="13"/>
                <w:color w:val="auto"/>
              </w:rPr>
              <w:t>Shareholders’</w:t>
            </w:r>
          </w:p>
        </w:tc>
        <w:tc>
          <w:tcPr>
            <w:tcW w:w="98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3"/>
                <w:szCs w:val="13"/>
                <w:color w:val="auto"/>
              </w:rPr>
              <w:t>Noncontrolling</w:t>
            </w:r>
          </w:p>
        </w:tc>
        <w:tc>
          <w:tcPr>
            <w:tcW w:w="104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3"/>
                <w:szCs w:val="13"/>
                <w:color w:val="auto"/>
              </w:rPr>
              <w:t>Shareholders’</w:t>
            </w:r>
          </w:p>
        </w:tc>
        <w:tc>
          <w:tcPr>
            <w:tcW w:w="0" w:type="dxa"/>
            <w:vAlign w:val="bottom"/>
          </w:tcPr>
          <w:p>
            <w:pPr>
              <w:spacing w:after="0"/>
              <w:rPr>
                <w:sz w:val="1"/>
                <w:szCs w:val="1"/>
                <w:color w:val="auto"/>
              </w:rPr>
            </w:pPr>
          </w:p>
        </w:tc>
      </w:tr>
      <w:tr>
        <w:trPr>
          <w:trHeight w:val="166"/>
        </w:trPr>
        <w:tc>
          <w:tcPr>
            <w:tcW w:w="1360" w:type="dxa"/>
            <w:vAlign w:val="bottom"/>
          </w:tcPr>
          <w:p>
            <w:pPr>
              <w:spacing w:after="0"/>
              <w:rPr>
                <w:sz w:val="14"/>
                <w:szCs w:val="14"/>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Class A</w:t>
            </w:r>
          </w:p>
        </w:tc>
        <w:tc>
          <w:tcPr>
            <w:tcW w:w="7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Class B</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color w:val="auto"/>
                <w:w w:val="89"/>
              </w:rPr>
              <w:t>Value</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color w:val="auto"/>
                <w:w w:val="98"/>
              </w:rPr>
              <w:t>Capital</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Earnings</w:t>
            </w: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8"/>
              </w:rPr>
              <w:t>Income (Loss)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color w:val="auto"/>
              </w:rPr>
              <w:t>Equity</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color w:val="auto"/>
                <w:w w:val="99"/>
              </w:rPr>
              <w:t>Interest</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12"/>
        </w:trPr>
        <w:tc>
          <w:tcPr>
            <w:tcW w:w="13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Balance, December 31,</w:t>
            </w:r>
          </w:p>
        </w:tc>
        <w:tc>
          <w:tcPr>
            <w:tcW w:w="108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42,345</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12,083</w:t>
            </w:r>
          </w:p>
        </w:tc>
        <w:tc>
          <w:tcPr>
            <w:tcW w:w="2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500,642</w:t>
            </w:r>
          </w:p>
        </w:tc>
        <w:tc>
          <w:tcPr>
            <w:tcW w:w="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(130,930)</w:t>
            </w:r>
          </w:p>
        </w:tc>
        <w:tc>
          <w:tcPr>
            <w:tcW w:w="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1,378,337</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w:t>
            </w:r>
            <w:r>
              <w:rPr>
                <w:rFonts w:ascii="Times New Roman" w:cs="Times New Roman" w:eastAsia="Times New Roman" w:hAnsi="Times New Roman"/>
                <w:sz w:val="14"/>
                <w:szCs w:val="14"/>
                <w:b w:val="1"/>
                <w:bCs w:val="1"/>
                <w:color w:val="auto"/>
              </w:rPr>
              <w:t>) $</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1,744,491</w:t>
            </w:r>
          </w:p>
        </w:tc>
        <w:tc>
          <w:tcPr>
            <w:tcW w:w="1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18,531</w:t>
            </w:r>
          </w:p>
        </w:tc>
        <w:tc>
          <w:tcPr>
            <w:tcW w:w="2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1,763,022</w:t>
            </w:r>
          </w:p>
        </w:tc>
        <w:tc>
          <w:tcPr>
            <w:tcW w:w="0" w:type="dxa"/>
            <w:vAlign w:val="bottom"/>
          </w:tcPr>
          <w:p>
            <w:pPr>
              <w:spacing w:after="0"/>
              <w:rPr>
                <w:sz w:val="1"/>
                <w:szCs w:val="1"/>
                <w:color w:val="auto"/>
              </w:rPr>
            </w:pPr>
          </w:p>
        </w:tc>
      </w:tr>
      <w:tr>
        <w:trPr>
          <w:trHeight w:val="168"/>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Stock options exercised</w:t>
            </w:r>
          </w:p>
        </w:tc>
        <w:tc>
          <w:tcPr>
            <w:tcW w:w="10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152</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3,412</w:t>
            </w: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3,414</w:t>
            </w: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3,414</w:t>
            </w:r>
          </w:p>
        </w:tc>
        <w:tc>
          <w:tcPr>
            <w:tcW w:w="0" w:type="dxa"/>
            <w:vAlign w:val="bottom"/>
          </w:tcPr>
          <w:p>
            <w:pPr>
              <w:spacing w:after="0"/>
              <w:rPr>
                <w:sz w:val="1"/>
                <w:szCs w:val="1"/>
                <w:color w:val="auto"/>
              </w:rPr>
            </w:pPr>
          </w:p>
        </w:tc>
      </w:tr>
      <w:tr>
        <w:trPr>
          <w:trHeight w:val="166"/>
        </w:trPr>
        <w:tc>
          <w:tcPr>
            <w:tcW w:w="1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and stock awards</w:t>
            </w:r>
          </w:p>
        </w:tc>
        <w:tc>
          <w:tcPr>
            <w:tcW w:w="10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Stock-based</w:t>
            </w:r>
          </w:p>
        </w:tc>
        <w:tc>
          <w:tcPr>
            <w:tcW w:w="10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w w:val="98"/>
              </w:rPr>
              <w:t>compensation related</w:t>
            </w:r>
          </w:p>
        </w:tc>
        <w:tc>
          <w:tcPr>
            <w:tcW w:w="10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to stock options,</w:t>
            </w:r>
          </w:p>
        </w:tc>
        <w:tc>
          <w:tcPr>
            <w:tcW w:w="10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restricted shares and</w:t>
            </w:r>
          </w:p>
        </w:tc>
        <w:tc>
          <w:tcPr>
            <w:tcW w:w="10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employee stock</w:t>
            </w:r>
          </w:p>
        </w:tc>
        <w:tc>
          <w:tcPr>
            <w:tcW w:w="108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13,080</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13,080</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13,080</w:t>
            </w:r>
          </w:p>
        </w:tc>
        <w:tc>
          <w:tcPr>
            <w:tcW w:w="0" w:type="dxa"/>
            <w:vAlign w:val="bottom"/>
          </w:tcPr>
          <w:p>
            <w:pPr>
              <w:spacing w:after="0"/>
              <w:rPr>
                <w:sz w:val="1"/>
                <w:szCs w:val="1"/>
                <w:color w:val="auto"/>
              </w:rPr>
            </w:pPr>
          </w:p>
        </w:tc>
      </w:tr>
      <w:tr>
        <w:trPr>
          <w:trHeight w:val="166"/>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purchase plan</w:t>
            </w:r>
          </w:p>
        </w:tc>
        <w:tc>
          <w:tcPr>
            <w:tcW w:w="10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Vesting of restricted</w:t>
            </w:r>
          </w:p>
        </w:tc>
        <w:tc>
          <w:tcPr>
            <w:tcW w:w="10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(6,964)</w:t>
            </w: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(6,961)</w:t>
            </w: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(6,961)</w:t>
            </w:r>
          </w:p>
        </w:tc>
        <w:tc>
          <w:tcPr>
            <w:tcW w:w="0" w:type="dxa"/>
            <w:vAlign w:val="bottom"/>
          </w:tcPr>
          <w:p>
            <w:pPr>
              <w:spacing w:after="0"/>
              <w:rPr>
                <w:sz w:val="1"/>
                <w:szCs w:val="1"/>
                <w:color w:val="auto"/>
              </w:rPr>
            </w:pPr>
          </w:p>
        </w:tc>
      </w:tr>
      <w:tr>
        <w:trPr>
          <w:trHeight w:val="166"/>
        </w:trPr>
        <w:tc>
          <w:tcPr>
            <w:tcW w:w="1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 awards</w:t>
            </w:r>
          </w:p>
        </w:tc>
        <w:tc>
          <w:tcPr>
            <w:tcW w:w="10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Issuance of common</w:t>
            </w:r>
          </w:p>
        </w:tc>
        <w:tc>
          <w:tcPr>
            <w:tcW w:w="10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stock under</w:t>
            </w:r>
          </w:p>
        </w:tc>
        <w:tc>
          <w:tcPr>
            <w:tcW w:w="10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employee stock</w:t>
            </w:r>
          </w:p>
        </w:tc>
        <w:tc>
          <w:tcPr>
            <w:tcW w:w="108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68</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2,828</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166"/>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purchase plan</w:t>
            </w:r>
          </w:p>
        </w:tc>
        <w:tc>
          <w:tcPr>
            <w:tcW w:w="10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Common stock</w:t>
            </w:r>
          </w:p>
        </w:tc>
        <w:tc>
          <w:tcPr>
            <w:tcW w:w="10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(415)</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(25,280)</w:t>
            </w:r>
          </w:p>
        </w:tc>
        <w:tc>
          <w:tcPr>
            <w:tcW w:w="180" w:type="dxa"/>
            <w:vAlign w:val="bottom"/>
          </w:tcPr>
          <w:p>
            <w:pPr>
              <w:spacing w:after="0"/>
              <w:rPr>
                <w:sz w:val="10"/>
                <w:szCs w:val="10"/>
                <w:color w:val="auto"/>
              </w:rPr>
            </w:pPr>
          </w:p>
        </w:tc>
        <w:tc>
          <w:tcPr>
            <w:tcW w:w="8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(25,280)</w:t>
            </w: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(25,280)</w:t>
            </w:r>
          </w:p>
        </w:tc>
        <w:tc>
          <w:tcPr>
            <w:tcW w:w="0" w:type="dxa"/>
            <w:vAlign w:val="bottom"/>
          </w:tcPr>
          <w:p>
            <w:pPr>
              <w:spacing w:after="0"/>
              <w:rPr>
                <w:sz w:val="1"/>
                <w:szCs w:val="1"/>
                <w:color w:val="auto"/>
              </w:rPr>
            </w:pPr>
          </w:p>
        </w:tc>
      </w:tr>
      <w:tr>
        <w:trPr>
          <w:trHeight w:val="166"/>
        </w:trPr>
        <w:tc>
          <w:tcPr>
            <w:tcW w:w="1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repurchases</w:t>
            </w:r>
          </w:p>
        </w:tc>
        <w:tc>
          <w:tcPr>
            <w:tcW w:w="10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Cash dividends</w:t>
            </w:r>
          </w:p>
        </w:tc>
        <w:tc>
          <w:tcPr>
            <w:tcW w:w="10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declared on Class A</w:t>
            </w:r>
          </w:p>
        </w:tc>
        <w:tc>
          <w:tcPr>
            <w:tcW w:w="108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(8,897)</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(8,897)</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(8,897)</w:t>
            </w:r>
          </w:p>
        </w:tc>
        <w:tc>
          <w:tcPr>
            <w:tcW w:w="0" w:type="dxa"/>
            <w:vAlign w:val="bottom"/>
          </w:tcPr>
          <w:p>
            <w:pPr>
              <w:spacing w:after="0"/>
              <w:rPr>
                <w:sz w:val="1"/>
                <w:szCs w:val="1"/>
                <w:color w:val="auto"/>
              </w:rPr>
            </w:pPr>
          </w:p>
        </w:tc>
      </w:tr>
      <w:tr>
        <w:trPr>
          <w:trHeight w:val="166"/>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common stock</w:t>
            </w:r>
          </w:p>
        </w:tc>
        <w:tc>
          <w:tcPr>
            <w:tcW w:w="10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Cash dividends</w:t>
            </w:r>
          </w:p>
        </w:tc>
        <w:tc>
          <w:tcPr>
            <w:tcW w:w="1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60" w:type="dxa"/>
            <w:vAlign w:val="bottom"/>
          </w:tcPr>
          <w:p>
            <w:pPr>
              <w:ind w:left="160"/>
              <w:spacing w:after="0" w:line="144" w:lineRule="exact"/>
              <w:rPr>
                <w:sz w:val="20"/>
                <w:szCs w:val="20"/>
                <w:color w:val="auto"/>
              </w:rPr>
            </w:pPr>
            <w:r>
              <w:rPr>
                <w:rFonts w:ascii="Times New Roman" w:cs="Times New Roman" w:eastAsia="Times New Roman" w:hAnsi="Times New Roman"/>
                <w:sz w:val="14"/>
                <w:szCs w:val="14"/>
                <w:color w:val="auto"/>
              </w:rPr>
              <w:t>declared on Class B</w:t>
            </w:r>
          </w:p>
        </w:tc>
        <w:tc>
          <w:tcPr>
            <w:tcW w:w="10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0" w:type="dxa"/>
            <w:vAlign w:val="bottom"/>
          </w:tcPr>
          <w:p>
            <w:pPr>
              <w:spacing w:after="0"/>
              <w:rPr>
                <w:sz w:val="1"/>
                <w:szCs w:val="1"/>
                <w:color w:val="auto"/>
              </w:rPr>
            </w:pPr>
          </w:p>
        </w:tc>
      </w:tr>
      <w:tr>
        <w:trPr>
          <w:trHeight w:val="166"/>
        </w:trPr>
        <w:tc>
          <w:tcPr>
            <w:tcW w:w="1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w:t>
            </w:r>
          </w:p>
        </w:tc>
        <w:tc>
          <w:tcPr>
            <w:tcW w:w="10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Foreign currency</w:t>
            </w:r>
          </w:p>
        </w:tc>
        <w:tc>
          <w:tcPr>
            <w:tcW w:w="10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translation</w:t>
            </w:r>
          </w:p>
        </w:tc>
        <w:tc>
          <w:tcPr>
            <w:tcW w:w="108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66"/>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adjustment</w:t>
            </w:r>
          </w:p>
        </w:tc>
        <w:tc>
          <w:tcPr>
            <w:tcW w:w="10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3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bottom w:val="single" w:sz="8" w:color="auto"/>
            </w:tcBorders>
          </w:tcPr>
          <w:p>
            <w:pPr>
              <w:jc w:val="right"/>
              <w:ind w:right="211"/>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
              <w:spacing w:after="0" w:line="144"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
              <w:spacing w:after="0" w:line="144" w:lineRule="exact"/>
              <w:rPr>
                <w:sz w:val="20"/>
                <w:szCs w:val="20"/>
                <w:color w:val="auto"/>
              </w:rPr>
            </w:pPr>
            <w:r>
              <w:rPr>
                <w:rFonts w:ascii="Times New Roman" w:cs="Times New Roman" w:eastAsia="Times New Roman" w:hAnsi="Times New Roman"/>
                <w:sz w:val="14"/>
                <w:szCs w:val="14"/>
                <w:color w:val="auto"/>
              </w:rPr>
              <w:t>90,455</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90,455</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335</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
              <w:spacing w:after="0" w:line="144" w:lineRule="exact"/>
              <w:rPr>
                <w:sz w:val="20"/>
                <w:szCs w:val="20"/>
                <w:color w:val="auto"/>
              </w:rPr>
            </w:pPr>
            <w:r>
              <w:rPr>
                <w:rFonts w:ascii="Times New Roman" w:cs="Times New Roman" w:eastAsia="Times New Roman" w:hAnsi="Times New Roman"/>
                <w:sz w:val="14"/>
                <w:szCs w:val="14"/>
                <w:color w:val="auto"/>
              </w:rPr>
              <w:t>90,790</w:t>
            </w:r>
          </w:p>
        </w:tc>
        <w:tc>
          <w:tcPr>
            <w:tcW w:w="0" w:type="dxa"/>
            <w:vAlign w:val="bottom"/>
          </w:tcPr>
          <w:p>
            <w:pPr>
              <w:spacing w:after="0"/>
              <w:rPr>
                <w:sz w:val="1"/>
                <w:szCs w:val="1"/>
                <w:color w:val="auto"/>
              </w:rPr>
            </w:pPr>
          </w:p>
        </w:tc>
      </w:tr>
      <w:tr>
        <w:trPr>
          <w:trHeight w:val="112"/>
        </w:trPr>
        <w:tc>
          <w:tcPr>
            <w:tcW w:w="13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Balance, March 31,</w:t>
            </w:r>
          </w:p>
        </w:tc>
        <w:tc>
          <w:tcPr>
            <w:tcW w:w="108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42,150</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12,308</w:t>
            </w:r>
          </w:p>
        </w:tc>
        <w:tc>
          <w:tcPr>
            <w:tcW w:w="2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512,998</w:t>
            </w:r>
          </w:p>
        </w:tc>
        <w:tc>
          <w:tcPr>
            <w:tcW w:w="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(156,210)</w:t>
            </w:r>
          </w:p>
        </w:tc>
        <w:tc>
          <w:tcPr>
            <w:tcW w:w="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1,457,203</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(3,898</w:t>
            </w:r>
            <w:r>
              <w:rPr>
                <w:rFonts w:ascii="Times New Roman" w:cs="Times New Roman" w:eastAsia="Times New Roman" w:hAnsi="Times New Roman"/>
                <w:sz w:val="14"/>
                <w:szCs w:val="14"/>
                <w:b w:val="1"/>
                <w:bCs w:val="1"/>
                <w:color w:val="auto"/>
              </w:rPr>
              <w:t>) $</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1,810,670</w:t>
            </w:r>
          </w:p>
        </w:tc>
        <w:tc>
          <w:tcPr>
            <w:tcW w:w="1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18,866</w:t>
            </w:r>
          </w:p>
        </w:tc>
        <w:tc>
          <w:tcPr>
            <w:tcW w:w="2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1,829,536</w:t>
            </w:r>
          </w:p>
        </w:tc>
        <w:tc>
          <w:tcPr>
            <w:tcW w:w="0" w:type="dxa"/>
            <w:vAlign w:val="bottom"/>
          </w:tcPr>
          <w:p>
            <w:pPr>
              <w:spacing w:after="0"/>
              <w:rPr>
                <w:sz w:val="1"/>
                <w:szCs w:val="1"/>
                <w:color w:val="auto"/>
              </w:rPr>
            </w:pPr>
          </w:p>
        </w:tc>
      </w:tr>
      <w:tr>
        <w:trPr>
          <w:trHeight w:val="169"/>
        </w:trPr>
        <w:tc>
          <w:tcPr>
            <w:tcW w:w="1360" w:type="dxa"/>
            <w:vAlign w:val="bottom"/>
            <w:tcBorders>
              <w:bottom w:val="single" w:sz="8" w:color="CCEEFF"/>
            </w:tcBorders>
            <w:shd w:val="clear" w:color="auto" w:fill="CCEEFF"/>
          </w:tcPr>
          <w:p>
            <w:pPr>
              <w:ind w:left="160"/>
              <w:spacing w:after="0" w:line="123" w:lineRule="exact"/>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gridSpan w:val="2"/>
            <w:vMerge w:val="continue"/>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gridSpan w:val="2"/>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1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color w:val="auto"/>
                <w:w w:val="99"/>
              </w:rPr>
              <w:t>Accumulated</w:t>
            </w:r>
          </w:p>
        </w:tc>
        <w:tc>
          <w:tcPr>
            <w:tcW w:w="140" w:type="dxa"/>
            <w:vAlign w:val="bottom"/>
          </w:tcPr>
          <w:p>
            <w:pPr>
              <w:spacing w:after="0"/>
              <w:rPr>
                <w:sz w:val="12"/>
                <w:szCs w:val="12"/>
                <w:color w:val="auto"/>
              </w:rPr>
            </w:pPr>
          </w:p>
        </w:tc>
        <w:tc>
          <w:tcPr>
            <w:tcW w:w="860" w:type="dxa"/>
            <w:vAlign w:val="bottom"/>
          </w:tcPr>
          <w:p>
            <w:pPr>
              <w:jc w:val="center"/>
              <w:ind w:right="90"/>
              <w:spacing w:after="0" w:line="144" w:lineRule="exact"/>
              <w:rPr>
                <w:sz w:val="20"/>
                <w:szCs w:val="20"/>
                <w:color w:val="auto"/>
              </w:rPr>
            </w:pPr>
            <w:r>
              <w:rPr>
                <w:rFonts w:ascii="Times New Roman" w:cs="Times New Roman" w:eastAsia="Times New Roman" w:hAnsi="Times New Roman"/>
                <w:sz w:val="14"/>
                <w:szCs w:val="14"/>
                <w:color w:val="auto"/>
              </w:rPr>
              <w:t>Rush</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center"/>
              <w:ind w:right="171"/>
              <w:spacing w:after="0"/>
              <w:rPr>
                <w:sz w:val="20"/>
                <w:szCs w:val="20"/>
                <w:color w:val="auto"/>
              </w:rPr>
            </w:pPr>
            <w:r>
              <w:rPr>
                <w:rFonts w:ascii="Times New Roman" w:cs="Times New Roman" w:eastAsia="Times New Roman" w:hAnsi="Times New Roman"/>
                <w:sz w:val="14"/>
                <w:szCs w:val="14"/>
                <w:color w:val="auto"/>
                <w:w w:val="95"/>
              </w:rPr>
              <w:t>$0.01</w:t>
            </w:r>
          </w:p>
        </w:tc>
        <w:tc>
          <w:tcPr>
            <w:tcW w:w="180" w:type="dxa"/>
            <w:vAlign w:val="bottom"/>
          </w:tcPr>
          <w:p>
            <w:pPr>
              <w:spacing w:after="0"/>
              <w:rPr>
                <w:sz w:val="12"/>
                <w:szCs w:val="12"/>
                <w:color w:val="auto"/>
              </w:rPr>
            </w:pPr>
          </w:p>
        </w:tc>
        <w:tc>
          <w:tcPr>
            <w:tcW w:w="880" w:type="dxa"/>
            <w:vAlign w:val="bottom"/>
            <w:vMerge w:val="restart"/>
          </w:tcPr>
          <w:p>
            <w:pPr>
              <w:jc w:val="center"/>
              <w:ind w:right="131"/>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0"/>
              <w:spacing w:after="0" w:line="144" w:lineRule="exact"/>
              <w:rPr>
                <w:sz w:val="20"/>
                <w:szCs w:val="20"/>
                <w:color w:val="auto"/>
              </w:rPr>
            </w:pPr>
            <w:r>
              <w:rPr>
                <w:rFonts w:ascii="Times New Roman" w:cs="Times New Roman" w:eastAsia="Times New Roman" w:hAnsi="Times New Roman"/>
                <w:sz w:val="14"/>
                <w:szCs w:val="14"/>
                <w:color w:val="auto"/>
                <w:w w:val="99"/>
              </w:rPr>
              <w:t>Enterprises,</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1080" w:type="dxa"/>
            <w:vAlign w:val="bottom"/>
          </w:tcPr>
          <w:p>
            <w:pPr>
              <w:jc w:val="center"/>
              <w:ind w:left="571"/>
              <w:spacing w:after="0" w:line="144" w:lineRule="exact"/>
              <w:rPr>
                <w:sz w:val="20"/>
                <w:szCs w:val="20"/>
                <w:color w:val="auto"/>
              </w:rPr>
            </w:pPr>
            <w:r>
              <w:rPr>
                <w:rFonts w:ascii="Times New Roman" w:cs="Times New Roman" w:eastAsia="Times New Roman" w:hAnsi="Times New Roman"/>
                <w:sz w:val="14"/>
                <w:szCs w:val="14"/>
                <w:color w:val="auto"/>
                <w:w w:val="96"/>
              </w:rPr>
              <w:t>Shares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50"/>
              <w:spacing w:after="0" w:line="144"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860" w:type="dxa"/>
            <w:vAlign w:val="bottom"/>
          </w:tcPr>
          <w:p>
            <w:pPr>
              <w:jc w:val="center"/>
              <w:ind w:right="90"/>
              <w:spacing w:after="0" w:line="144" w:lineRule="exact"/>
              <w:rPr>
                <w:sz w:val="20"/>
                <w:szCs w:val="20"/>
                <w:color w:val="auto"/>
              </w:rPr>
            </w:pPr>
            <w:r>
              <w:rPr>
                <w:rFonts w:ascii="Times New Roman" w:cs="Times New Roman" w:eastAsia="Times New Roman" w:hAnsi="Times New Roman"/>
                <w:sz w:val="14"/>
                <w:szCs w:val="14"/>
                <w:color w:val="auto"/>
              </w:rPr>
              <w:t>Inc.</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360" w:type="dxa"/>
            <w:vAlign w:val="bottom"/>
          </w:tcPr>
          <w:p>
            <w:pPr>
              <w:spacing w:after="0"/>
              <w:rPr>
                <w:sz w:val="14"/>
                <w:szCs w:val="14"/>
                <w:color w:val="auto"/>
              </w:rPr>
            </w:pP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w w:val="99"/>
              </w:rPr>
              <w:t>Outstanding</w:t>
            </w:r>
          </w:p>
        </w:tc>
        <w:tc>
          <w:tcPr>
            <w:tcW w:w="220" w:type="dxa"/>
            <w:vAlign w:val="bottom"/>
          </w:tcPr>
          <w:p>
            <w:pPr>
              <w:spacing w:after="0"/>
              <w:rPr>
                <w:sz w:val="14"/>
                <w:szCs w:val="14"/>
                <w:color w:val="auto"/>
              </w:rPr>
            </w:pPr>
          </w:p>
        </w:tc>
        <w:tc>
          <w:tcPr>
            <w:tcW w:w="780" w:type="dxa"/>
            <w:vAlign w:val="bottom"/>
          </w:tcPr>
          <w:p>
            <w:pPr>
              <w:jc w:val="center"/>
              <w:ind w:right="171"/>
              <w:spacing w:after="0"/>
              <w:rPr>
                <w:sz w:val="20"/>
                <w:szCs w:val="20"/>
                <w:color w:val="auto"/>
              </w:rPr>
            </w:pPr>
            <w:r>
              <w:rPr>
                <w:rFonts w:ascii="Times New Roman" w:cs="Times New Roman" w:eastAsia="Times New Roman" w:hAnsi="Times New Roman"/>
                <w:sz w:val="14"/>
                <w:szCs w:val="14"/>
                <w:color w:val="auto"/>
                <w:w w:val="96"/>
              </w:rPr>
              <w:t>Par</w:t>
            </w:r>
          </w:p>
        </w:tc>
        <w:tc>
          <w:tcPr>
            <w:tcW w:w="180" w:type="dxa"/>
            <w:vAlign w:val="bottom"/>
          </w:tcPr>
          <w:p>
            <w:pPr>
              <w:spacing w:after="0"/>
              <w:rPr>
                <w:sz w:val="14"/>
                <w:szCs w:val="14"/>
                <w:color w:val="auto"/>
              </w:rPr>
            </w:pPr>
          </w:p>
        </w:tc>
        <w:tc>
          <w:tcPr>
            <w:tcW w:w="88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8"/>
              </w:rPr>
              <w:t>Paid -In</w:t>
            </w:r>
          </w:p>
        </w:tc>
        <w:tc>
          <w:tcPr>
            <w:tcW w:w="180" w:type="dxa"/>
            <w:vAlign w:val="bottom"/>
          </w:tcPr>
          <w:p>
            <w:pPr>
              <w:spacing w:after="0"/>
              <w:rPr>
                <w:sz w:val="14"/>
                <w:szCs w:val="14"/>
                <w:color w:val="auto"/>
              </w:rPr>
            </w:pPr>
          </w:p>
        </w:tc>
        <w:tc>
          <w:tcPr>
            <w:tcW w:w="8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6"/>
              </w:rPr>
              <w:t>Treasury</w:t>
            </w:r>
          </w:p>
        </w:tc>
        <w:tc>
          <w:tcPr>
            <w:tcW w:w="180" w:type="dxa"/>
            <w:vAlign w:val="bottom"/>
          </w:tcPr>
          <w:p>
            <w:pPr>
              <w:spacing w:after="0"/>
              <w:rPr>
                <w:sz w:val="14"/>
                <w:szCs w:val="14"/>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Retained</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Comprehensive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Noncontrolling</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37"/>
        </w:trPr>
        <w:tc>
          <w:tcPr>
            <w:tcW w:w="1360" w:type="dxa"/>
            <w:vAlign w:val="bottom"/>
          </w:tcPr>
          <w:p>
            <w:pPr>
              <w:spacing w:after="0"/>
              <w:rPr>
                <w:sz w:val="11"/>
                <w:szCs w:val="11"/>
                <w:color w:val="auto"/>
              </w:rPr>
            </w:pPr>
          </w:p>
        </w:tc>
        <w:tc>
          <w:tcPr>
            <w:tcW w:w="1080" w:type="dxa"/>
            <w:vAlign w:val="bottom"/>
            <w:tcBorders>
              <w:top w:val="single" w:sz="8" w:color="auto"/>
              <w:bottom w:val="single" w:sz="8" w:color="auto"/>
            </w:tcBorders>
          </w:tcPr>
          <w:p>
            <w:pPr>
              <w:jc w:val="right"/>
              <w:ind w:right="391"/>
              <w:spacing w:after="0" w:line="137" w:lineRule="exact"/>
              <w:rPr>
                <w:sz w:val="20"/>
                <w:szCs w:val="20"/>
                <w:color w:val="auto"/>
              </w:rPr>
            </w:pPr>
            <w:r>
              <w:rPr>
                <w:rFonts w:ascii="Times New Roman" w:cs="Times New Roman" w:eastAsia="Times New Roman" w:hAnsi="Times New Roman"/>
                <w:sz w:val="14"/>
                <w:szCs w:val="14"/>
                <w:color w:val="auto"/>
              </w:rPr>
              <w:t>Class A</w:t>
            </w:r>
          </w:p>
        </w:tc>
        <w:tc>
          <w:tcPr>
            <w:tcW w:w="640" w:type="dxa"/>
            <w:vAlign w:val="bottom"/>
            <w:tcBorders>
              <w:top w:val="single" w:sz="8" w:color="auto"/>
              <w:bottom w:val="single" w:sz="8" w:color="auto"/>
            </w:tcBorders>
          </w:tcPr>
          <w:p>
            <w:pPr>
              <w:jc w:val="right"/>
              <w:ind w:right="110"/>
              <w:spacing w:after="0" w:line="137" w:lineRule="exact"/>
              <w:rPr>
                <w:sz w:val="20"/>
                <w:szCs w:val="20"/>
                <w:color w:val="auto"/>
              </w:rPr>
            </w:pPr>
            <w:r>
              <w:rPr>
                <w:rFonts w:ascii="Times New Roman" w:cs="Times New Roman" w:eastAsia="Times New Roman" w:hAnsi="Times New Roman"/>
                <w:sz w:val="14"/>
                <w:szCs w:val="14"/>
                <w:color w:val="auto"/>
              </w:rPr>
              <w:t>Class B</w:t>
            </w: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71"/>
              <w:spacing w:after="0" w:line="137" w:lineRule="exact"/>
              <w:rPr>
                <w:sz w:val="20"/>
                <w:szCs w:val="20"/>
                <w:color w:val="auto"/>
              </w:rPr>
            </w:pPr>
            <w:r>
              <w:rPr>
                <w:rFonts w:ascii="Times New Roman" w:cs="Times New Roman" w:eastAsia="Times New Roman" w:hAnsi="Times New Roman"/>
                <w:sz w:val="14"/>
                <w:szCs w:val="14"/>
                <w:color w:val="auto"/>
                <w:w w:val="89"/>
              </w:rPr>
              <w:t>Value</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131"/>
              <w:spacing w:after="0" w:line="137" w:lineRule="exact"/>
              <w:rPr>
                <w:sz w:val="20"/>
                <w:szCs w:val="20"/>
                <w:color w:val="auto"/>
              </w:rPr>
            </w:pPr>
            <w:r>
              <w:rPr>
                <w:rFonts w:ascii="Times New Roman" w:cs="Times New Roman" w:eastAsia="Times New Roman" w:hAnsi="Times New Roman"/>
                <w:sz w:val="14"/>
                <w:szCs w:val="14"/>
                <w:color w:val="auto"/>
                <w:w w:val="98"/>
              </w:rPr>
              <w:t>Capital</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31"/>
              <w:spacing w:after="0" w:line="137" w:lineRule="exact"/>
              <w:rPr>
                <w:sz w:val="20"/>
                <w:szCs w:val="20"/>
                <w:color w:val="auto"/>
              </w:rPr>
            </w:pPr>
            <w:r>
              <w:rPr>
                <w:rFonts w:ascii="Times New Roman" w:cs="Times New Roman" w:eastAsia="Times New Roman" w:hAnsi="Times New Roman"/>
                <w:sz w:val="14"/>
                <w:szCs w:val="14"/>
                <w:color w:val="auto"/>
              </w:rPr>
              <w:t>Stock</w:t>
            </w: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11"/>
              <w:spacing w:after="0" w:line="137" w:lineRule="exact"/>
              <w:rPr>
                <w:sz w:val="20"/>
                <w:szCs w:val="20"/>
                <w:color w:val="auto"/>
              </w:rPr>
            </w:pPr>
            <w:r>
              <w:rPr>
                <w:rFonts w:ascii="Times New Roman" w:cs="Times New Roman" w:eastAsia="Times New Roman" w:hAnsi="Times New Roman"/>
                <w:sz w:val="14"/>
                <w:szCs w:val="14"/>
                <w:color w:val="auto"/>
              </w:rPr>
              <w:t>Earnings</w:t>
            </w:r>
          </w:p>
        </w:tc>
        <w:tc>
          <w:tcPr>
            <w:tcW w:w="980" w:type="dxa"/>
            <w:vAlign w:val="bottom"/>
            <w:tcBorders>
              <w:bottom w:val="single" w:sz="8" w:color="auto"/>
            </w:tcBorders>
            <w:gridSpan w:val="2"/>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Income (Loss)</w:t>
            </w: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90"/>
              <w:spacing w:after="0" w:line="137" w:lineRule="exact"/>
              <w:rPr>
                <w:sz w:val="20"/>
                <w:szCs w:val="20"/>
                <w:color w:val="auto"/>
              </w:rPr>
            </w:pPr>
            <w:r>
              <w:rPr>
                <w:rFonts w:ascii="Times New Roman" w:cs="Times New Roman" w:eastAsia="Times New Roman" w:hAnsi="Times New Roman"/>
                <w:sz w:val="14"/>
                <w:szCs w:val="14"/>
                <w:color w:val="auto"/>
              </w:rPr>
              <w:t>Equity</w:t>
            </w: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10"/>
              <w:spacing w:after="0" w:line="137" w:lineRule="exact"/>
              <w:rPr>
                <w:sz w:val="20"/>
                <w:szCs w:val="20"/>
                <w:color w:val="auto"/>
              </w:rPr>
            </w:pPr>
            <w:r>
              <w:rPr>
                <w:rFonts w:ascii="Times New Roman" w:cs="Times New Roman" w:eastAsia="Times New Roman" w:hAnsi="Times New Roman"/>
                <w:sz w:val="14"/>
                <w:szCs w:val="14"/>
                <w:color w:val="auto"/>
                <w:w w:val="99"/>
              </w:rPr>
              <w:t>Interest</w:t>
            </w: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10"/>
              <w:spacing w:after="0" w:line="137"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12"/>
        </w:trPr>
        <w:tc>
          <w:tcPr>
            <w:tcW w:w="13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Balance, December 31,</w:t>
            </w:r>
          </w:p>
        </w:tc>
        <w:tc>
          <w:tcPr>
            <w:tcW w:w="108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43,108</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12,399</w:t>
            </w:r>
          </w:p>
        </w:tc>
        <w:tc>
          <w:tcPr>
            <w:tcW w:w="2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470,750</w:t>
            </w:r>
          </w:p>
        </w:tc>
        <w:tc>
          <w:tcPr>
            <w:tcW w:w="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(36,933</w:t>
            </w:r>
            <w:r>
              <w:rPr>
                <w:rFonts w:ascii="Times New Roman" w:cs="Times New Roman" w:eastAsia="Times New Roman" w:hAnsi="Times New Roman"/>
                <w:sz w:val="14"/>
                <w:szCs w:val="14"/>
                <w:b w:val="1"/>
                <w:bCs w:val="1"/>
                <w:color w:val="auto"/>
              </w:rPr>
              <w:t>) $</w:t>
            </w:r>
          </w:p>
        </w:tc>
        <w:tc>
          <w:tcPr>
            <w:tcW w:w="8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1,031,582</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1,466,749</w:t>
            </w:r>
          </w:p>
        </w:tc>
        <w:tc>
          <w:tcPr>
            <w:tcW w:w="1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1,466,749</w:t>
            </w:r>
          </w:p>
        </w:tc>
        <w:tc>
          <w:tcPr>
            <w:tcW w:w="0" w:type="dxa"/>
            <w:vAlign w:val="bottom"/>
          </w:tcPr>
          <w:p>
            <w:pPr>
              <w:spacing w:after="0"/>
              <w:rPr>
                <w:sz w:val="1"/>
                <w:szCs w:val="1"/>
                <w:color w:val="auto"/>
              </w:rPr>
            </w:pPr>
          </w:p>
        </w:tc>
      </w:tr>
      <w:tr>
        <w:trPr>
          <w:trHeight w:val="168"/>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Stock options exercised</w:t>
            </w:r>
          </w:p>
        </w:tc>
        <w:tc>
          <w:tcPr>
            <w:tcW w:w="10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112</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2,384</w:t>
            </w: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2,385</w:t>
            </w:r>
          </w:p>
        </w:tc>
        <w:tc>
          <w:tcPr>
            <w:tcW w:w="0" w:type="dxa"/>
            <w:vAlign w:val="bottom"/>
          </w:tcPr>
          <w:p>
            <w:pPr>
              <w:spacing w:after="0"/>
              <w:rPr>
                <w:sz w:val="1"/>
                <w:szCs w:val="1"/>
                <w:color w:val="auto"/>
              </w:rPr>
            </w:pPr>
          </w:p>
        </w:tc>
      </w:tr>
      <w:tr>
        <w:trPr>
          <w:trHeight w:val="166"/>
        </w:trPr>
        <w:tc>
          <w:tcPr>
            <w:tcW w:w="1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and stock awards</w:t>
            </w:r>
          </w:p>
        </w:tc>
        <w:tc>
          <w:tcPr>
            <w:tcW w:w="10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Stock-based</w:t>
            </w:r>
          </w:p>
        </w:tc>
        <w:tc>
          <w:tcPr>
            <w:tcW w:w="10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w w:val="98"/>
              </w:rPr>
              <w:t>compensation related</w:t>
            </w:r>
          </w:p>
        </w:tc>
        <w:tc>
          <w:tcPr>
            <w:tcW w:w="10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to stock options,</w:t>
            </w:r>
          </w:p>
        </w:tc>
        <w:tc>
          <w:tcPr>
            <w:tcW w:w="10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restricted shares and</w:t>
            </w:r>
          </w:p>
        </w:tc>
        <w:tc>
          <w:tcPr>
            <w:tcW w:w="10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employee stock</w:t>
            </w:r>
          </w:p>
        </w:tc>
        <w:tc>
          <w:tcPr>
            <w:tcW w:w="108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13,793</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13,793</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13,793</w:t>
            </w:r>
          </w:p>
        </w:tc>
        <w:tc>
          <w:tcPr>
            <w:tcW w:w="0" w:type="dxa"/>
            <w:vAlign w:val="bottom"/>
          </w:tcPr>
          <w:p>
            <w:pPr>
              <w:spacing w:after="0"/>
              <w:rPr>
                <w:sz w:val="1"/>
                <w:szCs w:val="1"/>
                <w:color w:val="auto"/>
              </w:rPr>
            </w:pPr>
          </w:p>
        </w:tc>
      </w:tr>
      <w:tr>
        <w:trPr>
          <w:trHeight w:val="166"/>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purchase plan</w:t>
            </w:r>
          </w:p>
        </w:tc>
        <w:tc>
          <w:tcPr>
            <w:tcW w:w="10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Vesting of restricted</w:t>
            </w:r>
          </w:p>
        </w:tc>
        <w:tc>
          <w:tcPr>
            <w:tcW w:w="10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(7,215)</w:t>
            </w: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(7,212)</w:t>
            </w: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(7,212)</w:t>
            </w:r>
          </w:p>
        </w:tc>
        <w:tc>
          <w:tcPr>
            <w:tcW w:w="0" w:type="dxa"/>
            <w:vAlign w:val="bottom"/>
          </w:tcPr>
          <w:p>
            <w:pPr>
              <w:spacing w:after="0"/>
              <w:rPr>
                <w:sz w:val="1"/>
                <w:szCs w:val="1"/>
                <w:color w:val="auto"/>
              </w:rPr>
            </w:pPr>
          </w:p>
        </w:tc>
      </w:tr>
      <w:tr>
        <w:trPr>
          <w:trHeight w:val="166"/>
        </w:trPr>
        <w:tc>
          <w:tcPr>
            <w:tcW w:w="1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 awards</w:t>
            </w:r>
          </w:p>
        </w:tc>
        <w:tc>
          <w:tcPr>
            <w:tcW w:w="10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Issuance of common</w:t>
            </w:r>
          </w:p>
        </w:tc>
        <w:tc>
          <w:tcPr>
            <w:tcW w:w="10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stock under</w:t>
            </w:r>
          </w:p>
        </w:tc>
        <w:tc>
          <w:tcPr>
            <w:tcW w:w="10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employee stock</w:t>
            </w:r>
          </w:p>
        </w:tc>
        <w:tc>
          <w:tcPr>
            <w:tcW w:w="108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66</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2,434</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2,435</w:t>
            </w:r>
          </w:p>
        </w:tc>
        <w:tc>
          <w:tcPr>
            <w:tcW w:w="0" w:type="dxa"/>
            <w:vAlign w:val="bottom"/>
          </w:tcPr>
          <w:p>
            <w:pPr>
              <w:spacing w:after="0"/>
              <w:rPr>
                <w:sz w:val="1"/>
                <w:szCs w:val="1"/>
                <w:color w:val="auto"/>
              </w:rPr>
            </w:pPr>
          </w:p>
        </w:tc>
      </w:tr>
      <w:tr>
        <w:trPr>
          <w:trHeight w:val="166"/>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purchase plan</w:t>
            </w:r>
          </w:p>
        </w:tc>
        <w:tc>
          <w:tcPr>
            <w:tcW w:w="10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Common stock</w:t>
            </w:r>
          </w:p>
        </w:tc>
        <w:tc>
          <w:tcPr>
            <w:tcW w:w="10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(192)</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(15,315)</w:t>
            </w:r>
          </w:p>
        </w:tc>
        <w:tc>
          <w:tcPr>
            <w:tcW w:w="180" w:type="dxa"/>
            <w:vAlign w:val="bottom"/>
          </w:tcPr>
          <w:p>
            <w:pPr>
              <w:spacing w:after="0"/>
              <w:rPr>
                <w:sz w:val="10"/>
                <w:szCs w:val="10"/>
                <w:color w:val="auto"/>
              </w:rPr>
            </w:pPr>
          </w:p>
        </w:tc>
        <w:tc>
          <w:tcPr>
            <w:tcW w:w="8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(15,315)</w:t>
            </w: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(15,315)</w:t>
            </w:r>
          </w:p>
        </w:tc>
        <w:tc>
          <w:tcPr>
            <w:tcW w:w="0" w:type="dxa"/>
            <w:vAlign w:val="bottom"/>
          </w:tcPr>
          <w:p>
            <w:pPr>
              <w:spacing w:after="0"/>
              <w:rPr>
                <w:sz w:val="1"/>
                <w:szCs w:val="1"/>
                <w:color w:val="auto"/>
              </w:rPr>
            </w:pPr>
          </w:p>
        </w:tc>
      </w:tr>
      <w:tr>
        <w:trPr>
          <w:trHeight w:val="166"/>
        </w:trPr>
        <w:tc>
          <w:tcPr>
            <w:tcW w:w="1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repurchases</w:t>
            </w:r>
          </w:p>
        </w:tc>
        <w:tc>
          <w:tcPr>
            <w:tcW w:w="10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Cash dividends</w:t>
            </w:r>
          </w:p>
        </w:tc>
        <w:tc>
          <w:tcPr>
            <w:tcW w:w="10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declared on Class A</w:t>
            </w:r>
          </w:p>
        </w:tc>
        <w:tc>
          <w:tcPr>
            <w:tcW w:w="108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(8,189)</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(8,189)</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(8,189)</w:t>
            </w:r>
          </w:p>
        </w:tc>
        <w:tc>
          <w:tcPr>
            <w:tcW w:w="0" w:type="dxa"/>
            <w:vAlign w:val="bottom"/>
          </w:tcPr>
          <w:p>
            <w:pPr>
              <w:spacing w:after="0"/>
              <w:rPr>
                <w:sz w:val="1"/>
                <w:szCs w:val="1"/>
                <w:color w:val="auto"/>
              </w:rPr>
            </w:pPr>
          </w:p>
        </w:tc>
      </w:tr>
      <w:tr>
        <w:trPr>
          <w:trHeight w:val="166"/>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common stock</w:t>
            </w:r>
          </w:p>
        </w:tc>
        <w:tc>
          <w:tcPr>
            <w:tcW w:w="10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Cash dividends</w:t>
            </w:r>
          </w:p>
        </w:tc>
        <w:tc>
          <w:tcPr>
            <w:tcW w:w="1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60" w:type="dxa"/>
            <w:vAlign w:val="bottom"/>
          </w:tcPr>
          <w:p>
            <w:pPr>
              <w:ind w:left="160"/>
              <w:spacing w:after="0" w:line="144" w:lineRule="exact"/>
              <w:rPr>
                <w:sz w:val="20"/>
                <w:szCs w:val="20"/>
                <w:color w:val="auto"/>
              </w:rPr>
            </w:pPr>
            <w:r>
              <w:rPr>
                <w:rFonts w:ascii="Times New Roman" w:cs="Times New Roman" w:eastAsia="Times New Roman" w:hAnsi="Times New Roman"/>
                <w:sz w:val="14"/>
                <w:szCs w:val="14"/>
                <w:color w:val="auto"/>
              </w:rPr>
              <w:t>declared on Class B</w:t>
            </w:r>
          </w:p>
        </w:tc>
        <w:tc>
          <w:tcPr>
            <w:tcW w:w="10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0" w:type="dxa"/>
            <w:vAlign w:val="bottom"/>
          </w:tcPr>
          <w:p>
            <w:pPr>
              <w:spacing w:after="0"/>
              <w:rPr>
                <w:sz w:val="1"/>
                <w:szCs w:val="1"/>
                <w:color w:val="auto"/>
              </w:rPr>
            </w:pPr>
          </w:p>
        </w:tc>
      </w:tr>
      <w:tr>
        <w:trPr>
          <w:trHeight w:val="166"/>
        </w:trPr>
        <w:tc>
          <w:tcPr>
            <w:tcW w:w="1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w:t>
            </w:r>
          </w:p>
        </w:tc>
        <w:tc>
          <w:tcPr>
            <w:tcW w:w="10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Foreign currency</w:t>
            </w:r>
          </w:p>
        </w:tc>
        <w:tc>
          <w:tcPr>
            <w:tcW w:w="10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6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translation</w:t>
            </w:r>
          </w:p>
        </w:tc>
        <w:tc>
          <w:tcPr>
            <w:tcW w:w="108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66"/>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adjustment</w:t>
            </w:r>
          </w:p>
        </w:tc>
        <w:tc>
          <w:tcPr>
            <w:tcW w:w="10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bottom w:val="single" w:sz="8" w:color="auto"/>
            </w:tcBorders>
          </w:tcPr>
          <w:p>
            <w:pPr>
              <w:jc w:val="right"/>
              <w:ind w:right="211"/>
              <w:spacing w:after="0" w:line="15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gridSpan w:val="2"/>
          </w:tcPr>
          <w:p>
            <w:pPr>
              <w:jc w:val="right"/>
              <w:ind w:right="80"/>
              <w:spacing w:after="0" w:line="15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rPr>
              <w:t>92,453</w:t>
            </w: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92,453</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
              <w:spacing w:after="0" w:line="157" w:lineRule="exact"/>
              <w:rPr>
                <w:sz w:val="20"/>
                <w:szCs w:val="20"/>
                <w:color w:val="auto"/>
              </w:rPr>
            </w:pPr>
            <w:r>
              <w:rPr>
                <w:rFonts w:ascii="Times New Roman" w:cs="Times New Roman" w:eastAsia="Times New Roman" w:hAnsi="Times New Roman"/>
                <w:sz w:val="14"/>
                <w:szCs w:val="14"/>
                <w:color w:val="auto"/>
              </w:rPr>
              <w:t>92,453</w:t>
            </w:r>
          </w:p>
        </w:tc>
        <w:tc>
          <w:tcPr>
            <w:tcW w:w="0" w:type="dxa"/>
            <w:vAlign w:val="bottom"/>
          </w:tcPr>
          <w:p>
            <w:pPr>
              <w:spacing w:after="0"/>
              <w:rPr>
                <w:sz w:val="1"/>
                <w:szCs w:val="1"/>
                <w:color w:val="auto"/>
              </w:rPr>
            </w:pPr>
          </w:p>
        </w:tc>
      </w:tr>
      <w:tr>
        <w:trPr>
          <w:trHeight w:val="112"/>
        </w:trPr>
        <w:tc>
          <w:tcPr>
            <w:tcW w:w="13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Balance, March 31,</w:t>
            </w:r>
          </w:p>
        </w:tc>
        <w:tc>
          <w:tcPr>
            <w:tcW w:w="108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43,094</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12,597</w:t>
            </w:r>
          </w:p>
        </w:tc>
        <w:tc>
          <w:tcPr>
            <w:tcW w:w="2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482,146</w:t>
            </w:r>
          </w:p>
        </w:tc>
        <w:tc>
          <w:tcPr>
            <w:tcW w:w="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(52,248</w:t>
            </w:r>
            <w:r>
              <w:rPr>
                <w:rFonts w:ascii="Times New Roman" w:cs="Times New Roman" w:eastAsia="Times New Roman" w:hAnsi="Times New Roman"/>
                <w:sz w:val="14"/>
                <w:szCs w:val="14"/>
                <w:b w:val="1"/>
                <w:bCs w:val="1"/>
                <w:color w:val="auto"/>
              </w:rPr>
              <w:t>) $</w:t>
            </w:r>
          </w:p>
        </w:tc>
        <w:tc>
          <w:tcPr>
            <w:tcW w:w="8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1,113,341</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1,545,039</w:t>
            </w:r>
          </w:p>
        </w:tc>
        <w:tc>
          <w:tcPr>
            <w:tcW w:w="1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1,545,039</w:t>
            </w:r>
          </w:p>
        </w:tc>
        <w:tc>
          <w:tcPr>
            <w:tcW w:w="0" w:type="dxa"/>
            <w:vAlign w:val="bottom"/>
          </w:tcPr>
          <w:p>
            <w:pPr>
              <w:spacing w:after="0"/>
              <w:rPr>
                <w:sz w:val="1"/>
                <w:szCs w:val="1"/>
                <w:color w:val="auto"/>
              </w:rPr>
            </w:pPr>
          </w:p>
        </w:tc>
      </w:tr>
      <w:tr>
        <w:trPr>
          <w:trHeight w:val="169"/>
        </w:trPr>
        <w:tc>
          <w:tcPr>
            <w:tcW w:w="1360" w:type="dxa"/>
            <w:vAlign w:val="bottom"/>
            <w:tcBorders>
              <w:bottom w:val="single" w:sz="8" w:color="CCEEFF"/>
            </w:tcBorders>
            <w:shd w:val="clear" w:color="auto" w:fill="CCEEFF"/>
          </w:tcPr>
          <w:p>
            <w:pPr>
              <w:ind w:left="160"/>
              <w:spacing w:after="0" w:line="123" w:lineRule="exact"/>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gridSpan w:val="2"/>
            <w:vMerge w:val="continue"/>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gridSpan w:val="2"/>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756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3"/>
        </w:trPr>
        <w:tc>
          <w:tcPr>
            <w:tcW w:w="124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RUSH ENTERPRISES, INC. AND SUBSIDIARIES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12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880" w:type="dxa"/>
            <w:vAlign w:val="bottom"/>
            <w:tcBorders>
              <w:bottom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7"/>
                <w:szCs w:val="17"/>
                <w:color w:val="auto"/>
              </w:rPr>
              <w:t>CONSOLIDATED STATEMENTS OF CASH FLOWS</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1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(In Thousands)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12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(Unaudited)</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8"/>
        </w:trPr>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5"/>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12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12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7"/>
                <w:szCs w:val="17"/>
                <w:color w:val="auto"/>
              </w:rPr>
            </w:pPr>
          </w:p>
        </w:tc>
      </w:tr>
      <w:tr>
        <w:trPr>
          <w:trHeight w:val="202"/>
        </w:trPr>
        <w:tc>
          <w:tcPr>
            <w:tcW w:w="7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90,790</w:t>
            </w: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92,453</w:t>
            </w:r>
          </w:p>
        </w:tc>
      </w:tr>
      <w:tr>
        <w:trPr>
          <w:trHeight w:val="209"/>
        </w:trPr>
        <w:tc>
          <w:tcPr>
            <w:tcW w:w="75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756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53,896</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45,809</w:t>
            </w:r>
          </w:p>
        </w:tc>
      </w:tr>
      <w:tr>
        <w:trPr>
          <w:trHeight w:val="209"/>
        </w:trPr>
        <w:tc>
          <w:tcPr>
            <w:tcW w:w="756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Gain on sale of property and equipment, net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(129)</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(179)</w:t>
            </w:r>
          </w:p>
        </w:tc>
      </w:tr>
      <w:tr>
        <w:trPr>
          <w:trHeight w:val="209"/>
        </w:trPr>
        <w:tc>
          <w:tcPr>
            <w:tcW w:w="756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auto"/>
              </w:rPr>
              <w:t>Gain on joint venture transaction</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(12,500)</w:t>
            </w:r>
          </w:p>
        </w:tc>
      </w:tr>
      <w:tr>
        <w:trPr>
          <w:trHeight w:val="191"/>
        </w:trPr>
        <w:tc>
          <w:tcPr>
            <w:tcW w:w="7560" w:type="dxa"/>
            <w:vAlign w:val="bottom"/>
            <w:gridSpan w:val="5"/>
            <w:shd w:val="clear" w:color="auto" w:fill="CCEEFF"/>
          </w:tcPr>
          <w:p>
            <w:pPr>
              <w:ind w:left="320"/>
              <w:spacing w:after="0" w:line="191" w:lineRule="exact"/>
              <w:rPr>
                <w:sz w:val="20"/>
                <w:szCs w:val="20"/>
                <w:color w:val="auto"/>
              </w:rPr>
            </w:pPr>
            <w:r>
              <w:rPr>
                <w:rFonts w:ascii="Times New Roman" w:cs="Times New Roman" w:eastAsia="Times New Roman" w:hAnsi="Times New Roman"/>
                <w:sz w:val="17"/>
                <w:szCs w:val="17"/>
                <w:color w:val="auto"/>
              </w:rPr>
              <w:t>Stock-based compensation expense related to employee stock</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7"/>
        </w:trPr>
        <w:tc>
          <w:tcPr>
            <w:tcW w:w="756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options and employee stock purchases</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13,080</w:t>
            </w: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13,793</w:t>
            </w:r>
          </w:p>
        </w:tc>
      </w:tr>
      <w:tr>
        <w:trPr>
          <w:trHeight w:val="209"/>
        </w:trPr>
        <w:tc>
          <w:tcPr>
            <w:tcW w:w="756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auto"/>
              </w:rPr>
              <w:t>Provision for deferred income tax expense</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1,019</w:t>
            </w:r>
          </w:p>
        </w:tc>
      </w:tr>
      <w:tr>
        <w:trPr>
          <w:trHeight w:val="209"/>
        </w:trPr>
        <w:tc>
          <w:tcPr>
            <w:tcW w:w="756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accounts receivable, net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(8,972)</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(58,810)</w:t>
            </w:r>
          </w:p>
        </w:tc>
      </w:tr>
      <w:tr>
        <w:trPr>
          <w:trHeight w:val="209"/>
        </w:trPr>
        <w:tc>
          <w:tcPr>
            <w:tcW w:w="756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auto"/>
              </w:rPr>
              <w:t>Change in inventories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(52,845)</w:t>
            </w: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(98,292)</w:t>
            </w:r>
          </w:p>
        </w:tc>
      </w:tr>
      <w:tr>
        <w:trPr>
          <w:trHeight w:val="209"/>
        </w:trPr>
        <w:tc>
          <w:tcPr>
            <w:tcW w:w="756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prepaid expenses and other, net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(2,408)</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(578)</w:t>
            </w:r>
          </w:p>
        </w:tc>
      </w:tr>
      <w:tr>
        <w:trPr>
          <w:trHeight w:val="209"/>
        </w:trPr>
        <w:tc>
          <w:tcPr>
            <w:tcW w:w="756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auto"/>
              </w:rPr>
              <w:t>Change in trade accounts payable</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27,130</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49,656</w:t>
            </w:r>
          </w:p>
        </w:tc>
      </w:tr>
      <w:tr>
        <w:trPr>
          <w:trHeight w:val="209"/>
        </w:trPr>
        <w:tc>
          <w:tcPr>
            <w:tcW w:w="756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customer deposits</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(15,892)</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(8,715)</w:t>
            </w:r>
          </w:p>
        </w:tc>
      </w:tr>
      <w:tr>
        <w:trPr>
          <w:trHeight w:val="209"/>
        </w:trPr>
        <w:tc>
          <w:tcPr>
            <w:tcW w:w="756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auto"/>
              </w:rPr>
              <w:t>Change in accrued expenses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(14,699)</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14,574</w:t>
            </w:r>
          </w:p>
        </w:tc>
      </w:tr>
      <w:tr>
        <w:trPr>
          <w:trHeight w:val="209"/>
        </w:trPr>
        <w:tc>
          <w:tcPr>
            <w:tcW w:w="756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net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(650)</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(3,645)</w:t>
            </w:r>
          </w:p>
        </w:tc>
      </w:tr>
      <w:tr>
        <w:trPr>
          <w:trHeight w:val="202"/>
        </w:trPr>
        <w:tc>
          <w:tcPr>
            <w:tcW w:w="7560" w:type="dxa"/>
            <w:vAlign w:val="bottom"/>
            <w:tcBorders>
              <w:top w:val="single" w:sz="8" w:color="CCEEFF"/>
            </w:tcBorders>
            <w:gridSpan w:val="5"/>
          </w:tcPr>
          <w:p>
            <w:pPr>
              <w:ind w:left="6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92,466</w:t>
            </w:r>
          </w:p>
        </w:tc>
        <w:tc>
          <w:tcPr>
            <w:tcW w:w="200" w:type="dxa"/>
            <w:vAlign w:val="bottom"/>
            <w:tcBorders>
              <w:top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34,585</w:t>
            </w:r>
          </w:p>
        </w:tc>
        <w:tc>
          <w:tcPr>
            <w:tcW w:w="100" w:type="dxa"/>
            <w:vAlign w:val="bottom"/>
            <w:tcBorders>
              <w:top w:val="single" w:sz="8" w:color="CCEEFF"/>
            </w:tcBorders>
          </w:tcPr>
          <w:p>
            <w:pPr>
              <w:spacing w:after="0"/>
              <w:rPr>
                <w:sz w:val="17"/>
                <w:szCs w:val="17"/>
                <w:color w:val="auto"/>
              </w:rPr>
            </w:pPr>
          </w:p>
        </w:tc>
      </w:tr>
      <w:tr>
        <w:trPr>
          <w:trHeight w:val="202"/>
        </w:trPr>
        <w:tc>
          <w:tcPr>
            <w:tcW w:w="7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Acquisition of property and equipment</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(90,446)</w:t>
            </w: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(45,689)</w:t>
            </w:r>
          </w:p>
        </w:tc>
      </w:tr>
      <w:tr>
        <w:trPr>
          <w:trHeight w:val="209"/>
        </w:trPr>
        <w:tc>
          <w:tcPr>
            <w:tcW w:w="75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the sale of property and equipment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122</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2,635</w:t>
            </w:r>
          </w:p>
        </w:tc>
      </w:tr>
      <w:tr>
        <w:trPr>
          <w:trHeight w:val="209"/>
        </w:trPr>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Business disposition</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27,500</w:t>
            </w:r>
          </w:p>
        </w:tc>
      </w:tr>
      <w:tr>
        <w:trPr>
          <w:trHeight w:val="209"/>
        </w:trPr>
        <w:tc>
          <w:tcPr>
            <w:tcW w:w="75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(5,190)</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(736)</w:t>
            </w:r>
          </w:p>
        </w:tc>
      </w:tr>
      <w:tr>
        <w:trPr>
          <w:trHeight w:val="20"/>
        </w:trPr>
        <w:tc>
          <w:tcPr>
            <w:tcW w:w="124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2"/>
        </w:trPr>
        <w:tc>
          <w:tcPr>
            <w:tcW w:w="7560" w:type="dxa"/>
            <w:vAlign w:val="bottom"/>
            <w:gridSpan w:val="5"/>
          </w:tcPr>
          <w:p>
            <w:pPr>
              <w:ind w:left="6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(95,514)</w:t>
            </w:r>
          </w:p>
        </w:tc>
        <w:tc>
          <w:tcPr>
            <w:tcW w:w="4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(16,290)</w:t>
            </w:r>
          </w:p>
        </w:tc>
      </w:tr>
      <w:tr>
        <w:trPr>
          <w:trHeight w:val="202"/>
        </w:trPr>
        <w:tc>
          <w:tcPr>
            <w:tcW w:w="7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4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Draws on floor plan notes payable – non-trade, net</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82,642</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71,478</w:t>
            </w:r>
          </w:p>
        </w:tc>
      </w:tr>
      <w:tr>
        <w:trPr>
          <w:trHeight w:val="209"/>
        </w:trPr>
        <w:tc>
          <w:tcPr>
            <w:tcW w:w="75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257,705</w:t>
            </w:r>
          </w:p>
        </w:tc>
        <w:tc>
          <w:tcPr>
            <w:tcW w:w="2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207,500</w:t>
            </w:r>
          </w:p>
        </w:tc>
      </w:tr>
      <w:tr>
        <w:trPr>
          <w:trHeight w:val="209"/>
        </w:trPr>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Principal payments on long-term debt</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(270,793)</w:t>
            </w: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(204,000)</w:t>
            </w:r>
          </w:p>
        </w:tc>
      </w:tr>
      <w:tr>
        <w:trPr>
          <w:trHeight w:val="209"/>
        </w:trPr>
        <w:tc>
          <w:tcPr>
            <w:tcW w:w="75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Principal payments on finance lease obligations</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(4,471)</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(3,997)</w:t>
            </w:r>
          </w:p>
        </w:tc>
      </w:tr>
      <w:tr>
        <w:trPr>
          <w:trHeight w:val="209"/>
        </w:trPr>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Proceeds from issuance of shares relating to equity awards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4,823</w:t>
            </w:r>
          </w:p>
        </w:tc>
      </w:tr>
      <w:tr>
        <w:trPr>
          <w:trHeight w:val="209"/>
        </w:trPr>
        <w:tc>
          <w:tcPr>
            <w:tcW w:w="75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(6,964)</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(7,215)</w:t>
            </w:r>
          </w:p>
        </w:tc>
      </w:tr>
      <w:tr>
        <w:trPr>
          <w:trHeight w:val="209"/>
        </w:trPr>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Payments of cash dividends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(12,062)</w:t>
            </w: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(11,083)</w:t>
            </w:r>
          </w:p>
        </w:tc>
      </w:tr>
      <w:tr>
        <w:trPr>
          <w:trHeight w:val="209"/>
        </w:trPr>
        <w:tc>
          <w:tcPr>
            <w:tcW w:w="75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stock repurchased</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(24,008)</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(14,421)</w:t>
            </w:r>
          </w:p>
        </w:tc>
      </w:tr>
      <w:tr>
        <w:trPr>
          <w:trHeight w:val="202"/>
        </w:trPr>
        <w:tc>
          <w:tcPr>
            <w:tcW w:w="7560" w:type="dxa"/>
            <w:vAlign w:val="bottom"/>
            <w:tcBorders>
              <w:top w:val="single" w:sz="8" w:color="CCEEFF"/>
            </w:tcBorders>
            <w:gridSpan w:val="5"/>
          </w:tcPr>
          <w:p>
            <w:pPr>
              <w:ind w:left="6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28,294</w:t>
            </w:r>
          </w:p>
        </w:tc>
        <w:tc>
          <w:tcPr>
            <w:tcW w:w="200" w:type="dxa"/>
            <w:vAlign w:val="bottom"/>
            <w:tcBorders>
              <w:top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43,085</w:t>
            </w:r>
          </w:p>
        </w:tc>
        <w:tc>
          <w:tcPr>
            <w:tcW w:w="100" w:type="dxa"/>
            <w:vAlign w:val="bottom"/>
            <w:tcBorders>
              <w:top w:val="single" w:sz="8" w:color="CCEEFF"/>
            </w:tcBorders>
          </w:tcPr>
          <w:p>
            <w:pPr>
              <w:spacing w:after="0"/>
              <w:rPr>
                <w:sz w:val="17"/>
                <w:szCs w:val="17"/>
                <w:color w:val="auto"/>
              </w:rPr>
            </w:pPr>
          </w:p>
        </w:tc>
      </w:tr>
      <w:tr>
        <w:trPr>
          <w:trHeight w:val="202"/>
        </w:trPr>
        <w:tc>
          <w:tcPr>
            <w:tcW w:w="7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increase in cash and cash equivalents</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25,246</w:t>
            </w: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61,380</w:t>
            </w:r>
          </w:p>
        </w:tc>
      </w:tr>
      <w:tr>
        <w:trPr>
          <w:trHeight w:val="209"/>
        </w:trPr>
        <w:tc>
          <w:tcPr>
            <w:tcW w:w="7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Effect of exchange rate on cash</w:t>
            </w:r>
          </w:p>
        </w:tc>
        <w:tc>
          <w:tcPr>
            <w:tcW w:w="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02"/>
        </w:trPr>
        <w:tc>
          <w:tcPr>
            <w:tcW w:w="75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4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200,842</w:t>
            </w: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148,146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2"/>
        </w:trPr>
        <w:tc>
          <w:tcPr>
            <w:tcW w:w="75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226,292</w:t>
            </w:r>
          </w:p>
        </w:tc>
        <w:tc>
          <w:tcPr>
            <w:tcW w:w="200" w:type="dxa"/>
            <w:vAlign w:val="bottom"/>
          </w:tcPr>
          <w:p>
            <w:pPr>
              <w:spacing w:after="0"/>
              <w:rPr>
                <w:sz w:val="17"/>
                <w:szCs w:val="17"/>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209,526</w:t>
            </w:r>
          </w:p>
        </w:tc>
      </w:tr>
      <w:tr>
        <w:trPr>
          <w:trHeight w:val="20"/>
        </w:trPr>
        <w:tc>
          <w:tcPr>
            <w:tcW w:w="1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75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Cash paid during the period for:</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56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11,712</w:t>
            </w:r>
          </w:p>
        </w:tc>
        <w:tc>
          <w:tcPr>
            <w:tcW w:w="2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2,244</w:t>
            </w:r>
          </w:p>
        </w:tc>
      </w:tr>
      <w:tr>
        <w:trPr>
          <w:trHeight w:val="209"/>
        </w:trPr>
        <w:tc>
          <w:tcPr>
            <w:tcW w:w="75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Income taxes paid (refund), net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374</w:t>
            </w: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w:t>
            </w:r>
          </w:p>
        </w:tc>
      </w:tr>
      <w:tr>
        <w:trPr>
          <w:trHeight w:val="209"/>
        </w:trPr>
        <w:tc>
          <w:tcPr>
            <w:tcW w:w="75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756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auto"/>
              </w:rPr>
              <w:t>Assets acquired under finance leases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16,178</w:t>
            </w: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2,672</w:t>
            </w:r>
          </w:p>
        </w:tc>
      </w:tr>
    </w:tbl>
    <w:p>
      <w:pPr>
        <w:spacing w:after="0" w:line="17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RUSH ENTERPRISES,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Principles of Consolidation and Basis of Presentation</w:t>
      </w:r>
    </w:p>
    <w:p>
      <w:pPr>
        <w:spacing w:after="0" w:line="225"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2022. Results of operations for interim periods are not necessarily indicative of results that may be expected for any other interim periods or the full fiscal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Transactions</w:t>
      </w:r>
    </w:p>
    <w:p>
      <w:pPr>
        <w:spacing w:after="0" w:line="225"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functional currency of the Company’s foreign subsidiary, Rush Truck Centres of Canada Limited (“RTC Canada”), is the local currency, the Canadian dollar. Results of operations for RTC Canada are translated to USD using the average exchange rate on a monthly basis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Commitments and Contingencies</w:t>
      </w:r>
    </w:p>
    <w:p>
      <w:pPr>
        <w:spacing w:after="0" w:line="225"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From time to time, the Company is involved in litigation arising out of its operations in the ordinary course of business. The Company maintains liability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March 31, 2023, the Company believes that there are no pending claims or litigation, individually or in the aggregate, that are reasonably likely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Earnings Per Share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earnings per share (in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480" w:type="dxa"/>
            <w:vAlign w:val="bottom"/>
            <w:gridSpan w:val="4"/>
          </w:tcPr>
          <w:p>
            <w:pPr>
              <w:jc w:val="right"/>
              <w:ind w:right="173"/>
              <w:spacing w:after="0"/>
              <w:rPr>
                <w:sz w:val="20"/>
                <w:szCs w:val="20"/>
                <w:color w:val="auto"/>
              </w:rPr>
            </w:pPr>
            <w:r>
              <w:rPr>
                <w:rFonts w:ascii="Times New Roman" w:cs="Times New Roman" w:eastAsia="Times New Roman" w:hAnsi="Times New Roman"/>
                <w:sz w:val="17"/>
                <w:szCs w:val="17"/>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7"/>
                <w:szCs w:val="17"/>
                <w:color w:val="auto"/>
              </w:rPr>
              <w:t>March 31,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Numerator:</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Numerator for basic and diluted earnings per share – Net income available to common shareholders</w:t>
            </w:r>
          </w:p>
        </w:tc>
        <w:tc>
          <w:tcPr>
            <w:tcW w:w="88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90,455</w:t>
            </w: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92,453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Denominator for basic earnings per share – weighted average shares outstanding</w:t>
            </w:r>
          </w:p>
        </w:tc>
        <w:tc>
          <w:tcPr>
            <w:tcW w:w="8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54,767</w:t>
            </w:r>
          </w:p>
        </w:tc>
        <w:tc>
          <w:tcPr>
            <w:tcW w:w="9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55,938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dilutive securities– Employee stock options and restricted share awards</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76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Denominator for diluted earnings per share – adjusted weighted average shares outstanding and assumed</w:t>
            </w:r>
          </w:p>
        </w:tc>
        <w:tc>
          <w:tcPr>
            <w:tcW w:w="880" w:type="dxa"/>
            <w:vAlign w:val="bottom"/>
          </w:tcPr>
          <w:p>
            <w:pPr>
              <w:spacing w:after="0"/>
              <w:rPr>
                <w:sz w:val="15"/>
                <w:szCs w:val="1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56,564</w:t>
            </w:r>
          </w:p>
        </w:tc>
        <w:tc>
          <w:tcPr>
            <w:tcW w:w="900" w:type="dxa"/>
            <w:vAlign w:val="bottom"/>
          </w:tcPr>
          <w:p>
            <w:pPr>
              <w:spacing w:after="0"/>
              <w:rPr>
                <w:sz w:val="15"/>
                <w:szCs w:val="15"/>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57,912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76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conversions</w:t>
            </w:r>
          </w:p>
        </w:tc>
        <w:tc>
          <w:tcPr>
            <w:tcW w:w="8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Basic earnings per common share</w:t>
            </w:r>
          </w:p>
        </w:tc>
        <w:tc>
          <w:tcPr>
            <w:tcW w:w="880" w:type="dxa"/>
            <w:vAlign w:val="bottom"/>
            <w:tcBorders>
              <w:bottom w:val="single" w:sz="8" w:color="auto"/>
            </w:tcBorders>
            <w:shd w:val="clear" w:color="auto" w:fill="CCEEFF"/>
          </w:tcPr>
          <w:p>
            <w:pPr>
              <w:jc w:val="right"/>
              <w:ind w:right="713"/>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1.65</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1.65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7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Diluted earnings per common share and common share equivalents</w:t>
            </w:r>
          </w:p>
        </w:tc>
        <w:tc>
          <w:tcPr>
            <w:tcW w:w="880" w:type="dxa"/>
            <w:vAlign w:val="bottom"/>
          </w:tcPr>
          <w:p>
            <w:pPr>
              <w:jc w:val="right"/>
              <w:ind w:right="713"/>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auto"/>
              </w:rPr>
              <w:t>1.60</w:t>
            </w:r>
          </w:p>
        </w:tc>
        <w:tc>
          <w:tcPr>
            <w:tcW w:w="900" w:type="dxa"/>
            <w:vAlign w:val="bottom"/>
          </w:tcPr>
          <w:p>
            <w:pPr>
              <w:jc w:val="right"/>
              <w:ind w:right="71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1.60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0" w:type="dxa"/>
            <w:vAlign w:val="bottom"/>
            <w:vMerge w:val="restart"/>
          </w:tcPr>
          <w:p>
            <w:pPr>
              <w:ind w:left="5260"/>
              <w:spacing w:after="0"/>
              <w:rPr>
                <w:sz w:val="20"/>
                <w:szCs w:val="20"/>
                <w:color w:val="auto"/>
              </w:rPr>
            </w:pPr>
            <w:r>
              <w:rPr>
                <w:rFonts w:ascii="Times New Roman" w:cs="Times New Roman" w:eastAsia="Times New Roman" w:hAnsi="Times New Roman"/>
                <w:sz w:val="17"/>
                <w:szCs w:val="17"/>
                <w:color w:val="auto"/>
              </w:rPr>
              <w:t>8</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20" w:type="dxa"/>
            <w:vAlign w:val="bottom"/>
          </w:tcPr>
          <w:p>
            <w:pPr>
              <w:spacing w:after="0"/>
              <w:rPr>
                <w:sz w:val="24"/>
                <w:szCs w:val="24"/>
                <w:color w:val="auto"/>
              </w:rPr>
            </w:pPr>
          </w:p>
        </w:tc>
        <w:tc>
          <w:tcPr>
            <w:tcW w:w="76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20" w:type="dxa"/>
            <w:vAlign w:val="bottom"/>
            <w:tcBorders>
              <w:bottom w:val="single" w:sz="8" w:color="auto"/>
            </w:tcBorders>
          </w:tcPr>
          <w:p>
            <w:pPr>
              <w:spacing w:after="0"/>
              <w:rPr>
                <w:sz w:val="9"/>
                <w:szCs w:val="9"/>
                <w:color w:val="auto"/>
              </w:rPr>
            </w:pPr>
          </w:p>
        </w:tc>
        <w:tc>
          <w:tcPr>
            <w:tcW w:w="76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3"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Options to purchase shares of common stock that were outstanding for the three months ended March 31, 2023 and 2022 that were not included in the computation of diluted earnings per share because the effect would have been anti-dilutive are as follows (in thousands):</w:t>
      </w:r>
    </w:p>
    <w:p>
      <w:pPr>
        <w:spacing w:after="0" w:line="147"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6780" w:type="dxa"/>
            <w:vAlign w:val="bottom"/>
          </w:tcPr>
          <w:p>
            <w:pPr>
              <w:spacing w:after="0"/>
              <w:rPr>
                <w:sz w:val="18"/>
                <w:szCs w:val="18"/>
                <w:color w:val="auto"/>
              </w:rPr>
            </w:pPr>
          </w:p>
        </w:tc>
        <w:tc>
          <w:tcPr>
            <w:tcW w:w="120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March 31,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March 31,</w:t>
            </w:r>
          </w:p>
        </w:tc>
      </w:tr>
      <w:tr>
        <w:trPr>
          <w:trHeight w:val="227"/>
        </w:trPr>
        <w:tc>
          <w:tcPr>
            <w:tcW w:w="6780" w:type="dxa"/>
            <w:vAlign w:val="bottom"/>
          </w:tcPr>
          <w:p>
            <w:pPr>
              <w:spacing w:after="0"/>
              <w:rPr>
                <w:sz w:val="19"/>
                <w:szCs w:val="19"/>
                <w:color w:val="auto"/>
              </w:rPr>
            </w:pPr>
          </w:p>
        </w:tc>
        <w:tc>
          <w:tcPr>
            <w:tcW w:w="12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9"/>
                <w:szCs w:val="19"/>
                <w:color w:val="auto"/>
              </w:rPr>
            </w:pPr>
          </w:p>
        </w:tc>
      </w:tr>
      <w:tr>
        <w:trPr>
          <w:trHeight w:val="202"/>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Anti-dilutive options – weighted average</w:t>
            </w:r>
          </w:p>
        </w:tc>
        <w:tc>
          <w:tcPr>
            <w:tcW w:w="12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Stock Options and Restricted Stock Awards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Valuation and Expense Information</w:t>
      </w:r>
    </w:p>
    <w:p>
      <w:pPr>
        <w:spacing w:after="0" w:line="223" w:lineRule="exact"/>
        <w:rPr>
          <w:sz w:val="20"/>
          <w:szCs w:val="20"/>
          <w:color w:val="auto"/>
        </w:rPr>
      </w:pPr>
    </w:p>
    <w:p>
      <w:pPr>
        <w:jc w:val="both"/>
        <w:ind w:firstLine="627"/>
        <w:spacing w:after="0" w:line="270" w:lineRule="auto"/>
        <w:rPr>
          <w:sz w:val="20"/>
          <w:szCs w:val="20"/>
          <w:color w:val="auto"/>
        </w:rPr>
      </w:pPr>
      <w:r>
        <w:rPr>
          <w:rFonts w:ascii="Times New Roman" w:cs="Times New Roman" w:eastAsia="Times New Roman" w:hAnsi="Times New Roman"/>
          <w:sz w:val="17"/>
          <w:szCs w:val="17"/>
          <w:color w:val="auto"/>
        </w:rPr>
        <w:t xml:space="preserve">The Company accounts for stock-based compensation in accordance with Accounting Standards Codification (“ASC”) 718-10,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Compensation, </w:t>
      </w:r>
      <w:r>
        <w:rPr>
          <w:rFonts w:ascii="Times New Roman" w:cs="Times New Roman" w:eastAsia="Times New Roman" w:hAnsi="Times New Roman"/>
          <w:sz w:val="17"/>
          <w:szCs w:val="17"/>
          <w:color w:val="auto"/>
        </w:rPr>
        <w:t>which requires the measurement and recognition of compensation expense for all share-based payment awards made to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and directors, including employee stock options, restricted stock awards and employee stock purchases related to the Employee Stock Purchase Plan, based on estimated fair values.</w:t>
      </w:r>
    </w:p>
    <w:p>
      <w:pPr>
        <w:spacing w:after="0" w:line="168" w:lineRule="exact"/>
        <w:rPr>
          <w:sz w:val="20"/>
          <w:szCs w:val="20"/>
          <w:color w:val="auto"/>
        </w:rPr>
      </w:pPr>
    </w:p>
    <w:p>
      <w:pPr>
        <w:jc w:val="both"/>
        <w:ind w:firstLine="627"/>
        <w:spacing w:after="0" w:line="288" w:lineRule="auto"/>
        <w:rPr>
          <w:sz w:val="20"/>
          <w:szCs w:val="20"/>
          <w:color w:val="auto"/>
        </w:rPr>
      </w:pPr>
      <w:r>
        <w:rPr>
          <w:rFonts w:ascii="Times New Roman" w:cs="Times New Roman" w:eastAsia="Times New Roman" w:hAnsi="Times New Roman"/>
          <w:sz w:val="17"/>
          <w:szCs w:val="17"/>
          <w:color w:val="auto"/>
        </w:rPr>
        <w:t>Stock-based compensation expense, calculated using the Black-Scholes option-pricing model for employee stock options and included in selling, general and administrative expense, was $13.1 million for the three months ended March 31, 2023, and $13.8 million for the three months ended March 31, 2022.</w:t>
      </w:r>
    </w:p>
    <w:p>
      <w:pPr>
        <w:spacing w:after="0" w:line="36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As of March 31, 2023, the Company had $16.7 million of unrecognized compensation cost related to non-vested employee stock options to be recognized over a weighted-average period of 2.6 years and $21.6 million of unrecognized compensation cost related to non-vested restricted stock awards to be recognized over a weighted-average period of 1.6 years.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Financial Instruments and Fair Value</w:t>
      </w:r>
    </w:p>
    <w:p>
      <w:pPr>
        <w:spacing w:after="0" w:line="225"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March 31, 2023, and December 31, 2022. The carrying value of current assets and current liabilities approximates the fair value due to the short maturity of these items.</w:t>
      </w:r>
    </w:p>
    <w:p>
      <w:pPr>
        <w:spacing w:after="0" w:line="171"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fair value of the Company’s long-term debt is based on secondary market indicators. Because the Company’s debt is not quoted, estimates are based on each obligation’s characteristics, including remaining maturities, variable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Thus, the carrying amount of such debt approximates fair value.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Segment Information</w:t>
      </w:r>
    </w:p>
    <w:p>
      <w:pPr>
        <w:spacing w:after="0" w:line="225"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The Company currently has one reportable business segment - the Truck Segment. The Truck Segment includes the Company’s operation of a network of commercial vehicle dealerships throughout the United States and Ontario, Canada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38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6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3" w:lineRule="exact"/>
        <w:rPr>
          <w:sz w:val="20"/>
          <w:szCs w:val="20"/>
          <w:color w:val="auto"/>
        </w:rPr>
      </w:pPr>
    </w:p>
    <w:p>
      <w:pPr>
        <w:jc w:val="both"/>
        <w:ind w:right="100"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contains summarized information about reportable segment revenues, segment income or loss from continuing operations and segment assets for the periods ended March 31, 2023 and 2022 (in thousands):</w:t>
      </w:r>
    </w:p>
    <w:p>
      <w:pPr>
        <w:spacing w:after="0" w:line="147" w:lineRule="exact"/>
        <w:rPr>
          <w:sz w:val="20"/>
          <w:szCs w:val="20"/>
          <w:color w:val="auto"/>
        </w:rPr>
      </w:pPr>
    </w:p>
    <w:tbl>
      <w:tblPr>
        <w:tblLayout w:type="fixed"/>
        <w:tblInd w:w="78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color w:val="auto"/>
              </w:rPr>
              <w:t>Truck</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Segment</w:t>
            </w:r>
          </w:p>
        </w:tc>
        <w:tc>
          <w:tcPr>
            <w:tcW w:w="24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All Other</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Totals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As of and for the three months ended March 31, 2023</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Revenues from external customers</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1,907,941</w:t>
            </w:r>
          </w:p>
        </w:tc>
        <w:tc>
          <w:tcPr>
            <w:tcW w:w="220" w:type="dxa"/>
            <w:vAlign w:val="bottom"/>
          </w:tcPr>
          <w:p>
            <w:pPr>
              <w:spacing w:after="0"/>
              <w:rPr>
                <w:sz w:val="18"/>
                <w:szCs w:val="18"/>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3,826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1,911,767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Segment operating income</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127,563</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Segment income before taxes</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118,927</w:t>
            </w: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119,140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Segment 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3,913,928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55,624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3,969,552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and for the three months ended March 31, 2022</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Revenues from external customers</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1,559,051</w:t>
            </w:r>
          </w:p>
        </w:tc>
        <w:tc>
          <w:tcPr>
            <w:tcW w:w="220" w:type="dxa"/>
            <w:vAlign w:val="bottom"/>
          </w:tcPr>
          <w:p>
            <w:pPr>
              <w:spacing w:after="0"/>
              <w:rPr>
                <w:sz w:val="18"/>
                <w:szCs w:val="18"/>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4,151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1,563,202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Segment operating income</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107,320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Segment income before taxes</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120,259</w:t>
            </w: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Segment 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3,266,895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54,653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3,321,548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Income Taxes</w:t>
      </w:r>
    </w:p>
    <w:p>
      <w:pPr>
        <w:spacing w:after="0" w:line="225" w:lineRule="exact"/>
        <w:rPr>
          <w:sz w:val="20"/>
          <w:szCs w:val="20"/>
          <w:color w:val="auto"/>
        </w:rPr>
      </w:pPr>
    </w:p>
    <w:p>
      <w:pPr>
        <w:jc w:val="both"/>
        <w:ind w:right="100" w:firstLine="627"/>
        <w:spacing w:after="0" w:line="266" w:lineRule="auto"/>
        <w:rPr>
          <w:sz w:val="20"/>
          <w:szCs w:val="20"/>
          <w:color w:val="auto"/>
        </w:rPr>
      </w:pPr>
      <w:r>
        <w:rPr>
          <w:rFonts w:ascii="Times New Roman" w:cs="Times New Roman" w:eastAsia="Times New Roman" w:hAnsi="Times New Roman"/>
          <w:sz w:val="17"/>
          <w:szCs w:val="17"/>
          <w:color w:val="auto"/>
        </w:rPr>
        <w:t>The Company had unrecognized income tax benefits totaling $5.3 million as a component of accrued liabilities as of March 31, 2023 and December 31, 2022,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The Company had approximately $302,000 accrued for the payment of interest as of March 31, 2023 and December 31, 2022. No amounts were accrued for penalties.</w:t>
      </w:r>
    </w:p>
    <w:p>
      <w:pPr>
        <w:spacing w:after="0" w:line="171" w:lineRule="exact"/>
        <w:rPr>
          <w:sz w:val="20"/>
          <w:szCs w:val="20"/>
          <w:color w:val="auto"/>
        </w:rPr>
      </w:pPr>
    </w:p>
    <w:p>
      <w:pPr>
        <w:jc w:val="both"/>
        <w:ind w:right="100" w:firstLine="627"/>
        <w:spacing w:after="0" w:line="276" w:lineRule="auto"/>
        <w:rPr>
          <w:sz w:val="20"/>
          <w:szCs w:val="20"/>
          <w:color w:val="auto"/>
        </w:rPr>
      </w:pPr>
      <w:r>
        <w:rPr>
          <w:rFonts w:ascii="Times New Roman" w:cs="Times New Roman" w:eastAsia="Times New Roman" w:hAnsi="Times New Roman"/>
          <w:sz w:val="17"/>
          <w:szCs w:val="17"/>
          <w:color w:val="auto"/>
        </w:rPr>
        <w:t>The Company does not anticipate a significant change in the amount of unrecognized tax benefits in the next 12 months. As of March 31, 2023, the tax years ended December 31, 2019 through 2022 remained subject to audit by federal tax authorities, and the tax years ended December 31, 2018 through 2022, remained subject to audit by state tax authorities.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Revenue</w:t>
      </w:r>
    </w:p>
    <w:p>
      <w:pPr>
        <w:spacing w:after="0" w:line="225" w:lineRule="exact"/>
        <w:rPr>
          <w:sz w:val="20"/>
          <w:szCs w:val="20"/>
          <w:color w:val="auto"/>
        </w:rPr>
      </w:pPr>
    </w:p>
    <w:p>
      <w:pPr>
        <w:jc w:val="both"/>
        <w:ind w:right="100" w:firstLine="627"/>
        <w:spacing w:after="0" w:line="266" w:lineRule="auto"/>
        <w:rPr>
          <w:sz w:val="20"/>
          <w:szCs w:val="20"/>
          <w:color w:val="auto"/>
        </w:rPr>
      </w:pPr>
      <w:r>
        <w:rPr>
          <w:rFonts w:ascii="Times New Roman" w:cs="Times New Roman" w:eastAsia="Times New Roman" w:hAnsi="Times New Roman"/>
          <w:sz w:val="17"/>
          <w:szCs w:val="17"/>
          <w:color w:val="auto"/>
        </w:rPr>
        <w:t>The Company’s non-lease and rental revenues are primarily generated from the sale of finished products to customers. Those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71" w:lineRule="exact"/>
        <w:rPr>
          <w:sz w:val="20"/>
          <w:szCs w:val="20"/>
          <w:color w:val="auto"/>
        </w:rPr>
      </w:pPr>
    </w:p>
    <w:p>
      <w:pPr>
        <w:jc w:val="both"/>
        <w:ind w:right="100"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summarizes the Company’s disaggregated revenue by revenue source, excluding lease and rental revenue, for the three months ended March 31, 2023 and 2022 (in thousands):</w:t>
      </w:r>
    </w:p>
    <w:p>
      <w:pPr>
        <w:spacing w:after="0" w:line="147" w:lineRule="exact"/>
        <w:rPr>
          <w:sz w:val="20"/>
          <w:szCs w:val="20"/>
          <w:color w:val="auto"/>
        </w:rPr>
      </w:pPr>
    </w:p>
    <w:tbl>
      <w:tblPr>
        <w:tblLayout w:type="fixed"/>
        <w:tblInd w:w="1580" w:type="dxa"/>
        <w:tblCellMar>
          <w:top w:w="0" w:type="dxa"/>
          <w:left w:w="0" w:type="dxa"/>
          <w:bottom w:w="0" w:type="dxa"/>
          <w:right w:w="0" w:type="dxa"/>
        </w:tblCellMar>
      </w:tblPr>
      <w:tr>
        <w:trPr>
          <w:trHeight w:val="209"/>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Three Months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Three Months</w:t>
            </w:r>
          </w:p>
        </w:tc>
      </w:tr>
      <w:tr>
        <w:trPr>
          <w:trHeight w:val="209"/>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Ended</w:t>
            </w:r>
          </w:p>
        </w:tc>
      </w:tr>
      <w:tr>
        <w:trPr>
          <w:trHeight w:val="227"/>
        </w:trPr>
        <w:tc>
          <w:tcPr>
            <w:tcW w:w="6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March 31, 2023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March 31, 202</w:t>
            </w:r>
          </w:p>
        </w:tc>
      </w:tr>
      <w:tr>
        <w:trPr>
          <w:trHeight w:val="20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vehicle sales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1,161,725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Parts revenue</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384,418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vehicle repair service revenue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263,808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Finance revenue</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 revenue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Other revenue</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6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2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1,825,101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191" w:lineRule="exact"/>
        <w:rPr>
          <w:sz w:val="20"/>
          <w:szCs w:val="20"/>
          <w:color w:val="auto"/>
        </w:rPr>
      </w:pPr>
    </w:p>
    <w:p>
      <w:pPr>
        <w:jc w:val="both"/>
        <w:ind w:right="100" w:firstLine="627"/>
        <w:spacing w:after="0" w:line="276" w:lineRule="auto"/>
        <w:rPr>
          <w:sz w:val="20"/>
          <w:szCs w:val="20"/>
          <w:color w:val="auto"/>
        </w:rPr>
      </w:pPr>
      <w:r>
        <w:rPr>
          <w:rFonts w:ascii="Times New Roman" w:cs="Times New Roman" w:eastAsia="Times New Roman" w:hAnsi="Times New Roman"/>
          <w:sz w:val="17"/>
          <w:szCs w:val="17"/>
          <w:color w:val="auto"/>
        </w:rPr>
        <w:t>All of the Company's performance obligations and associated revenues are generally transferred to customers at a point in time. The Company did not have any material contract assets or contract liabilities on the balance sheet as of March 31, 2023. Revenues related to commercial vehicle sales, parts sales, commercial vehicle repair service, finance and the majority of other revenues are related to the Truck Segment.</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Leases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 of Vehicles as Lessor</w:t>
      </w:r>
    </w:p>
    <w:p>
      <w:pPr>
        <w:spacing w:after="0" w:line="225" w:lineRule="exact"/>
        <w:rPr>
          <w:sz w:val="20"/>
          <w:szCs w:val="20"/>
          <w:color w:val="auto"/>
        </w:rPr>
      </w:pPr>
    </w:p>
    <w:p>
      <w:pPr>
        <w:jc w:val="both"/>
        <w:ind w:firstLine="627"/>
        <w:spacing w:after="0" w:line="273" w:lineRule="auto"/>
        <w:rPr>
          <w:sz w:val="20"/>
          <w:szCs w:val="20"/>
          <w:color w:val="auto"/>
        </w:rPr>
      </w:pPr>
      <w:r>
        <w:rPr>
          <w:rFonts w:ascii="Times New Roman" w:cs="Times New Roman" w:eastAsia="Times New Roman" w:hAnsi="Times New Roman"/>
          <w:sz w:val="17"/>
          <w:szCs w:val="17"/>
          <w:color w:val="auto"/>
        </w:rPr>
        <w:t>The Company primarily leases commercial vehicles that the Company owns to customers primarily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spacing w:after="0" w:line="378"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6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Sales-type leases are recognized by the Company as lease receivables. The lessee obtains control of the underlying asset and the Company recognizes sales revenue upon lease commencement. The receivable for sales-type leases as of March 31, 2023 was $6.6 million, compared to $6.0 million as of December 31, 2022, and is reflected in Other Assets on the Consolidated Balance Sheet.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Lease and rental income during the three months ended March 31, 2023 and March 31, 2022 consisted of the following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Three Months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color w:val="auto"/>
              </w:rPr>
              <w:t>Three Months</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color w:val="auto"/>
              </w:rPr>
              <w:t>Ended</w:t>
            </w:r>
          </w:p>
        </w:tc>
        <w:tc>
          <w:tcPr>
            <w:tcW w:w="0" w:type="dxa"/>
            <w:vAlign w:val="bottom"/>
          </w:tcPr>
          <w:p>
            <w:pPr>
              <w:spacing w:after="0"/>
              <w:rPr>
                <w:sz w:val="1"/>
                <w:szCs w:val="1"/>
                <w:color w:val="auto"/>
              </w:rPr>
            </w:pPr>
          </w:p>
        </w:tc>
      </w:tr>
      <w:tr>
        <w:trPr>
          <w:trHeight w:val="227"/>
        </w:trPr>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March 31, 2023</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March 31, 2022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Minimum rental payments</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75,160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61,998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Nonlease payments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11,506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9,337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86,666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71,335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 xml:space="preserve">10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Accumulated Other Comprehensive Income</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20" w:type="dxa"/>
            <w:vAlign w:val="bottom"/>
            <w:gridSpan w:val="7"/>
          </w:tcPr>
          <w:p>
            <w:pPr>
              <w:jc w:val="right"/>
              <w:ind w:right="320"/>
              <w:spacing w:after="0"/>
              <w:rPr>
                <w:sz w:val="20"/>
                <w:szCs w:val="20"/>
                <w:color w:val="auto"/>
              </w:rPr>
            </w:pPr>
            <w:r>
              <w:rPr>
                <w:rFonts w:ascii="Times New Roman" w:cs="Times New Roman" w:eastAsia="Times New Roman" w:hAnsi="Times New Roman"/>
                <w:sz w:val="17"/>
                <w:szCs w:val="17"/>
                <w:color w:val="auto"/>
              </w:rPr>
              <w:t>The following table shows the components of accumulated other comprehensive income (loss) (in thousands):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March 31, 2023</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(3,898)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00" w:firstLine="627"/>
        <w:spacing w:after="0" w:line="269" w:lineRule="auto"/>
        <w:rPr>
          <w:sz w:val="20"/>
          <w:szCs w:val="20"/>
          <w:color w:val="auto"/>
        </w:rPr>
      </w:pPr>
      <w:r>
        <w:rPr>
          <w:rFonts w:ascii="Times New Roman" w:cs="Times New Roman" w:eastAsia="Times New Roman" w:hAnsi="Times New Roman"/>
          <w:sz w:val="17"/>
          <w:szCs w:val="17"/>
          <w:color w:val="auto"/>
        </w:rPr>
        <w:t>The functional currency of the Company’s foreign subsidiary, RTC Canada, is its local currency. Results of operations of RTC Canada are translated in USD using the average exchange rates on a monthly basis during the year. The assets and liabilities of RTC Canada are translated into USD using the exchange rates in effect on the balance sheet date. The related translation adjustments are recorded in a separate component of stockholders' equity in accumulated other comprehensive loss and the statement of comprehensive income.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Accounts Receivable and Allowance for Credit Losses</w:t>
      </w:r>
    </w:p>
    <w:p>
      <w:pPr>
        <w:spacing w:after="0" w:line="225"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 xml:space="preserve">The Company establishes an allowance for credit losses to present the net amount of accounts receivable expected to be collected. Under Accounting Standards Update No. 2016-13,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Credit Losses (Topic 326): Measurement of Credit Losses on Financial Instruments</w:t>
      </w:r>
      <w:r>
        <w:rPr>
          <w:rFonts w:ascii="Times New Roman" w:cs="Times New Roman" w:eastAsia="Times New Roman" w:hAnsi="Times New Roman"/>
          <w:sz w:val="17"/>
          <w:szCs w:val="17"/>
          <w:color w:val="auto"/>
        </w:rPr>
        <w:t>, the Company is required to remeasure expected credit losses for financial instruments held on the reporting date based on historical experience, current conditions and reasonable forecasts.</w:t>
      </w:r>
    </w:p>
    <w:p>
      <w:pPr>
        <w:spacing w:after="0" w:line="169"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the changes in the allowance for credit losses (in thousands):</w:t>
      </w:r>
    </w:p>
    <w:p>
      <w:pPr>
        <w:spacing w:after="0" w:line="223" w:lineRule="exact"/>
        <w:rPr>
          <w:sz w:val="20"/>
          <w:szCs w:val="20"/>
          <w:color w:val="auto"/>
        </w:rPr>
      </w:pPr>
    </w:p>
    <w:tbl>
      <w:tblPr>
        <w:tblLayout w:type="fixed"/>
        <w:tblInd w:w="6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Provision for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the Three</w:t>
            </w: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Write offs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Balance</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Months Ended</w:t>
            </w: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Against</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Balance</w:t>
            </w:r>
          </w:p>
        </w:tc>
      </w:tr>
      <w:tr>
        <w:trPr>
          <w:trHeight w:val="209"/>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December 31,</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March 31,</w:t>
            </w: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color w:val="auto"/>
              </w:rPr>
              <w:t>Allowance, net</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March 31,</w:t>
            </w:r>
          </w:p>
        </w:tc>
      </w:tr>
      <w:tr>
        <w:trPr>
          <w:trHeight w:val="227"/>
        </w:trPr>
        <w:tc>
          <w:tcPr>
            <w:tcW w:w="20" w:type="dxa"/>
            <w:vAlign w:val="bottom"/>
          </w:tcPr>
          <w:p>
            <w:pPr>
              <w:spacing w:after="0"/>
              <w:rPr>
                <w:sz w:val="19"/>
                <w:szCs w:val="19"/>
                <w:color w:val="auto"/>
              </w:rPr>
            </w:pPr>
          </w:p>
        </w:tc>
        <w:tc>
          <w:tcPr>
            <w:tcW w:w="5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color w:val="auto"/>
              </w:rPr>
              <w:t>2022</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of Recoveries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vehicle receivables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Manufacturers’ receivables</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(241)</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685</w:t>
            </w: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Leasing, parts and service receivables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1,023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(761)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1,851</w:t>
            </w:r>
          </w:p>
        </w:tc>
      </w:tr>
      <w:tr>
        <w:trPr>
          <w:trHeight w:val="209"/>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2,640</w:t>
            </w:r>
          </w:p>
        </w:tc>
      </w:tr>
      <w:tr>
        <w:trPr>
          <w:trHeight w:val="20"/>
        </w:trPr>
        <w:tc>
          <w:tcPr>
            <w:tcW w:w="20" w:type="dxa"/>
            <w:vAlign w:val="bottom"/>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Acquisitions</w:t>
      </w:r>
    </w:p>
    <w:p>
      <w:pPr>
        <w:spacing w:after="0" w:line="223" w:lineRule="exact"/>
        <w:rPr>
          <w:sz w:val="20"/>
          <w:szCs w:val="20"/>
          <w:color w:val="auto"/>
        </w:rPr>
      </w:pPr>
    </w:p>
    <w:p>
      <w:pPr>
        <w:jc w:val="both"/>
        <w:ind w:right="60" w:firstLine="627"/>
        <w:spacing w:after="0" w:line="298" w:lineRule="auto"/>
        <w:rPr>
          <w:sz w:val="20"/>
          <w:szCs w:val="20"/>
          <w:color w:val="auto"/>
        </w:rPr>
      </w:pPr>
      <w:r>
        <w:rPr>
          <w:rFonts w:ascii="Times New Roman" w:cs="Times New Roman" w:eastAsia="Times New Roman" w:hAnsi="Times New Roman"/>
          <w:sz w:val="17"/>
          <w:szCs w:val="17"/>
          <w:color w:val="auto"/>
        </w:rPr>
        <w:t xml:space="preserve">The following acquisitions, unless otherwise noted, were considered business combinations accounted for under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Pro forma information is not included in accordance with ASC 805 since no acquisitions were considered material individually or in the aggregate.</w:t>
      </w:r>
    </w:p>
    <w:p>
      <w:pPr>
        <w:spacing w:after="0" w:line="144" w:lineRule="exact"/>
        <w:rPr>
          <w:sz w:val="20"/>
          <w:szCs w:val="20"/>
          <w:color w:val="auto"/>
        </w:rPr>
      </w:pPr>
    </w:p>
    <w:p>
      <w:pPr>
        <w:jc w:val="both"/>
        <w:ind w:right="60" w:firstLine="627"/>
        <w:spacing w:after="0" w:line="276" w:lineRule="auto"/>
        <w:rPr>
          <w:sz w:val="20"/>
          <w:szCs w:val="20"/>
          <w:color w:val="auto"/>
        </w:rPr>
      </w:pPr>
      <w:r>
        <w:rPr>
          <w:rFonts w:ascii="Times New Roman" w:cs="Times New Roman" w:eastAsia="Times New Roman" w:hAnsi="Times New Roman"/>
          <w:sz w:val="17"/>
          <w:szCs w:val="17"/>
          <w:color w:val="auto"/>
        </w:rPr>
        <w:t>On November 7, 2022, the Company acquired certain assets of Scheppers International Truck Center, Inc., which included real estate and an International truck franchise in Jefferson City, Missouri, along with commercial vehicle and parts inventory. The transaction was valued at approximately $6.8 million, with the purchase price paid in cash.</w:t>
      </w:r>
    </w:p>
    <w:p>
      <w:pPr>
        <w:spacing w:after="0" w:line="162" w:lineRule="exact"/>
        <w:rPr>
          <w:sz w:val="20"/>
          <w:szCs w:val="20"/>
          <w:color w:val="auto"/>
        </w:rPr>
      </w:pPr>
    </w:p>
    <w:p>
      <w:pPr>
        <w:jc w:val="both"/>
        <w:ind w:right="60" w:firstLine="627"/>
        <w:spacing w:after="0" w:line="266" w:lineRule="auto"/>
        <w:rPr>
          <w:sz w:val="20"/>
          <w:szCs w:val="20"/>
          <w:color w:val="auto"/>
        </w:rPr>
      </w:pPr>
      <w:r>
        <w:rPr>
          <w:rFonts w:ascii="Times New Roman" w:cs="Times New Roman" w:eastAsia="Times New Roman" w:hAnsi="Times New Roman"/>
          <w:sz w:val="17"/>
          <w:szCs w:val="17"/>
          <w:color w:val="auto"/>
        </w:rPr>
        <w:t xml:space="preserve">On May 2, 2022, the Company completed the acquisition of an additional 30% equity interest in RTC Canada, resulting in an 80% controlling interest in RTC Canada. The acquisition was accounted for as an acquisition achieved in stages under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The acquisition-date fair value of the previous 50% equity interest was $44.7 million, resulting in a gain of $7.0 million included in the line item Other income (expense) on the Consolidated Statements of Income. The Company also recognized a reversal of deferred tax liabilities of $2.2 million and $0.6 million related to reclassification of the foreign currency translation adjustment related to the remeasurement of the Company’s previous equity method investment in RTC Canada.</w:t>
      </w:r>
    </w:p>
    <w:p>
      <w:pPr>
        <w:spacing w:after="0" w:line="171" w:lineRule="exact"/>
        <w:rPr>
          <w:sz w:val="20"/>
          <w:szCs w:val="20"/>
          <w:color w:val="auto"/>
        </w:rPr>
      </w:pPr>
    </w:p>
    <w:p>
      <w:pPr>
        <w:jc w:val="both"/>
        <w:ind w:right="60" w:firstLine="627"/>
        <w:spacing w:after="0" w:line="263" w:lineRule="auto"/>
        <w:rPr>
          <w:sz w:val="20"/>
          <w:szCs w:val="20"/>
          <w:color w:val="auto"/>
        </w:rPr>
      </w:pPr>
      <w:r>
        <w:rPr>
          <w:rFonts w:ascii="Times New Roman" w:cs="Times New Roman" w:eastAsia="Times New Roman" w:hAnsi="Times New Roman"/>
          <w:sz w:val="17"/>
          <w:szCs w:val="17"/>
          <w:color w:val="auto"/>
        </w:rPr>
        <w:t xml:space="preserve">As of May 2, 2022, the Company established a noncontrolling interest related to the minority holders. The fair value of the 20% noncontrolling interest in RTC Canada is estimated to be $17.8 million. The fair value of the noncontrolling interest was estimated using a combination of the income approach and a market approach. Since RTC Canada is a private company, the fair value measurement is based on significant inputs that are not observable in the market and thus represents a Level 3 measurement as defined in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xml:space="preserve"> . The fair value estimates are based on: (i) a discount rate of 11%; (ii) a terminal value based on a long-term sustainable growth rate of 3%; (iii) financial multiples of companies in the same industry as RTC Canada; and (iv) adjustments because of the lack of control or lack of marketability that market participants would consider when estimating the fair value of the noncontrolling interest in RTC Canada.</w:t>
      </w:r>
    </w:p>
    <w:p>
      <w:pPr>
        <w:spacing w:after="0" w:line="3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preliminary purchase price was allocated based on the fair values of the assets and liabilities at the date of acquisition as follows (in thousands):</w:t>
      </w:r>
    </w:p>
    <w:p>
      <w:pPr>
        <w:spacing w:after="0" w:line="241"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5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4,310</w:t>
            </w: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19,072</w:t>
            </w:r>
          </w:p>
        </w:tc>
      </w:tr>
      <w:tr>
        <w:trPr>
          <w:trHeight w:val="20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Inventory</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56,255</w:t>
            </w: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including real estate</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80,337</w:t>
            </w:r>
          </w:p>
        </w:tc>
      </w:tr>
      <w:tr>
        <w:trPr>
          <w:trHeight w:val="20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Floor plan notes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(30,501)</w:t>
            </w: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Trade payables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(19,978)</w:t>
            </w:r>
          </w:p>
        </w:tc>
      </w:tr>
      <w:tr>
        <w:trPr>
          <w:trHeight w:val="20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deposits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(1,980)</w:t>
            </w: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(7,875)</w:t>
            </w:r>
          </w:p>
        </w:tc>
      </w:tr>
      <w:tr>
        <w:trPr>
          <w:trHeight w:val="20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(69,545)</w:t>
            </w: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44,033</w:t>
            </w:r>
          </w:p>
        </w:tc>
      </w:tr>
      <w:tr>
        <w:trPr>
          <w:trHeight w:val="20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Franchise rights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3,906</w:t>
            </w: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3,422</w:t>
            </w:r>
          </w:p>
        </w:tc>
      </w:tr>
      <w:tr>
        <w:trPr>
          <w:trHeight w:val="20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investment in RTC Canada</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(37,309)</w:t>
            </w: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Noncontrolling interest</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(17,828)</w:t>
            </w:r>
          </w:p>
        </w:tc>
      </w:tr>
      <w:tr>
        <w:trPr>
          <w:trHeight w:val="20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equity method investment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(6,958)</w:t>
            </w:r>
          </w:p>
        </w:tc>
      </w:tr>
      <w:tr>
        <w:trPr>
          <w:trHeight w:val="202"/>
        </w:trPr>
        <w:tc>
          <w:tcPr>
            <w:tcW w:w="74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29"/>
        </w:trPr>
        <w:tc>
          <w:tcPr>
            <w:tcW w:w="740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19,361</w:t>
            </w:r>
          </w:p>
        </w:tc>
      </w:tr>
      <w:tr>
        <w:trPr>
          <w:trHeight w:val="20"/>
        </w:trPr>
        <w:tc>
          <w:tcPr>
            <w:tcW w:w="74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1" w:lineRule="exact"/>
        <w:rPr>
          <w:sz w:val="20"/>
          <w:szCs w:val="20"/>
          <w:color w:val="auto"/>
        </w:rPr>
      </w:pPr>
    </w:p>
    <w:p>
      <w:pPr>
        <w:jc w:val="both"/>
        <w:ind w:right="60" w:firstLine="627"/>
        <w:spacing w:after="0" w:line="269" w:lineRule="auto"/>
        <w:rPr>
          <w:sz w:val="20"/>
          <w:szCs w:val="20"/>
          <w:color w:val="auto"/>
        </w:rPr>
      </w:pPr>
      <w:r>
        <w:rPr>
          <w:rFonts w:ascii="Times New Roman" w:cs="Times New Roman" w:eastAsia="Times New Roman" w:hAnsi="Times New Roman"/>
          <w:sz w:val="17"/>
          <w:szCs w:val="17"/>
          <w:color w:val="auto"/>
        </w:rPr>
        <w:t>The purchase price allocation has not yet been finalized. The Company is currently working with RTC Canada to obtain additional information that existed at the time of the acquisition related to property and equipment. Management has recorded the purchase price allocations based upon currently available information about RTC Canada. The goodwill of $44.0 million for the RTC Canada acquisition is primarily attributable to the synergies expected to arise after obtaining a controlling interest in the entity.</w:t>
      </w:r>
    </w:p>
    <w:p>
      <w:pPr>
        <w:spacing w:after="0" w:line="169" w:lineRule="exact"/>
        <w:rPr>
          <w:sz w:val="20"/>
          <w:szCs w:val="20"/>
          <w:color w:val="auto"/>
        </w:rPr>
      </w:pPr>
    </w:p>
    <w:p>
      <w:pPr>
        <w:jc w:val="both"/>
        <w:ind w:right="60" w:firstLine="627"/>
        <w:spacing w:after="0" w:line="288" w:lineRule="auto"/>
        <w:rPr>
          <w:sz w:val="20"/>
          <w:szCs w:val="20"/>
          <w:color w:val="auto"/>
        </w:rPr>
      </w:pPr>
      <w:r>
        <w:rPr>
          <w:rFonts w:ascii="Times New Roman" w:cs="Times New Roman" w:eastAsia="Times New Roman" w:hAnsi="Times New Roman"/>
          <w:sz w:val="17"/>
          <w:szCs w:val="17"/>
          <w:color w:val="auto"/>
        </w:rPr>
        <w:t>Prior to May 2, 2022, the Company accounted for its 50% equity interest in RTC Canada as an equity-method investment. Subsequent to the Company’s acquisition of the additional 30% equity interest on May 2, 2022, operations of RTC Canada are included in the accompanying consolidated financial statements.</w:t>
      </w:r>
    </w:p>
    <w:p>
      <w:pPr>
        <w:sectPr>
          <w:pgSz w:w="11900" w:h="16838" w:orient="portrait"/>
          <w:cols w:equalWidth="0" w:num="1">
            <w:col w:w="11300"/>
          </w:cols>
          <w:pgMar w:left="320" w:top="121" w:right="279" w:bottom="1440" w:gutter="0" w:footer="0" w:header="0"/>
        </w:sectPr>
      </w:pPr>
    </w:p>
    <w:p>
      <w:pPr>
        <w:spacing w:after="0" w:line="3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3"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7"/>
          <w:szCs w:val="17"/>
          <w:i w:val="1"/>
          <w:iCs w:val="1"/>
          <w:color w:val="auto"/>
        </w:rPr>
        <w:t>Certain statements contained in this Form 10-Q (or otherwise made by the Company or on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behalf from time to time in other reports, filings with the Securities and Exchange Commission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news releases, conferences, website postings or otherwise) that are not statements of historical fact constitute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forward-looking statements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within the meaning of the Private Securities Litigation Reform Act of 1995, Section 27A of the Securities Act of 1933, as amended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Section 21E of the Exchange Act of 1934, as amended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notwithstanding that such statements are not specifically identified. Forward-looking statements include statements about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financial position, business strategy and plans and objectives of management of the Company for future operations, as well as statements regarding the effects COVID-19 may have on our business and financial results. These forward-looking statements reflect the best judgments of the Company about the future events and trends based on the beliefs of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management as well as assumptions made by and information currently available to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management. Use of the words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should,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continue,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plan,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potential,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anticipate,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believe,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estimate,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expect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words or phrases of similar import, as they relate to the Company or its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in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Annual Report on Form 10-K for the year ended December 31, 2022,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39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comments should be read in conjunction with the Company’s consolidated financial statements and related notes included elsewhere in this Quarterly Report on Form 10-Q.</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Regarding Trademarks Commonly Used in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Filings</w:t>
      </w:r>
    </w:p>
    <w:p>
      <w:pPr>
        <w:spacing w:after="0" w:line="223"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i w:val="1"/>
          <w:iCs w:val="1"/>
          <w:color w:val="auto"/>
        </w:rPr>
        <w:t>Peterbilt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 a registered trademark of Peterbilt Motors Company. PACCAR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 a registered trademark of PACCAR, Inc. PacLease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 a registered trademark of PACCAR Leasing Corporation. Navistar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 a registered trademark of Navistar International Corporation. International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 a registered trademark of Navistar International Transportation Corp. Idealease is a registered trademark of Idealease, Inc. aka Idealease of North America, Inc. Blue Bird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 a registered trademark of Blue Bird Investment Corporation. IC Bus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 a registered trademark of IC Bus, LLC. Hino</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 a registered trademark of Hino Motors, Ltd. Isuzu</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 a registered trademark of Isuzu Motors Limited. Ford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 a registered trademark of Ford Motor Company. Dennis Eagle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 a registered trademark of Dennis Eagle Limited. Cummins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 a registered trademark of Cummins, Inc. This report contains additional trade names or trademarks of other companies. Our use of such trade names or trademarks should not imply any endorsement or relationship with such companies.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25"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47"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Dennis Eagle, IC Bus and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1"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Our Rush Truck Centers are principally located in high traffic areas throughout the United States and Ontario, Canada. Since commencing operations as a Peterbilt heavy-duty truck dealer in 1966, we have grown to operate over 125 franchised Rush Truck Centers in 23 states. In 2019, we purchased a 50% equity interest in an entity in Canada, Rush Truck Centres of Canada Limited (“RTC Canada”) and on May 2, 2022, we purchased an additional 30% equity interest in RTC Canada that increased our equity interest to 80%. RTC Canada currently owns and operates 15 International dealership locations in Ontario. Prior to acquiring the additional 30%, we accounted for the equity interest in RTC Canada using the equity method of accounting. Now, the operating results of RTC Canada are consolidated in the Consolidated Statements of Operations, the Statements of Comprehensive Income, the Consolidated Balance Sheets and commercial vehicle unit sales data as of May 2, 2022.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3"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Outlook</w:t>
      </w:r>
    </w:p>
    <w:p>
      <w:pPr>
        <w:spacing w:after="0" w:line="225"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A.C.T. Research Co., LLC (“A. C.T. Research”), a commercial vehicle industry data and forecasting service provider, currently forecasts new U.S. Class 8 retail truck sales to be 259,018 units in 2023, which would represent a 0.1% decrease compared to 2022. We expect our U.S. market share of new Class 8 truck sales to range between 6.2% and 6.8% in 2023. This market share percentage would result in the sale of approximately 16,000 to 17,500 new Class 8 trucks in 2023. Additionally, we expect to sell approximately 750 new Class 8 trucks in Canada in 2023.</w:t>
      </w:r>
    </w:p>
    <w:p>
      <w:pPr>
        <w:spacing w:after="0" w:line="169"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With respect to new U.S. Class 4 through 7 retail commercial vehicle sales, A.C.T. Research currently forecasts sales to be 253,600 units in 2023, which would represent an 8.6% increase compared to 2022. We expect our U.S. market share of new Class 4 through 7 commercial vehicle sales to range between 4.5% and 5.1% in 2023. This market share percentage would result in the sale of approximately 11,500 to 13,000 new Class 4 through 7 commercial vehicles in 2023. Additionally, we expect to sell approximately 300 new Class 5 through 7 commercial vehicles in Canada in 2023.</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expect to sell approximately 1,800 to 2,000 light-duty vehicles and approximately 6,500 to 7,500 used commercial vehicles in 2023.</w:t>
      </w:r>
    </w:p>
    <w:p>
      <w:pPr>
        <w:spacing w:after="0" w:line="223"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We expect lease and rental revenue to increase 9% to 11% during 2023, compared to 2022. This projected increase in lease and rental revenue in 2023, compared to 2022, is primarily related to strong demand for lease commercial vehicles and the consolidation of RTC Canada into our operating results.</w:t>
      </w:r>
    </w:p>
    <w:p>
      <w:pPr>
        <w:spacing w:after="0" w:line="14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believe our Aftermarket Products and Services revenues will increase 9% to 12% in 2023, compared to 2022. Although inflation on parts pricing is beginning to moderate, we are projecting an increase in Aftermarket Products and Services revenues in 2023, compared to 2022, primarily due to price increases in the second half of 2022 by the manufacturers of parts we sell and the consolidation of RTC Canada into our operating results.</w:t>
      </w:r>
    </w:p>
    <w:p>
      <w:pPr>
        <w:spacing w:after="0" w:line="16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above projections for new commercial vehicle sales will depend on our ability to obtain commercial vehicles from the manufacturers we represent and such projections could be negatively impacted by manufacturer allocation decisions and supply chain issues affecting manufacturers’ production. In addition, we continue to monitor inflation and rising interest rates, which may negatively impact consumer spending and capital expenditures across a variety of industries we support.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5"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The preparation of our interim unaudited consolidated financial statements in accordance with GAAP requires us to make estimates and assumptions that affect the reported amounts of assets and liabilities, revenues and expenses and the related disclosures of contingent assets and liabilities in our interim unaudited consolidated financial statements and accompanying notes. In accordance with GAAP, we base our estimates on historical experience and on various other assumptions that we believe are reasonable under the circumstances. We evaluate our estimates, judgments and assumptions on an ongoing basis, and while we believe that our estimates, judgments and assumptions are reasonable, they are based upon information available at the time. Actual results might differ from these estimates under different assumptions or conditions.</w:t>
      </w:r>
    </w:p>
    <w:p>
      <w:pPr>
        <w:spacing w:after="0" w:line="173"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Our significant accounting policies are discussed in Item 7, "Management's Discussion and Analysis of Financial Condition and Results of Operations" under the heading "Critical Accounting Policies and Estimates" in our Form 10-K. There were no material changes to our significant accounting policies.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discussion and analysis includes our historical results of operations for the three months ended March 31, 2023 and 2022.</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sets forth certain financial data as a percentage of total revenues:</w:t>
      </w:r>
    </w:p>
    <w:p>
      <w:pPr>
        <w:spacing w:after="0" w:line="221"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4" w:lineRule="exact"/>
        <w:rPr>
          <w:sz w:val="20"/>
          <w:szCs w:val="20"/>
          <w:color w:val="auto"/>
        </w:rPr>
      </w:pPr>
    </w:p>
    <w:tbl>
      <w:tblPr>
        <w:tblLayout w:type="fixed"/>
        <w:tblInd w:w="1120" w:type="dxa"/>
        <w:tblCellMar>
          <w:top w:w="0" w:type="dxa"/>
          <w:left w:w="0" w:type="dxa"/>
          <w:bottom w:w="0" w:type="dxa"/>
          <w:right w:w="0" w:type="dxa"/>
        </w:tblCellMar>
      </w:tblPr>
      <w:tr>
        <w:trPr>
          <w:trHeight w:val="202"/>
        </w:trPr>
        <w:tc>
          <w:tcPr>
            <w:tcW w:w="5580" w:type="dxa"/>
            <w:vAlign w:val="bottom"/>
            <w:gridSpan w:val="2"/>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and used commercial vehicle sales</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60.8%</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Parts and service sales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33.9</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and rental</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Finance and insurance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0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2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products sold</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10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22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13.4</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0.8</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sale of assets</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0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2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0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10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22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attributable to Rush Enterprises, Inc.</w:t>
            </w:r>
          </w:p>
        </w:tc>
        <w:tc>
          <w:tcPr>
            <w:tcW w:w="10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sets forth for the periods indicated the percent of gross profit by revenue source:</w:t>
      </w:r>
    </w:p>
    <w:p>
      <w:pPr>
        <w:spacing w:after="0" w:line="22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00" w:type="dxa"/>
            <w:vAlign w:val="bottom"/>
            <w:gridSpan w:val="2"/>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New and used commercial vehicle sales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27.9%</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Parts and service sales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61.7</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60.5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Lease and rental</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and insurance</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20" w:type="dxa"/>
            <w:vAlign w:val="bottom"/>
            <w:vMerge w:val="continue"/>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gross profit</w:t>
            </w:r>
          </w:p>
        </w:tc>
        <w:tc>
          <w:tcPr>
            <w:tcW w:w="10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100.0%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120" w:type="dxa"/>
            <w:vAlign w:val="bottom"/>
          </w:tcPr>
          <w:p>
            <w:pPr>
              <w:spacing w:after="0"/>
              <w:rPr>
                <w:sz w:val="24"/>
                <w:szCs w:val="24"/>
                <w:color w:val="auto"/>
              </w:rPr>
            </w:pPr>
          </w:p>
        </w:tc>
        <w:tc>
          <w:tcPr>
            <w:tcW w:w="5580" w:type="dxa"/>
            <w:vAlign w:val="bottom"/>
            <w:tcBorders>
              <w:top w:val="single" w:sz="8" w:color="CCEEFF"/>
            </w:tcBorders>
          </w:tcPr>
          <w:p>
            <w:pPr>
              <w:ind w:left="4420"/>
              <w:spacing w:after="0"/>
              <w:rPr>
                <w:sz w:val="20"/>
                <w:szCs w:val="20"/>
                <w:color w:val="auto"/>
              </w:rPr>
            </w:pPr>
            <w:r>
              <w:rPr>
                <w:rFonts w:ascii="Times New Roman" w:cs="Times New Roman" w:eastAsia="Times New Roman" w:hAnsi="Times New Roman"/>
                <w:sz w:val="17"/>
                <w:szCs w:val="17"/>
                <w:color w:val="auto"/>
              </w:rPr>
              <w:t>15</w:t>
            </w: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2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3"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sets forth the unit sales and revenues for new heavy-duty, new medium-duty, new light-duty and used commercial vehicles and the absorption ratio (revenue in millions):</w:t>
      </w:r>
    </w:p>
    <w:p>
      <w:pPr>
        <w:spacing w:after="0" w:line="145"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760" w:type="dxa"/>
            <w:vAlign w:val="bottom"/>
            <w:gridSpan w:val="4"/>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Vehicle unit sales:</w:t>
            </w:r>
          </w:p>
        </w:tc>
        <w:tc>
          <w:tcPr>
            <w:tcW w:w="9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New heavy-duty vehicles</w:t>
            </w:r>
          </w:p>
        </w:tc>
        <w:tc>
          <w:tcPr>
            <w:tcW w:w="9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4,365</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3,528</w:t>
            </w: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medium-duty vehicles</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3,038</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2,141</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New light-duty vehicles</w:t>
            </w:r>
          </w:p>
        </w:tc>
        <w:tc>
          <w:tcPr>
            <w:tcW w:w="9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504</w:t>
            </w:r>
          </w:p>
        </w:tc>
        <w:tc>
          <w:tcPr>
            <w:tcW w:w="10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481</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new vehicle unit sales</w:t>
            </w:r>
          </w:p>
        </w:tc>
        <w:tc>
          <w:tcPr>
            <w:tcW w:w="9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7,907</w:t>
            </w: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6,150</w:t>
            </w:r>
          </w:p>
        </w:tc>
        <w:tc>
          <w:tcPr>
            <w:tcW w:w="2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Used vehicles</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1,684</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Vehicle revenues: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New heavy-duty vehicles</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736.7</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546.1</w:t>
            </w: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medium-duty vehicles</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286.9</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New light-duty vehicles</w:t>
            </w:r>
          </w:p>
        </w:tc>
        <w:tc>
          <w:tcPr>
            <w:tcW w:w="9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28.0</w:t>
            </w:r>
          </w:p>
        </w:tc>
        <w:tc>
          <w:tcPr>
            <w:tcW w:w="10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23.8</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new vehicle revenue</w:t>
            </w: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1,051.6</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747.9</w:t>
            </w:r>
          </w:p>
        </w:tc>
        <w:tc>
          <w:tcPr>
            <w:tcW w:w="2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40.6%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Used vehicle revenue</w:t>
            </w: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102.7</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185.7</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5"/>
                <w:szCs w:val="15"/>
                <w:b w:val="1"/>
                <w:bCs w:val="1"/>
                <w:color w:val="auto"/>
              </w:rPr>
              <w:t>Other vehicle revenues:</w:t>
            </w:r>
            <w:r>
              <w:rPr>
                <w:rFonts w:ascii="Times New Roman" w:cs="Times New Roman" w:eastAsia="Times New Roman" w:hAnsi="Times New Roman"/>
                <w:sz w:val="24"/>
                <w:szCs w:val="24"/>
                <w:color w:val="auto"/>
                <w:vertAlign w:val="superscript"/>
              </w:rPr>
              <w:t>(1)</w:t>
            </w: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7.4</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252.4%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Dealership absorption ratio:</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136.5%</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136.3%</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bl>
    <w:p>
      <w:pPr>
        <w:ind w:left="1120"/>
        <w:spacing w:after="0"/>
        <w:rPr>
          <w:sz w:val="20"/>
          <w:szCs w:val="20"/>
          <w:color w:val="auto"/>
        </w:rPr>
      </w:pPr>
      <w:r>
        <w:rPr>
          <w:rFonts w:ascii="Times New Roman" w:cs="Times New Roman" w:eastAsia="Times New Roman" w:hAnsi="Times New Roman"/>
          <w:sz w:val="17"/>
          <w:szCs w:val="17"/>
          <w:color w:val="auto"/>
        </w:rPr>
        <w:t>(1) Includes sales of truck bodies, trailers and other new equipment.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Performance Indicator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Absorption Ratio</w:t>
      </w:r>
    </w:p>
    <w:p>
      <w:pPr>
        <w:spacing w:after="0" w:line="225"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Management uses several performance metrics to evaluate the performance of our commercial vehicle dealerships and considers Rush Truck Centers’ “absorption ratio” to be of critical importance. Our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136.5% absorption ratio for the first quarter of 2023, compared to a 136.3% absorption ratio for the first quarter of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 Months Ended March 31, 2023 Compared to Three Months Ended March 31,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225"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Total revenues increased $348.6 million, or 22.3%, in the first quarter of 2023, compared to the first quarter of 2022. This increase was primarily the result of strong demand for new commercial vehicles and the increase in production of commercial vehicles from the manufacturers we represent. In addition, the consolidation of RTC Canada into our operating results increased revenues across all areas of our business.</w:t>
      </w:r>
    </w:p>
    <w:p>
      <w:pPr>
        <w:spacing w:after="0" w:line="16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Our Aftermarket Products and Services revenues increased $105.0 million, or 19.3%, in the first quarter of 2023, compared to the first quarter of 2022. The increase in Aftermarket Parts and Services revenues was primarily a result of strong demand, inflation and the consolidation of RTC Canada into our operating results.</w:t>
      </w:r>
    </w:p>
    <w:p>
      <w:pPr>
        <w:spacing w:after="0" w:line="16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Revenues from sales of new and used commercial vehicles increased $226.0 million, or 24.2%, in the first quarter of 2023, compared to the first quarter of 2022. The increase in new commercial vehicle revenues was primarily a result of strong demand, the increase in production of commercial vehicles from the manufacturers we represent and the consolidation of RTC Canada into our operating results.</w:t>
      </w:r>
    </w:p>
    <w:p>
      <w:pPr>
        <w:spacing w:after="0" w:line="16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sold 4,365 new Class 8 trucks in the first quarter of 2023, a 23.7% increase compared to 3,528 new Class 8 trucks in the first quarter of 2022. The increase in new Class 8 truck sales was primarily a result of strong demand, the increase in production of commercial vehicles from the manufacturers we represent and the consolidation of RTC Canada into our operating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3"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sold 3,038 new Class 4 through 7 commercial vehicles, including 332 buses, in the first quarter of 2023, a 41.9% increase compared to 2,141 new medium-duty commercial vehicles, including 193 buses, in the first quarter of 2022. Our new Class 4 through 7 commercial vehicle sales increased due to strong demand, the increase in production of commercial vehicles from the manufacturers we represent and the consolidation of RTC Canada into our operating results.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sold 504 new light-duty vehicles in the first quarter of 2023, a 4.8% increase compared to 481 new light-duty vehicles in the first quarter of 2022.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light-duty vehicle sales benefited from the increased demand for light-duty vehicles in the U.S.</w:t>
      </w:r>
    </w:p>
    <w:p>
      <w:pPr>
        <w:spacing w:after="0" w:line="205"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We sold 1,684 used commercial vehicles in the first quarter of 2023, a 29.7% decrease compared to 2,395 used commercial vehicles in the first quarter of 2022. The decrease in used commercial vehicle sales was primarily the result of the decreased demand for used commercial vehicles resulting from the increased supply of new commercial vehicles. We believe used commercial vehicle demand and values will continue to decrease as new commercial vehicle production increases to a level adequate to meet customer demand.</w:t>
      </w:r>
    </w:p>
    <w:p>
      <w:pPr>
        <w:spacing w:after="0" w:line="169"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Commercial vehicle lease and rental revenues increased $15.3 million, or 21.5%, in the first quarter of 2023, compared to the first quarter of 2022. This increase in commercial vehicle lease and rental revenues was primarily a result of strong demand for lease commercial vehicles and the consolidation of RTC Canada into our operating results.</w:t>
      </w:r>
    </w:p>
    <w:p>
      <w:pPr>
        <w:spacing w:after="0" w:line="16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Finance and insurance revenues decreased $1.0 million, or 12.7%, in the first quarter of 2023, compared to the first quarter of 2022. Finance and insurance revenues have limited direct costs and, therefore, contribute a disproportionate share of our operating profits. We expect finance and insurance revenues to fluctuate proportionately with our new and used commercial vehicle sales in 2023.</w:t>
      </w:r>
    </w:p>
    <w:p>
      <w:pPr>
        <w:spacing w:after="0" w:line="16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Other revenue increased $3.2 million, or 60.1%, in the first quarter of 2023, compared to the first quarter of 2022. Other revenue consists primarily of document fees related to commercial vehicle sales.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Gross Profit</w:t>
      </w:r>
    </w:p>
    <w:p>
      <w:pPr>
        <w:spacing w:after="0" w:line="225"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Gross profit increased $53.3 million, or 15.4%, in the first quarter of 2023, compared to the first quarter of 2022. Gross profit as a percentage of sales decreased to 20.9% in the first quarter of 2023, from 22.1% in the first quarter of 2022. This decrease in gross profit as a percentage of sales is a result of a change in our product sales mix. Commercial vehicle sales, a lower margin revenue item, increased as a percentage of total revenues to 60.8% in the first quarter of 2023, from 59.9% in the first quarter of 2022. Aftermarket Services revenues, a higher margin revenue item, decreased as a percentage of total revenues to 33.9% in the first quarter of 2023, from 34.8% in the first quarter of 2022.</w:t>
      </w:r>
    </w:p>
    <w:p>
      <w:pPr>
        <w:spacing w:after="0" w:line="171"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Gross margins from our Aftermarket Products and Services operations decreased to 38.0% in the first quarter of 2023, compared to 38.5% in the first quarter of 2022. This decrease is primarily related to inflation beginning to moderate with respect to parts pricing. Gross profit from our Aftermarket Products and Services operations increased to $246.1 million in the first quarter of 2023, from $209.1 million in the first quarter of 2022. This increase is primarily related to the consolidation of RTC Canada into our operating results and strong parts and service demand. Historically, gross margins on parts sales range from 28% to 30% and gross margins on service and collision center operations range from 66% to 68%. Gross profits from parts sales represented 61.4% of total gross profit for Aftermarket Products and Services operations in the first quarter of 2023 and 59.5% in the first quarter of 2022. Service and collision center operations represented 38.6% of total gross profit for Aftermarket Products and Services operations in the first quarter of 2023 and 40.5% in the first quarter of 2022. We expect blended gross margins on Aftermarket Products and Services operations to range from 37.5% to 38.5% in 2023.</w:t>
      </w:r>
    </w:p>
    <w:p>
      <w:pPr>
        <w:spacing w:after="0" w:line="175"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Gross margins on new Class 8 truck sales increased to 10.3% in the first quarter of 2023, from 9.7% in the first quarter of 2022. This increase was primarily due to strong demand for new Class 8 trucks and the mix of purchasers during the first quarter of 2023. In 2023, we expect overall gross margins from new heavy-duty truck sales of approximately 8.8% to 9.9%.</w:t>
      </w:r>
    </w:p>
    <w:p>
      <w:pPr>
        <w:spacing w:after="0" w:line="16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Gross margins on new Class 4 through 7 commercial vehicle sales increased to 8.7% in the first quarter of 2023, from 8.6% in the first quarter of 2022. This increase was primarily due to the mix of purchasers during the first quarter of 2023. For 2023, we expect overall gross margins from new medium-duty commercial vehicle sales of approximately 7.5% to 8.5%, but this will largely depend upon the mix of purchasers and types of vehicles sold.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3"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Gross margins on used commercial vehicle sales decreased to 5.6% in the first quarter of 2023, from 15.9% in the first quarter of 2022. This decrease was primarily due to declining used commercial vehicle values as new Class 8 vehicle production increased during 2022. We expect margins on used commercial vehicles to return to our historical range of between 8.0% and 10.0% in 2023.</w:t>
      </w:r>
    </w:p>
    <w:p>
      <w:pPr>
        <w:spacing w:after="0" w:line="162"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Gross margins from truck lease and rental sales decreased to 30.2% in the first quarter of 2023, from 31.9% in the first quarter of 2022. This decrease is primarily related to a slight decrease in rental utilization. We expect gross margins from lease and rental sales of approximately 29.0% to 31.0% during 2023.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7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Finance and insurance revenues and other income, as described above, have limited direct costs and, therefore, contribute a disproportionate share of gross profit.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225"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Selling, General and Administrative (“SG&amp;A”) expenses increased $32.4 million, or 14.4%, in the first quarter of 2023, compared to the first quarter of 2022. This increase primarily resulted from increased personnel expense and increased selling expense, compared to the first quarter of 2022, and in addition, increased general and administrative expense associated with consolidation of RTC Canada into our operating results. SG&amp;A expenses as a percentage of total revenues decreased to 13.4% in the first quarter of 2023, from 14.4% in the first quarter of 2022. Annual SG&amp;A expenses as a percentage of total revenues have ranged from approximately 12.4% to 14.4% over the last five years. In general, when new and used commercial vehicle revenues increase as a percentage of total revenues, SG&amp;A expenses as a percentage of total revenues will be at the lower end of this range. For 2023, we expect SG&amp;A expenses as a percentage of total revenues to range from 13.0% to 14.0%. For 2023, we expect the selling portion of SG&amp;A expenses to be approximately 25.0% to 30.0% of new and used commercial vehicle gross profit.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w:t>
      </w:r>
    </w:p>
    <w:p>
      <w:pPr>
        <w:spacing w:after="0" w:line="225"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Other income decreased $11.7 million, or 83.3%, in the first quarter of 2023, compared to the first quarter of 2022. The $12.5 million gain realized on Cummins’ acquisition of a 50% equity interest in Momentum Fuel Technologies is included in Other income in the first quarter of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Net</w:t>
      </w:r>
    </w:p>
    <w:p>
      <w:pPr>
        <w:spacing w:after="0" w:line="225"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Net interest expense increased $9.8 million, or 801.0%, in the first quarter of 2023, compared to the first quarter of 2022. This increase in interest expense is a result of the increase in inventory levels and rising interest rates on our variable rate debt compared to 2022. We expect net interest expense in 2023, compared to 2022, to increase due to interest related to our working capital lines of credit and floor plan debt, but the amount of the increase will depend on inventory levels, interest rate fluctuations and the amount of cash available to make prepayments on our floor plan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before Income Taxes</w:t>
      </w:r>
    </w:p>
    <w:p>
      <w:pPr>
        <w:spacing w:after="0" w:line="225"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As a result of the factors described above, income from continuing operations before income taxes decreased $1.2 million, or 1.0%, in the first quarter of 2023, compared to the first quarter of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225"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Income taxes increased $0.5 million, or 1.6%, in the first quarter of 2023, compared to the first quarter of 2022. We provided for taxes at a 23.8% effective rate in the first quarter of 2023 and 23.2% in the first quarter of 2022. We expect our effective tax rate to be approximately 23.0% to 24.0% of pretax income in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5"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March 31, 2023, we had working capital of approximately $460.9 million, including $226.3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various credit agreements. The resulting interest earned on the floor plan credit agreement with BMO Harris Bank N.A. (“BMO Harris”) (the “Floor Plan Credit Agreement”) is recognized as an offset to our interest expense.</w:t>
      </w:r>
    </w:p>
    <w:p>
      <w:pPr>
        <w:spacing w:after="0" w:line="173"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We continually evaluate our liquidity and capital resources based upon: (i) our cash and cash equivalents on hand; (ii) the funds that we expect to generate through future operations; (iii) current and expected borrowing availability under our secured line of credit, working capital lines of credit available under certain of our credit agreements and our Floor Plan Credit Agreement;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73" w:lineRule="exact"/>
        <w:rPr>
          <w:sz w:val="20"/>
          <w:szCs w:val="20"/>
          <w:color w:val="auto"/>
        </w:rPr>
      </w:pPr>
    </w:p>
    <w:p>
      <w:pPr>
        <w:jc w:val="both"/>
        <w:ind w:firstLine="157"/>
        <w:spacing w:after="0" w:line="276" w:lineRule="auto"/>
        <w:rPr>
          <w:sz w:val="20"/>
          <w:szCs w:val="20"/>
          <w:color w:val="auto"/>
        </w:rPr>
      </w:pPr>
      <w:r>
        <w:rPr>
          <w:rFonts w:ascii="Times New Roman" w:cs="Times New Roman" w:eastAsia="Times New Roman" w:hAnsi="Times New Roman"/>
          <w:sz w:val="17"/>
          <w:szCs w:val="17"/>
          <w:color w:val="auto"/>
        </w:rPr>
        <w:t>We have a secured line of credit that provides for a maximum borrowing of $20.0 million. There were no advances outstanding under this secured line of credit on March 31, 2023, however, $18.1 million was pledged to secure various letters of credit related to self-insurance products, leaving $1.9 million available for future borrowings as of March 31, 2023.</w:t>
      </w:r>
    </w:p>
    <w:p>
      <w:pPr>
        <w:spacing w:after="0" w:line="16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Our long-term debt, floor plan financing agreements and the credit agreement with Wells Fargo Bank, National Association the (“WF Credit Agreement”) require us to satisfy various financial ratios such as the leverage ratio, the asset coverage ratio and the fixed charge coverage ratio. As of March 31, 2023, we were in compliance with all debt covenants related to debt secured by lease and rental units, our floor plan credit agreements and the WF Credit Agreement. We do not anticipate any breach of the covenants in the foreseeable future.</w:t>
      </w:r>
    </w:p>
    <w:p>
      <w:pPr>
        <w:spacing w:after="0" w:line="169"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expect to purchase or lease commercial vehicles worth approximately $170.0 million to $180.0 million for our leasing operations during 2023, depending on customer demand, most of which will be financed. We also expect to make capital expenditures for the purchase of recurring items such as computers, shop tools and equipment and company vehicles of approximately $35.0 million to $40.0 million during 2023.</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are currently under contract to construct a new facility in the St. Louis, Illinois area at an estimated cost of $13.9 million.</w:t>
      </w:r>
    </w:p>
    <w:p>
      <w:pPr>
        <w:spacing w:after="0" w:line="223"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During the first quarter of 2023, we paid a cash dividend of $12.1 million. Additionally, on April 24, 2023, our Board of Directors declared a cash dividend of $0.21 per share of Class A and Class B Common Stock, to be paid on June 9, 2023, to all shareholders of record as of May 10, 2023. The total dividend disbursement is estimated at approximately $11.4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384"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On December 2, 2022, we announced that our Board of Directors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2022.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March 31, 2023, we had repurchased $31.1 million of our shares of common stock under the current stock repurchase program. The current stock repurchase program expires on December 31, 2023, and may be suspended or discontinued at any time.</w:t>
      </w:r>
    </w:p>
    <w:p>
      <w:pPr>
        <w:spacing w:after="0" w:line="39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4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have no other material commitments for capital expenditures as of March 31, 2023.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706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7"/>
        </w:trPr>
        <w:tc>
          <w:tcPr>
            <w:tcW w:w="12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w:t>
            </w:r>
          </w:p>
        </w:tc>
        <w:tc>
          <w:tcPr>
            <w:tcW w:w="5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560" w:type="dxa"/>
            <w:vAlign w:val="bottom"/>
          </w:tcPr>
          <w:p>
            <w:pPr>
              <w:spacing w:after="0"/>
              <w:rPr>
                <w:sz w:val="24"/>
                <w:szCs w:val="24"/>
                <w:color w:val="auto"/>
              </w:rPr>
            </w:pPr>
          </w:p>
        </w:tc>
        <w:tc>
          <w:tcPr>
            <w:tcW w:w="65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indicated (in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gridSpan w:val="6"/>
          </w:tcPr>
          <w:p>
            <w:pPr>
              <w:jc w:val="right"/>
              <w:ind w:right="600"/>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02"/>
        </w:trPr>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560" w:type="dxa"/>
            <w:vAlign w:val="bottom"/>
          </w:tcPr>
          <w:p>
            <w:pPr>
              <w:spacing w:after="0"/>
              <w:rPr>
                <w:sz w:val="18"/>
                <w:szCs w:val="18"/>
                <w:color w:val="auto"/>
              </w:rPr>
            </w:pPr>
          </w:p>
        </w:tc>
        <w:tc>
          <w:tcPr>
            <w:tcW w:w="6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Operating activities</w:t>
            </w:r>
          </w:p>
        </w:tc>
        <w:tc>
          <w:tcPr>
            <w:tcW w:w="1260" w:type="dxa"/>
            <w:vAlign w:val="bottom"/>
            <w:gridSpan w:val="2"/>
          </w:tcPr>
          <w:p>
            <w:pPr>
              <w:jc w:val="right"/>
              <w:ind w:right="7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92,466</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34,585</w:t>
            </w:r>
          </w:p>
        </w:tc>
      </w:tr>
      <w:tr>
        <w:trPr>
          <w:trHeight w:val="209"/>
        </w:trPr>
        <w:tc>
          <w:tcPr>
            <w:tcW w:w="560" w:type="dxa"/>
            <w:vAlign w:val="bottom"/>
          </w:tcPr>
          <w:p>
            <w:pPr>
              <w:spacing w:after="0"/>
              <w:rPr>
                <w:sz w:val="18"/>
                <w:szCs w:val="18"/>
                <w:color w:val="auto"/>
              </w:rPr>
            </w:pPr>
          </w:p>
        </w:tc>
        <w:tc>
          <w:tcPr>
            <w:tcW w:w="6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Investing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(95,514)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(16,290)</w:t>
            </w:r>
          </w:p>
        </w:tc>
      </w:tr>
      <w:tr>
        <w:trPr>
          <w:trHeight w:val="209"/>
        </w:trPr>
        <w:tc>
          <w:tcPr>
            <w:tcW w:w="560" w:type="dxa"/>
            <w:vAlign w:val="bottom"/>
          </w:tcPr>
          <w:p>
            <w:pPr>
              <w:spacing w:after="0"/>
              <w:rPr>
                <w:sz w:val="18"/>
                <w:szCs w:val="18"/>
                <w:color w:val="auto"/>
              </w:rPr>
            </w:pPr>
          </w:p>
        </w:tc>
        <w:tc>
          <w:tcPr>
            <w:tcW w:w="6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Financing activities</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28,294</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43,085</w:t>
            </w:r>
          </w:p>
        </w:tc>
        <w:tc>
          <w:tcPr>
            <w:tcW w:w="80" w:type="dxa"/>
            <w:vAlign w:val="bottom"/>
          </w:tcPr>
          <w:p>
            <w:pPr>
              <w:spacing w:after="0"/>
              <w:rPr>
                <w:sz w:val="18"/>
                <w:szCs w:val="18"/>
                <w:color w:val="auto"/>
              </w:rPr>
            </w:pPr>
          </w:p>
        </w:tc>
      </w:tr>
      <w:tr>
        <w:trPr>
          <w:trHeight w:val="242"/>
        </w:trPr>
        <w:tc>
          <w:tcPr>
            <w:tcW w:w="560" w:type="dxa"/>
            <w:vAlign w:val="bottom"/>
          </w:tcPr>
          <w:p>
            <w:pPr>
              <w:spacing w:after="0"/>
              <w:rPr>
                <w:sz w:val="21"/>
                <w:szCs w:val="21"/>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increase (decrease) in cash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25,246</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61,380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225"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Cash flows from operating activities include net income adjusted for non-cash items and the effects of changes in working capital. During the first quarter of 2023, operating activities resulted in net cash provided by operations of $92.5 million. Net cash provided by operating activities primarily consisted of $90.8 million in net income, as well as non-cash adjustments related to depreciation and amortization of $53.9 million, deferred income tax provision of $3.2 million and stock-based compensation of $13.1 million. Cash provided by operating activities included an aggregate of $65.2 million net change in operating assets and liabilities. Included in the net change in operating assets and liabilities was primarily cash outflows of $9.0 million from the increase in accounts receivable, $52.8 million from the increase in inventory, $15.9 million from the decrease in customer deposits and $11.5 million from the decrease in accrued expenses, which were offset by cash inflows of $27.1 million from the net increase in accounts payable. The majority of our commercial vehicle inventory is financed through our floor plan credit agreements.</w:t>
      </w:r>
    </w:p>
    <w:p>
      <w:pPr>
        <w:spacing w:after="0" w:line="175"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During the first quarter of 2022, operating activities resulted in net cash provided by operations of $34.6 million. Net cash provided by operating activities primarily consisted of $92.5 million in net income adjusted by the gain of $12.5 million related to Cummins, Inc.’s acquisition of a 50% equity interest in Momentum Fuel Technologies, as well as non-cash adjustments related to depreciation and amortization of $45.8 million, deferred income tax provision of $1.0 million and stock-based compensation of $13.8 million. Cash provided by operating activities included an aggregate of $101.7 million net change in operating assets and liabilities. Included in the net change in operating assets and liabilities was primarily cash outflows of $58.8 million from the increase in accounts receivable, $98.3 million from the increase in inventory, $8.7 million from the decrease in customer deposits, which were offset by cash inflows of $64.2 million from the net increase in accounts payable and accrued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225"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During the first quarter of 2023, cash used in investing activities totaled $95.5 million. Cash flows used in investing activities consist primarily of cash used for capital expenditures within acquisition of property and equipment. Capital expenditures totaled $90.4 million during the first quarter of 2023 and consisted primarily of purchases of property and equipment, improvements to our existing dealership facilities and $75.2 million for purchases of rental and lease vehicles for the rental and leasing operations.</w:t>
      </w:r>
    </w:p>
    <w:p>
      <w:pPr>
        <w:spacing w:after="0" w:line="169"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During the first quarter of 2022, cash used in investing activities totaled $16.3 million. Cash flows used in investing activities consist primarily of cash used for capital expenditures within acquisition of property and equipment. Capital expenditures totaled $45.7 million during the first quarter of 2022 and consisted primarily of purchases of property and equipment, improvements to our existing dealership facilities and $27.8 million for purchases of rental and lease vehicles for the rental and leasing operations. The cash outflows were offset by the cash inflow of $27.5 million related to Cummins, Inc.’s acquisition of a 50% equity interest in Momentum Fuel Technologies.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225"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Cash flows from financing activities include borrowings and repayments of long-term debt and net proceeds of floor plan notes payable, non-trade. During the first quarter of 2023, financing activities provided $28.3 million in net cash flow. Cash outflows were primarily related to $275.3 million used for principal repayments of long-term debt and finance lease obligations, $24.0 million used for the repurchase of our common stock and $12.1 million used for the payment of cash dividends. These cash outflows were offset by cash inflows related to borrowings of $257.7 million of long-term debt and $82.6 million used for net draws on floor plan (non-trade).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3"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During the first quarter of 2022, financing activities provided $43.1 million in net cash flow. Cash outflows were primarily related to $208.0 million used for principal repayments of long-term debt and finance lease obligations, $14.4 million used for the repurchase of our common stock and $11.1 million used for the payment of cash dividends. These cash outflows were offset by cash inflows related to borrowings of $207.5 million of long-term debt and $71.5 million used for net draws on floor plan (non-trade).</w:t>
      </w:r>
    </w:p>
    <w:p>
      <w:pPr>
        <w:spacing w:after="0" w:line="169"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On September 14, 2021, we entered into the WF Credit Agreement with the lenders signatory thereto (the “WF Lenders”) and Wells Fargo Bank, National Association (“WF”), as Administrative Agent (in such capacity, The “WF Agent”) which was amended effective November 30, 2022.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simple, secured overnight financing rate (“SOFR”) plus (i) 1.25% or (ii) 1.5%, depending on our consolidated leverage ratio or (B) on or after the term SOFR transition date, the term SOFR plus (i) 1.25% or (ii) 1.5%, depending on our consolidated leverage ratio. The WF Credit Agreement expires on September 14, 2024,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March 31, 2023, we had approximately $50.0 million outstanding under the WF Credit Agreement.</w:t>
      </w:r>
    </w:p>
    <w:p>
      <w:pPr>
        <w:spacing w:after="0" w:line="177"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On October 1, 2021, we entered into that certain Amended and Restated Inventory Financing and Purchase Money Security Agreement with PACCAR Leasing Company (“PLC”), a division of PACCAR Financial Corp. (the “PLC Agreement”). Pursuant to the terms of the PLC Agreement, PLC agreed to make up to $300.0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Advances under the PLC Agreement bear interest per annum, payable on the fifth day of the following month, at our option, at either (A) the prime rate, minus 1.55%, provided that the floating rate of interest is subject to a floor of 0%, or (B) a fixed rate, to be determined between us and PLC in each instance of borrowing at a fixed rate. The PLC Agreement expires on October 1, 2025, although either party has the right to terminate the PLC Agreement at any time upon 180 days written notice. If we terminate the PLC Agreement prior to October 1, 2025, then all payments will be deemed to be voluntary prepayments subject to a potential prepayment premium. On March 31, 2023, we had approximately $150.0 million outstanding under the PLC Agreement.</w:t>
      </w:r>
    </w:p>
    <w:p>
      <w:pPr>
        <w:spacing w:after="0" w:line="174"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Most of our commercial vehicle purchases are made on terms requiring payment to the manufacturer within 15 to 60 days or less from the date the commercial vehicles are invoiced from the factory. On September 14, 2021, we entered into Floor Plan Credit Agreement with BMO Harris and the lenders signatory thereto. The Floor Plan Credit Agreement includes an aggregate loan commitment of $1.0 billion. Borrowings under the Floor Plan Credit Agreement bear interest at an annual rate equal to (A) the greater of (i) zero and (ii) one month London Interbank Offered Rate (“LIBOR”), determined on the last day of the prior month, plus (B) 1.10% and are payable monthly. Loans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March 31, 2023, we had approximately $857.5 million outstanding under the Floor Plan Credit Agreement. The average daily outstanding borrowings under the Floor Plan Credit Agreement were $780.9 million during the three months ended March 31, 2023.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391"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On May 31, 2022, RTC Canada entered into that certain BMO Revolving Lease and Rental Credit Agreement (the “RTC Canada Revolving Credit Agreement”) with BMO.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Advances under the RTC Canada Revolving Credit Agreement bear interest per annum, payable on the first business day of each calendar month, at the Canadian Offered Dollar Rate (“CDOR”), plus 1.35%. The RTC Canada Revolving Credit Agreement expires September 14, 2026. On March 31, 2023, we had approximately $84.4 million CAD outstanding under the RTC Canada Revolving Credit Agreement.</w:t>
      </w:r>
    </w:p>
    <w:p>
      <w:pPr>
        <w:spacing w:after="0" w:line="173"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On July 15, 2022, RTC Canada entered into that certain Amended and Restated BMO Wholesale Financing and Security Agreement (the “RTC Canada Floor Plan Agreement”) with Bank of Montreal (“BMO”). Pursuant to the terms of the Agreement,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under the RTC Canada Floor Plan Agreement bear interest per annum, payable on the first business day of each calendar month, at CDOR, plus 0.90% and in the case of an advance required to be made in USD dollars, at LIBOR, plus 1.10%. The RTC Canada Floor Plan Agreement expires September 14, 2026. On March 31, 2023, we had approximately $63.0 million outstanding under the RTC Canada Floor Plan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3"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Backlog</w:t>
      </w:r>
    </w:p>
    <w:p>
      <w:pPr>
        <w:spacing w:after="0" w:line="225"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On March 31, 2023, our backlog of commercial vehicle orders was approximately $4,209.9 million, compared to a backlog of commercial vehicle orders of approximately $3,441.4 million on March 31, 2022. This increase in our backlog is primarily due to strong demand for new commercial vehicles and production constraints experienced by the manufacturers we represent.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March 31, 2023, and we expect to fill the majority of our backlog orders during 2023, assuming that the manufacturers we represent can meet their current production schedule. Our current backlog continues to be much higher than normal. Given the potential for industry headwinds in the coming months caused by lower spot rates and higher interest rates, which could negatively impact industry demand for new commercial vehicles moving forward, we believe that the longer it takes to fill our backlog, the greater the risk that a significant amount of commercial vehicle orders currently reflected in our backlog could be cancelled.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w:t>
      </w:r>
    </w:p>
    <w:p>
      <w:pPr>
        <w:spacing w:after="0" w:line="225"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Cyclicality</w:t>
      </w:r>
    </w:p>
    <w:p>
      <w:pPr>
        <w:spacing w:after="0" w:line="225"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total U.S. retail sales of new Class 8 commercial vehicles have ranged from a low of approximately 187,600 in 2013,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Environmental Standards and Other Governmental Regulations</w:t>
      </w:r>
    </w:p>
    <w:p>
      <w:pPr>
        <w:spacing w:after="0" w:line="225"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3"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47" w:lineRule="exact"/>
        <w:rPr>
          <w:sz w:val="20"/>
          <w:szCs w:val="20"/>
          <w:color w:val="auto"/>
        </w:rPr>
      </w:pPr>
    </w:p>
    <w:p>
      <w:pPr>
        <w:jc w:val="both"/>
        <w:ind w:firstLine="627"/>
        <w:spacing w:after="0" w:line="216" w:lineRule="exact"/>
        <w:rPr>
          <w:sz w:val="20"/>
          <w:szCs w:val="20"/>
          <w:color w:val="auto"/>
        </w:rPr>
      </w:pPr>
      <w:r>
        <w:rPr>
          <w:rFonts w:ascii="Times New Roman" w:cs="Times New Roman" w:eastAsia="Times New Roman" w:hAnsi="Times New Roman"/>
          <w:sz w:val="17"/>
          <w:szCs w:val="17"/>
          <w:color w:val="auto"/>
        </w:rPr>
        <w:t>We may also have liability in connection with materials that were sent to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94" w:lineRule="exact"/>
        <w:rPr>
          <w:sz w:val="20"/>
          <w:szCs w:val="20"/>
          <w:color w:val="auto"/>
        </w:rPr>
      </w:pPr>
    </w:p>
    <w:p>
      <w:pPr>
        <w:jc w:val="both"/>
        <w:ind w:firstLine="627"/>
        <w:spacing w:after="0" w:line="273" w:lineRule="auto"/>
        <w:rPr>
          <w:sz w:val="20"/>
          <w:szCs w:val="20"/>
          <w:color w:val="auto"/>
        </w:rPr>
      </w:pPr>
      <w:r>
        <w:rPr>
          <w:rFonts w:ascii="Times New Roman" w:cs="Times New Roman" w:eastAsia="Times New Roman" w:hAnsi="Times New Roman"/>
          <w:sz w:val="17"/>
          <w:szCs w:val="17"/>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378"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7"/>
          <w:szCs w:val="17"/>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current model years through 2027. In addition,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June 2020, the California Air Resources Board adopted a final rule that is intended to phase out the sale of diesel-powered commercial vehicles over time by requiring a certain percentage of each manufacturer’s commercial vehicles sold within the state to be “zero-emission vehicles,” or “near-zero emission vehicles,” starting in model year 2024. In addition, in July 2020, a group of fifteen U.S. states and the District of Columbia entered into a joint memorandum of understanding that commits each of them to work together to advance and accelerate the market for electric Class 3 through 8 commercial vehicles; two additional states have since signed. Six of the states that signed are states where we operate new commercial vehicle dealerships: California, Colorado, Nevada, New Mexico, North Carolina and Virginia. The signatories to the memorandum all agreed on a goal of ensuring that 100% of new Class 3 through 8 commercial vehicles are zero emission by 2050, with an interim target of 30% zero emission vehicles by 2030. Attaining these goals would likely require the adoption of new laws and regulations and we cannot predict at this time whether such laws and regulations would have an adverse impact on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81"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5"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47"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We are exposed to market risk through interest rates related to our floor plan financing agreements, the WF Credit Agreement, the PLC Agreement, the RTC Canada Revolving Credit Agreement and discount rates related to finance sales. Our floor plan debt is based on LIBOR and CDOR, the WF Credit Agreement is based on SOFR, the RTC Canada Revolving Credit Agreement is based on CDOR and the PLC Agreement is based on the prime rate. As of March 31, 2023, we had outstanding floor plan borrowings and lease and rental fleet borrowings in the aggregate amount of $1,278.4 million. Assuming an increase or decrease in LIBOR, SOFR, CDOR or the prime rate of 100 basis points, annual interest expense could correspondingly increase or decrease by approximately $12.8 million.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25"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March 31, 2023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73"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the three months ended March 31, 2023 that has materially affected, or is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25"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From time to time, we are involved in litigation arising out of our operations in the ordinary course of business. We maintain liability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March 31, 2023,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25"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While we attempt to identify, manage and mitigate risks and uncertainties associated with our business to the extent practical under the circumstances, some level of risk and uncertainty will always be present. Item 1A, Part I of our 2022 Annual Report on Form 10-K (the “2022 Annual Report”) describes some of the risks and uncertainties associated with our business that have the potential to materially affect our business, financial condition or results of operations.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 has been no material change in our risk factors disclosed in our 2022 Annual Report.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did not make any unregistered sales of equity securities during the first quarter of 2023.</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summary of the Company’s stock repurchase activity for the first quarter of 2023 is as follows:</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Approximate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Dollar Value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as Part of</w:t>
            </w:r>
          </w:p>
        </w:tc>
        <w:tc>
          <w:tcPr>
            <w:tcW w:w="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Shares that May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Price Paid</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Publicly</w:t>
            </w:r>
          </w:p>
        </w:tc>
        <w:tc>
          <w:tcPr>
            <w:tcW w:w="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Yet be Purchased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Purchased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Announced Plans</w:t>
            </w:r>
          </w:p>
        </w:tc>
        <w:tc>
          <w:tcPr>
            <w:tcW w:w="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Under the Plans</w:t>
            </w:r>
          </w:p>
        </w:tc>
        <w:tc>
          <w:tcPr>
            <w:tcW w:w="0" w:type="dxa"/>
            <w:vAlign w:val="bottom"/>
          </w:tcPr>
          <w:p>
            <w:pPr>
              <w:spacing w:after="0"/>
              <w:rPr>
                <w:sz w:val="1"/>
                <w:szCs w:val="1"/>
                <w:color w:val="auto"/>
              </w:rPr>
            </w:pPr>
          </w:p>
        </w:tc>
      </w:tr>
      <w:tr>
        <w:trPr>
          <w:trHeight w:val="229"/>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44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(1)(2)(3)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(1)</w:t>
            </w:r>
          </w:p>
        </w:tc>
        <w:tc>
          <w:tcPr>
            <w:tcW w:w="38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or Programs (2)</w:t>
            </w:r>
          </w:p>
        </w:tc>
        <w:tc>
          <w:tcPr>
            <w:tcW w:w="100" w:type="dxa"/>
            <w:vAlign w:val="bottom"/>
          </w:tcPr>
          <w:p>
            <w:pPr>
              <w:spacing w:after="0"/>
              <w:rPr>
                <w:sz w:val="19"/>
                <w:szCs w:val="19"/>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or Programs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1 – January 31, 2023</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133,505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52.02</w:t>
            </w:r>
            <w:r>
              <w:rPr>
                <w:rFonts w:ascii="Times New Roman" w:cs="Times New Roman" w:eastAsia="Times New Roman" w:hAnsi="Times New Roman"/>
                <w:sz w:val="17"/>
                <w:szCs w:val="17"/>
                <w:b w:val="1"/>
                <w:bCs w:val="1"/>
                <w:color w:val="auto"/>
              </w:rPr>
              <w:t>(4)</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133,505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137,251,054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February 1 – February 28, 2023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49,843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56.78</w:t>
            </w:r>
            <w:r>
              <w:rPr>
                <w:rFonts w:ascii="Times New Roman" w:cs="Times New Roman" w:eastAsia="Times New Roman" w:hAnsi="Times New Roman"/>
                <w:sz w:val="17"/>
                <w:szCs w:val="17"/>
                <w:b w:val="1"/>
                <w:bCs w:val="1"/>
                <w:color w:val="auto"/>
              </w:rPr>
              <w:t>(5)</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49,843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134,419,285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 – March 31, 2023</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287,670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53.85</w:t>
            </w:r>
            <w:r>
              <w:rPr>
                <w:rFonts w:ascii="Times New Roman" w:cs="Times New Roman" w:eastAsia="Times New Roman" w:hAnsi="Times New Roman"/>
                <w:sz w:val="17"/>
                <w:szCs w:val="17"/>
                <w:b w:val="1"/>
                <w:bCs w:val="1"/>
                <w:color w:val="auto"/>
              </w:rPr>
              <w:t>(6)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287,670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118,920,133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471,018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471,018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480" w:right="100" w:hanging="475"/>
        <w:spacing w:after="0" w:line="267" w:lineRule="auto"/>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calculation of the average price paid per share does not give effect to any fees, commissions or other costs associated with the repurchase of such shares.</w:t>
      </w:r>
    </w:p>
    <w:p>
      <w:pPr>
        <w:spacing w:after="0" w:line="218" w:lineRule="exact"/>
        <w:rPr>
          <w:rFonts w:ascii="Times New Roman" w:cs="Times New Roman" w:eastAsia="Times New Roman" w:hAnsi="Times New Roman"/>
          <w:sz w:val="17"/>
          <w:szCs w:val="17"/>
          <w:color w:val="auto"/>
        </w:rPr>
      </w:pPr>
    </w:p>
    <w:p>
      <w:pPr>
        <w:ind w:left="480" w:hanging="475"/>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represent Class A and Class B Common Stock repurchased by the Company.</w:t>
      </w:r>
    </w:p>
    <w:p>
      <w:pPr>
        <w:spacing w:after="0" w:line="13" w:lineRule="exact"/>
        <w:rPr>
          <w:rFonts w:ascii="Times New Roman" w:cs="Times New Roman" w:eastAsia="Times New Roman" w:hAnsi="Times New Roman"/>
          <w:sz w:val="17"/>
          <w:szCs w:val="17"/>
          <w:color w:val="auto"/>
        </w:rPr>
      </w:pPr>
    </w:p>
    <w:p>
      <w:pPr>
        <w:ind w:left="480" w:right="100" w:hanging="475"/>
        <w:spacing w:after="0" w:line="256" w:lineRule="auto"/>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 2022, we announced the approval of a new stock repurchase program, effective December 2, 2022, authorizing management to repurchase, from time to time, up to an aggregate of $150.0 million of our shares of Class A common stock and/or Class B common stock.</w:t>
      </w:r>
    </w:p>
    <w:p>
      <w:pPr>
        <w:spacing w:after="0" w:line="1" w:lineRule="exact"/>
        <w:rPr>
          <w:rFonts w:ascii="Times New Roman" w:cs="Times New Roman" w:eastAsia="Times New Roman" w:hAnsi="Times New Roman"/>
          <w:sz w:val="17"/>
          <w:szCs w:val="17"/>
          <w:color w:val="auto"/>
        </w:rPr>
      </w:pPr>
    </w:p>
    <w:p>
      <w:pPr>
        <w:ind w:left="480" w:right="100" w:hanging="475"/>
        <w:spacing w:after="0" w:line="256" w:lineRule="auto"/>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116,721 shares of Class A Common Stock at an average price paid per share of $51.67 and 16,784 shares of Class B Common Stock at an average price paid per share of $54.48.</w:t>
      </w:r>
    </w:p>
    <w:p>
      <w:pPr>
        <w:spacing w:after="0" w:line="1" w:lineRule="exact"/>
        <w:rPr>
          <w:rFonts w:ascii="Times New Roman" w:cs="Times New Roman" w:eastAsia="Times New Roman" w:hAnsi="Times New Roman"/>
          <w:sz w:val="17"/>
          <w:szCs w:val="17"/>
          <w:color w:val="auto"/>
        </w:rPr>
      </w:pPr>
    </w:p>
    <w:p>
      <w:pPr>
        <w:ind w:left="480" w:hanging="475"/>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49,843 shares of Class A Common Stock at an average price paid per share of $56.78.</w:t>
      </w:r>
    </w:p>
    <w:p>
      <w:pPr>
        <w:spacing w:after="0" w:line="13" w:lineRule="exact"/>
        <w:rPr>
          <w:rFonts w:ascii="Times New Roman" w:cs="Times New Roman" w:eastAsia="Times New Roman" w:hAnsi="Times New Roman"/>
          <w:sz w:val="17"/>
          <w:szCs w:val="17"/>
          <w:color w:val="auto"/>
        </w:rPr>
      </w:pPr>
    </w:p>
    <w:p>
      <w:pPr>
        <w:ind w:left="480" w:right="100" w:hanging="475"/>
        <w:spacing w:after="0" w:line="273" w:lineRule="auto"/>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248,468 shares of Class A Common Stock at an average price paid per share of $53.24 and 39,202 shares of Class B Common Stock at an average price paid per share of $57.71.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0" w:type="dxa"/>
            <w:vAlign w:val="bottom"/>
          </w:tcPr>
          <w:p>
            <w:pPr>
              <w:spacing w:after="0"/>
              <w:rPr>
                <w:sz w:val="18"/>
                <w:szCs w:val="18"/>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0"/>
        </w:trPr>
        <w:tc>
          <w:tcPr>
            <w:tcW w:w="160" w:type="dxa"/>
            <w:vAlign w:val="bottom"/>
          </w:tcPr>
          <w:p>
            <w:pPr>
              <w:spacing w:after="0"/>
              <w:rPr>
                <w:sz w:val="16"/>
                <w:szCs w:val="16"/>
                <w:color w:val="auto"/>
              </w:rPr>
            </w:pPr>
          </w:p>
        </w:tc>
        <w:tc>
          <w:tcPr>
            <w:tcW w:w="62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Number</w:t>
            </w:r>
          </w:p>
        </w:tc>
        <w:tc>
          <w:tcPr>
            <w:tcW w:w="160" w:type="dxa"/>
            <w:vAlign w:val="bottom"/>
          </w:tcPr>
          <w:p>
            <w:pPr>
              <w:spacing w:after="0"/>
              <w:rPr>
                <w:sz w:val="16"/>
                <w:szCs w:val="16"/>
                <w:color w:val="auto"/>
              </w:rPr>
            </w:pPr>
          </w:p>
        </w:tc>
        <w:tc>
          <w:tcPr>
            <w:tcW w:w="1320" w:type="dxa"/>
            <w:vAlign w:val="bottom"/>
            <w:tcBorders>
              <w:bottom w:val="single" w:sz="8" w:color="auto"/>
            </w:tcBorders>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Exhibit Title</w:t>
            </w:r>
          </w:p>
        </w:tc>
        <w:tc>
          <w:tcPr>
            <w:tcW w:w="8980" w:type="dxa"/>
            <w:vAlign w:val="bottom"/>
            <w:gridSpan w:val="8"/>
          </w:tcPr>
          <w:p>
            <w:pPr>
              <w:spacing w:after="0"/>
              <w:rPr>
                <w:sz w:val="16"/>
                <w:szCs w:val="16"/>
                <w:color w:val="auto"/>
              </w:rPr>
            </w:pPr>
          </w:p>
        </w:tc>
      </w:tr>
      <w:tr>
        <w:trPr>
          <w:trHeight w:val="189"/>
        </w:trPr>
        <w:tc>
          <w:tcPr>
            <w:tcW w:w="780" w:type="dxa"/>
            <w:vAlign w:val="bottom"/>
            <w:gridSpan w:val="2"/>
          </w:tcPr>
          <w:p>
            <w:pPr>
              <w:jc w:val="center"/>
              <w:ind w:left="73"/>
              <w:spacing w:after="0" w:line="189" w:lineRule="exact"/>
              <w:rPr>
                <w:sz w:val="20"/>
                <w:szCs w:val="20"/>
                <w:color w:val="auto"/>
              </w:rPr>
            </w:pPr>
            <w:r>
              <w:rPr>
                <w:rFonts w:ascii="Times New Roman" w:cs="Times New Roman" w:eastAsia="Times New Roman" w:hAnsi="Times New Roman"/>
                <w:sz w:val="17"/>
                <w:szCs w:val="17"/>
                <w:color w:val="auto"/>
              </w:rPr>
              <w:t>3.1</w:t>
            </w:r>
          </w:p>
        </w:tc>
        <w:tc>
          <w:tcPr>
            <w:tcW w:w="160" w:type="dxa"/>
            <w:vAlign w:val="bottom"/>
          </w:tcPr>
          <w:p>
            <w:pPr>
              <w:spacing w:after="0"/>
              <w:rPr>
                <w:sz w:val="16"/>
                <w:szCs w:val="16"/>
                <w:color w:val="auto"/>
              </w:rPr>
            </w:pPr>
          </w:p>
        </w:tc>
        <w:tc>
          <w:tcPr>
            <w:tcW w:w="10300" w:type="dxa"/>
            <w:vAlign w:val="bottom"/>
            <w:tcBorders>
              <w:bottom w:val="single" w:sz="8" w:color="0000EE"/>
            </w:tcBorders>
            <w:gridSpan w:val="9"/>
          </w:tcPr>
          <w:p>
            <w:pPr>
              <w:spacing w:after="0" w:line="189" w:lineRule="exact"/>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Restated Articles of Incorporation of Rush Enterprises, Inc. (incorporated herein by reference to Exhibit 3.1 of the Company’s Quarterly Report on</w:t>
              </w:r>
            </w:hyperlink>
          </w:p>
        </w:tc>
      </w:tr>
      <w:tr>
        <w:trPr>
          <w:trHeight w:val="189"/>
        </w:trPr>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80" w:type="dxa"/>
            <w:vAlign w:val="bottom"/>
            <w:tcBorders>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Form 10-Q (File No. 000-20797) for the quarter ended June 30, 2008)</w:t>
              </w:r>
            </w:hyperlink>
          </w:p>
        </w:tc>
        <w:tc>
          <w:tcPr>
            <w:tcW w:w="5420" w:type="dxa"/>
            <w:vAlign w:val="bottom"/>
            <w:gridSpan w:val="6"/>
          </w:tcPr>
          <w:p>
            <w:pPr>
              <w:spacing w:after="0"/>
              <w:rPr>
                <w:sz w:val="16"/>
                <w:szCs w:val="16"/>
                <w:color w:val="auto"/>
              </w:rPr>
            </w:pPr>
          </w:p>
        </w:tc>
      </w:tr>
      <w:tr>
        <w:trPr>
          <w:trHeight w:val="189"/>
        </w:trPr>
        <w:tc>
          <w:tcPr>
            <w:tcW w:w="780" w:type="dxa"/>
            <w:vAlign w:val="bottom"/>
            <w:gridSpan w:val="2"/>
          </w:tcPr>
          <w:p>
            <w:pPr>
              <w:jc w:val="center"/>
              <w:ind w:left="73"/>
              <w:spacing w:after="0" w:line="189" w:lineRule="exact"/>
              <w:rPr>
                <w:sz w:val="20"/>
                <w:szCs w:val="20"/>
                <w:color w:val="auto"/>
              </w:rPr>
            </w:pPr>
            <w:r>
              <w:rPr>
                <w:rFonts w:ascii="Times New Roman" w:cs="Times New Roman" w:eastAsia="Times New Roman" w:hAnsi="Times New Roman"/>
                <w:sz w:val="17"/>
                <w:szCs w:val="17"/>
                <w:color w:val="auto"/>
              </w:rPr>
              <w:t>3.2</w:t>
            </w:r>
          </w:p>
        </w:tc>
        <w:tc>
          <w:tcPr>
            <w:tcW w:w="160" w:type="dxa"/>
            <w:vAlign w:val="bottom"/>
          </w:tcPr>
          <w:p>
            <w:pPr>
              <w:spacing w:after="0"/>
              <w:rPr>
                <w:sz w:val="16"/>
                <w:szCs w:val="16"/>
                <w:color w:val="auto"/>
              </w:rPr>
            </w:pPr>
          </w:p>
        </w:tc>
        <w:tc>
          <w:tcPr>
            <w:tcW w:w="10300" w:type="dxa"/>
            <w:vAlign w:val="bottom"/>
            <w:tcBorders>
              <w:bottom w:val="single" w:sz="8" w:color="0000EE"/>
            </w:tcBorders>
            <w:gridSpan w:val="9"/>
          </w:tcPr>
          <w:p>
            <w:pPr>
              <w:spacing w:after="0" w:line="189" w:lineRule="exact"/>
              <w:rPr>
                <w:rFonts w:ascii="Times New Roman" w:cs="Times New Roman" w:eastAsia="Times New Roman" w:hAnsi="Times New Roman"/>
                <w:sz w:val="17"/>
                <w:szCs w:val="17"/>
                <w:color w:val="0000EE"/>
              </w:rPr>
            </w:pPr>
            <w:hyperlink r:id="rId29">
              <w:r>
                <w:rPr>
                  <w:rFonts w:ascii="Times New Roman" w:cs="Times New Roman" w:eastAsia="Times New Roman" w:hAnsi="Times New Roman"/>
                  <w:sz w:val="17"/>
                  <w:szCs w:val="17"/>
                  <w:color w:val="0000EE"/>
                </w:rPr>
                <w:t>Rush Enterprises, Inc. Amended and Restated Bylaws (incorporated herein by reference to Exhibit 3.1 of the Company’s Current Report on Form</w:t>
              </w:r>
            </w:hyperlink>
          </w:p>
        </w:tc>
      </w:tr>
      <w:tr>
        <w:trPr>
          <w:trHeight w:val="189"/>
        </w:trPr>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300" w:type="dxa"/>
            <w:vAlign w:val="bottom"/>
            <w:gridSpan w:val="9"/>
          </w:tcPr>
          <w:p>
            <w:pPr>
              <w:spacing w:after="0" w:line="189" w:lineRule="exact"/>
              <w:rPr>
                <w:rFonts w:ascii="Times New Roman" w:cs="Times New Roman" w:eastAsia="Times New Roman" w:hAnsi="Times New Roman"/>
                <w:sz w:val="17"/>
                <w:szCs w:val="17"/>
                <w:color w:val="0000EE"/>
              </w:rPr>
            </w:pPr>
            <w:hyperlink r:id="rId29">
              <w:r>
                <w:rPr>
                  <w:rFonts w:ascii="Times New Roman" w:cs="Times New Roman" w:eastAsia="Times New Roman" w:hAnsi="Times New Roman"/>
                  <w:sz w:val="17"/>
                  <w:szCs w:val="17"/>
                  <w:color w:val="0000EE"/>
                </w:rPr>
                <w:t>8-K (File No. 000-20797) filed May 21, 2013)</w:t>
              </w:r>
            </w:hyperlink>
          </w:p>
        </w:tc>
      </w:tr>
      <w:tr>
        <w:trPr>
          <w:trHeight w:val="20"/>
        </w:trPr>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780" w:type="dxa"/>
            <w:vAlign w:val="bottom"/>
            <w:gridSpan w:val="2"/>
          </w:tcPr>
          <w:p>
            <w:pPr>
              <w:jc w:val="center"/>
              <w:ind w:left="73"/>
              <w:spacing w:after="0" w:line="189" w:lineRule="exact"/>
              <w:rPr>
                <w:sz w:val="20"/>
                <w:szCs w:val="20"/>
                <w:color w:val="auto"/>
              </w:rPr>
            </w:pPr>
            <w:r>
              <w:rPr>
                <w:rFonts w:ascii="Times New Roman" w:cs="Times New Roman" w:eastAsia="Times New Roman" w:hAnsi="Times New Roman"/>
                <w:sz w:val="17"/>
                <w:szCs w:val="17"/>
                <w:color w:val="auto"/>
              </w:rPr>
              <w:t>3.3</w:t>
            </w:r>
          </w:p>
        </w:tc>
        <w:tc>
          <w:tcPr>
            <w:tcW w:w="160" w:type="dxa"/>
            <w:vAlign w:val="bottom"/>
          </w:tcPr>
          <w:p>
            <w:pPr>
              <w:spacing w:after="0"/>
              <w:rPr>
                <w:sz w:val="16"/>
                <w:szCs w:val="16"/>
                <w:color w:val="auto"/>
              </w:rPr>
            </w:pPr>
          </w:p>
        </w:tc>
        <w:tc>
          <w:tcPr>
            <w:tcW w:w="10300" w:type="dxa"/>
            <w:vAlign w:val="bottom"/>
            <w:tcBorders>
              <w:bottom w:val="single" w:sz="8" w:color="0000EE"/>
            </w:tcBorders>
            <w:gridSpan w:val="9"/>
          </w:tcPr>
          <w:p>
            <w:pPr>
              <w:spacing w:after="0" w:line="189" w:lineRule="exact"/>
              <w:rPr>
                <w:rFonts w:ascii="Times New Roman" w:cs="Times New Roman" w:eastAsia="Times New Roman" w:hAnsi="Times New Roman"/>
                <w:sz w:val="17"/>
                <w:szCs w:val="17"/>
                <w:color w:val="0000EE"/>
              </w:rPr>
            </w:pPr>
            <w:hyperlink r:id="rId30">
              <w:r>
                <w:rPr>
                  <w:rFonts w:ascii="Times New Roman" w:cs="Times New Roman" w:eastAsia="Times New Roman" w:hAnsi="Times New Roman"/>
                  <w:sz w:val="17"/>
                  <w:szCs w:val="17"/>
                  <w:color w:val="0000EE"/>
                </w:rPr>
                <w:t>First Amendment to Amended and Restated Bylaws of Rush Enterprises, Inc. (incorporated herein by reference to Exhibit 3.1 of the Company’s</w:t>
              </w:r>
            </w:hyperlink>
          </w:p>
        </w:tc>
      </w:tr>
      <w:tr>
        <w:trPr>
          <w:trHeight w:val="189"/>
        </w:trPr>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300" w:type="dxa"/>
            <w:vAlign w:val="bottom"/>
            <w:gridSpan w:val="9"/>
          </w:tcPr>
          <w:p>
            <w:pPr>
              <w:spacing w:after="0" w:line="189" w:lineRule="exact"/>
              <w:rPr>
                <w:rFonts w:ascii="Times New Roman" w:cs="Times New Roman" w:eastAsia="Times New Roman" w:hAnsi="Times New Roman"/>
                <w:sz w:val="17"/>
                <w:szCs w:val="17"/>
                <w:color w:val="0000EE"/>
              </w:rPr>
            </w:pPr>
            <w:hyperlink r:id="rId30">
              <w:r>
                <w:rPr>
                  <w:rFonts w:ascii="Times New Roman" w:cs="Times New Roman" w:eastAsia="Times New Roman" w:hAnsi="Times New Roman"/>
                  <w:sz w:val="17"/>
                  <w:szCs w:val="17"/>
                  <w:color w:val="0000EE"/>
                </w:rPr>
                <w:t>Current Report on Form 8-K (File No. 000-20797) filed May 24, 2021)</w:t>
              </w:r>
            </w:hyperlink>
          </w:p>
        </w:tc>
      </w:tr>
      <w:tr>
        <w:trPr>
          <w:trHeight w:val="20"/>
        </w:trPr>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60" w:type="dxa"/>
            <w:vAlign w:val="bottom"/>
            <w:gridSpan w:val="4"/>
            <w:shd w:val="clear" w:color="auto" w:fill="0000EE"/>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780" w:type="dxa"/>
            <w:vAlign w:val="bottom"/>
            <w:gridSpan w:val="2"/>
          </w:tcPr>
          <w:p>
            <w:pPr>
              <w:jc w:val="center"/>
              <w:ind w:left="73"/>
              <w:spacing w:after="0" w:line="189" w:lineRule="exact"/>
              <w:rPr>
                <w:sz w:val="20"/>
                <w:szCs w:val="20"/>
                <w:color w:val="auto"/>
              </w:rPr>
            </w:pPr>
            <w:r>
              <w:rPr>
                <w:rFonts w:ascii="Times New Roman" w:cs="Times New Roman" w:eastAsia="Times New Roman" w:hAnsi="Times New Roman"/>
                <w:sz w:val="17"/>
                <w:szCs w:val="17"/>
                <w:color w:val="auto"/>
                <w:w w:val="99"/>
              </w:rPr>
              <w:t>31.1*</w:t>
            </w:r>
          </w:p>
        </w:tc>
        <w:tc>
          <w:tcPr>
            <w:tcW w:w="160" w:type="dxa"/>
            <w:vAlign w:val="bottom"/>
          </w:tcPr>
          <w:p>
            <w:pPr>
              <w:spacing w:after="0"/>
              <w:rPr>
                <w:sz w:val="16"/>
                <w:szCs w:val="16"/>
                <w:color w:val="auto"/>
              </w:rPr>
            </w:pPr>
          </w:p>
        </w:tc>
        <w:tc>
          <w:tcPr>
            <w:tcW w:w="9280" w:type="dxa"/>
            <w:vAlign w:val="bottom"/>
            <w:tcBorders>
              <w:bottom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Certification of CEO pursuant to Rules 13a-14(a) and 15d-14(a) adopted pursuant to Section 302 of the Sarbanes-Oxley Act of 2002.</w:t>
            </w:r>
          </w:p>
        </w:tc>
        <w:tc>
          <w:tcPr>
            <w:tcW w:w="1020" w:type="dxa"/>
            <w:vAlign w:val="bottom"/>
          </w:tcPr>
          <w:p>
            <w:pPr>
              <w:spacing w:after="0"/>
              <w:rPr>
                <w:sz w:val="16"/>
                <w:szCs w:val="16"/>
                <w:color w:val="auto"/>
              </w:rPr>
            </w:pPr>
          </w:p>
        </w:tc>
      </w:tr>
      <w:tr>
        <w:trPr>
          <w:trHeight w:val="189"/>
        </w:trPr>
        <w:tc>
          <w:tcPr>
            <w:tcW w:w="780" w:type="dxa"/>
            <w:vAlign w:val="bottom"/>
            <w:gridSpan w:val="2"/>
          </w:tcPr>
          <w:p>
            <w:pPr>
              <w:jc w:val="center"/>
              <w:ind w:left="73"/>
              <w:spacing w:after="0" w:line="189" w:lineRule="exact"/>
              <w:rPr>
                <w:sz w:val="20"/>
                <w:szCs w:val="20"/>
                <w:color w:val="auto"/>
              </w:rPr>
            </w:pPr>
            <w:r>
              <w:rPr>
                <w:rFonts w:ascii="Times New Roman" w:cs="Times New Roman" w:eastAsia="Times New Roman" w:hAnsi="Times New Roman"/>
                <w:sz w:val="17"/>
                <w:szCs w:val="17"/>
                <w:color w:val="auto"/>
                <w:w w:val="99"/>
              </w:rPr>
              <w:t>31.2*</w:t>
            </w:r>
          </w:p>
        </w:tc>
        <w:tc>
          <w:tcPr>
            <w:tcW w:w="160" w:type="dxa"/>
            <w:vAlign w:val="bottom"/>
          </w:tcPr>
          <w:p>
            <w:pPr>
              <w:spacing w:after="0"/>
              <w:rPr>
                <w:sz w:val="16"/>
                <w:szCs w:val="16"/>
                <w:color w:val="auto"/>
              </w:rPr>
            </w:pPr>
          </w:p>
        </w:tc>
        <w:tc>
          <w:tcPr>
            <w:tcW w:w="10300" w:type="dxa"/>
            <w:vAlign w:val="bottom"/>
            <w:gridSpan w:val="9"/>
          </w:tcPr>
          <w:p>
            <w:pPr>
              <w:spacing w:after="0" w:line="189" w:lineRule="exact"/>
              <w:rPr>
                <w:sz w:val="20"/>
                <w:szCs w:val="20"/>
                <w:color w:val="auto"/>
              </w:rPr>
            </w:pPr>
            <w:r>
              <w:rPr>
                <w:rFonts w:ascii="Times New Roman" w:cs="Times New Roman" w:eastAsia="Times New Roman" w:hAnsi="Times New Roman"/>
                <w:sz w:val="17"/>
                <w:szCs w:val="17"/>
                <w:color w:val="0000EE"/>
              </w:rPr>
              <w:t>Certification of CFO pursuant to Rules 13a-14(a) and 15d-14(a) adopted pursuant to Section 302 of the Sarbanes-Oxley Act of 2002.</w:t>
            </w:r>
          </w:p>
        </w:tc>
      </w:tr>
      <w:tr>
        <w:trPr>
          <w:trHeight w:val="189"/>
        </w:trPr>
        <w:tc>
          <w:tcPr>
            <w:tcW w:w="780" w:type="dxa"/>
            <w:vAlign w:val="bottom"/>
            <w:gridSpan w:val="2"/>
          </w:tcPr>
          <w:p>
            <w:pPr>
              <w:jc w:val="center"/>
              <w:ind w:left="53"/>
              <w:spacing w:after="0" w:line="189" w:lineRule="exact"/>
              <w:rPr>
                <w:sz w:val="20"/>
                <w:szCs w:val="20"/>
                <w:color w:val="auto"/>
              </w:rPr>
            </w:pPr>
            <w:r>
              <w:rPr>
                <w:rFonts w:ascii="Times New Roman" w:cs="Times New Roman" w:eastAsia="Times New Roman" w:hAnsi="Times New Roman"/>
                <w:sz w:val="17"/>
                <w:szCs w:val="17"/>
                <w:color w:val="auto"/>
              </w:rPr>
              <w:t>32.1**</w:t>
            </w:r>
          </w:p>
        </w:tc>
        <w:tc>
          <w:tcPr>
            <w:tcW w:w="160" w:type="dxa"/>
            <w:vAlign w:val="bottom"/>
          </w:tcPr>
          <w:p>
            <w:pPr>
              <w:spacing w:after="0"/>
              <w:rPr>
                <w:sz w:val="16"/>
                <w:szCs w:val="16"/>
                <w:color w:val="auto"/>
              </w:rPr>
            </w:pPr>
          </w:p>
        </w:tc>
        <w:tc>
          <w:tcPr>
            <w:tcW w:w="8980" w:type="dxa"/>
            <w:vAlign w:val="bottom"/>
            <w:tcBorders>
              <w:top w:val="single" w:sz="8" w:color="0000EE"/>
              <w:bottom w:val="single" w:sz="8" w:color="0000EE"/>
            </w:tcBorders>
            <w:gridSpan w:val="6"/>
          </w:tcPr>
          <w:p>
            <w:pPr>
              <w:spacing w:after="0" w:line="189" w:lineRule="exact"/>
              <w:rPr>
                <w:sz w:val="20"/>
                <w:szCs w:val="20"/>
                <w:color w:val="auto"/>
              </w:rPr>
            </w:pPr>
            <w:r>
              <w:rPr>
                <w:rFonts w:ascii="Times New Roman" w:cs="Times New Roman" w:eastAsia="Times New Roman" w:hAnsi="Times New Roman"/>
                <w:sz w:val="17"/>
                <w:szCs w:val="17"/>
                <w:color w:val="0000EE"/>
              </w:rPr>
              <w:t>Certification of CEO pursuant to 18 U.S.C. Section 1350 as adopted pursuant to Section 906 of the Sarbanes-Oxley Act of 2002.</w:t>
            </w:r>
          </w:p>
        </w:tc>
        <w:tc>
          <w:tcPr>
            <w:tcW w:w="280" w:type="dxa"/>
            <w:vAlign w:val="bottom"/>
            <w:tcBorders>
              <w:top w:val="single" w:sz="8" w:color="0000EE"/>
            </w:tcBorders>
          </w:tcPr>
          <w:p>
            <w:pPr>
              <w:spacing w:after="0"/>
              <w:rPr>
                <w:sz w:val="16"/>
                <w:szCs w:val="16"/>
                <w:color w:val="auto"/>
              </w:rPr>
            </w:pPr>
          </w:p>
        </w:tc>
        <w:tc>
          <w:tcPr>
            <w:tcW w:w="1040" w:type="dxa"/>
            <w:vAlign w:val="bottom"/>
            <w:gridSpan w:val="2"/>
          </w:tcPr>
          <w:p>
            <w:pPr>
              <w:spacing w:after="0"/>
              <w:rPr>
                <w:sz w:val="16"/>
                <w:szCs w:val="16"/>
                <w:color w:val="auto"/>
              </w:rPr>
            </w:pPr>
          </w:p>
        </w:tc>
      </w:tr>
      <w:tr>
        <w:trPr>
          <w:trHeight w:val="189"/>
        </w:trPr>
        <w:tc>
          <w:tcPr>
            <w:tcW w:w="780" w:type="dxa"/>
            <w:vAlign w:val="bottom"/>
            <w:gridSpan w:val="2"/>
          </w:tcPr>
          <w:p>
            <w:pPr>
              <w:jc w:val="center"/>
              <w:ind w:left="53"/>
              <w:spacing w:after="0" w:line="189" w:lineRule="exact"/>
              <w:rPr>
                <w:sz w:val="20"/>
                <w:szCs w:val="20"/>
                <w:color w:val="auto"/>
              </w:rPr>
            </w:pPr>
            <w:r>
              <w:rPr>
                <w:rFonts w:ascii="Times New Roman" w:cs="Times New Roman" w:eastAsia="Times New Roman" w:hAnsi="Times New Roman"/>
                <w:sz w:val="17"/>
                <w:szCs w:val="17"/>
                <w:color w:val="auto"/>
              </w:rPr>
              <w:t>32.2**</w:t>
            </w:r>
          </w:p>
        </w:tc>
        <w:tc>
          <w:tcPr>
            <w:tcW w:w="160" w:type="dxa"/>
            <w:vAlign w:val="bottom"/>
          </w:tcPr>
          <w:p>
            <w:pPr>
              <w:spacing w:after="0"/>
              <w:rPr>
                <w:sz w:val="16"/>
                <w:szCs w:val="16"/>
                <w:color w:val="auto"/>
              </w:rPr>
            </w:pPr>
          </w:p>
        </w:tc>
        <w:tc>
          <w:tcPr>
            <w:tcW w:w="8960" w:type="dxa"/>
            <w:vAlign w:val="bottom"/>
            <w:tcBorders>
              <w:bottom w:val="single" w:sz="8" w:color="0000EE"/>
            </w:tcBorders>
            <w:gridSpan w:val="5"/>
          </w:tcPr>
          <w:p>
            <w:pPr>
              <w:spacing w:after="0" w:line="189" w:lineRule="exact"/>
              <w:rPr>
                <w:sz w:val="20"/>
                <w:szCs w:val="20"/>
                <w:color w:val="auto"/>
              </w:rPr>
            </w:pPr>
            <w:r>
              <w:rPr>
                <w:rFonts w:ascii="Times New Roman" w:cs="Times New Roman" w:eastAsia="Times New Roman" w:hAnsi="Times New Roman"/>
                <w:sz w:val="17"/>
                <w:szCs w:val="17"/>
                <w:color w:val="0000EE"/>
              </w:rPr>
              <w:t>Certification of CFO pursuant to 18 U.S.C. Section 1350 as adopted pursuant to Section 906 of the Sarbanes-Oxley Act of 2002.</w:t>
            </w:r>
          </w:p>
        </w:tc>
        <w:tc>
          <w:tcPr>
            <w:tcW w:w="1340" w:type="dxa"/>
            <w:vAlign w:val="bottom"/>
            <w:gridSpan w:val="4"/>
          </w:tcPr>
          <w:p>
            <w:pPr>
              <w:spacing w:after="0"/>
              <w:rPr>
                <w:sz w:val="16"/>
                <w:szCs w:val="16"/>
                <w:color w:val="auto"/>
              </w:rPr>
            </w:pPr>
          </w:p>
        </w:tc>
      </w:tr>
      <w:tr>
        <w:trPr>
          <w:trHeight w:val="210"/>
        </w:trPr>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101.INS</w:t>
            </w:r>
          </w:p>
        </w:tc>
        <w:tc>
          <w:tcPr>
            <w:tcW w:w="103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Instance Document – The instance document does not appear in the Interactive Data File because its XBRL tags are embedded within the</w:t>
            </w:r>
          </w:p>
        </w:tc>
      </w:tr>
      <w:tr>
        <w:trPr>
          <w:trHeight w:val="209"/>
        </w:trPr>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3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document</w:t>
            </w:r>
          </w:p>
        </w:tc>
      </w:tr>
      <w:tr>
        <w:trPr>
          <w:trHeight w:val="209"/>
        </w:trPr>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101.SCH*</w:t>
            </w:r>
          </w:p>
        </w:tc>
        <w:tc>
          <w:tcPr>
            <w:tcW w:w="103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09"/>
        </w:trPr>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101.CAL*</w:t>
            </w:r>
          </w:p>
        </w:tc>
        <w:tc>
          <w:tcPr>
            <w:tcW w:w="103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09"/>
        </w:trPr>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101.DEF*</w:t>
            </w:r>
          </w:p>
        </w:tc>
        <w:tc>
          <w:tcPr>
            <w:tcW w:w="103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09"/>
        </w:trPr>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101.LAB*</w:t>
            </w:r>
          </w:p>
        </w:tc>
        <w:tc>
          <w:tcPr>
            <w:tcW w:w="103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09"/>
        </w:trPr>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101.PRE*</w:t>
            </w:r>
          </w:p>
        </w:tc>
        <w:tc>
          <w:tcPr>
            <w:tcW w:w="103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27"/>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tcPr>
          <w:p>
            <w:pPr>
              <w:spacing w:after="0"/>
              <w:rPr>
                <w:sz w:val="19"/>
                <w:szCs w:val="19"/>
                <w:color w:val="auto"/>
              </w:rPr>
            </w:pPr>
          </w:p>
        </w:tc>
        <w:tc>
          <w:tcPr>
            <w:tcW w:w="103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and contained in Exhibit 101)</w:t>
            </w:r>
          </w:p>
        </w:tc>
      </w:tr>
    </w:tbl>
    <w:p>
      <w:pPr>
        <w:spacing w:after="0" w:line="191" w:lineRule="exact"/>
        <w:rPr>
          <w:sz w:val="20"/>
          <w:szCs w:val="20"/>
          <w:color w:val="auto"/>
        </w:rPr>
      </w:pPr>
    </w:p>
    <w:p>
      <w:pPr>
        <w:ind w:left="640" w:hanging="635"/>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32" w:lineRule="exact"/>
        <w:rPr>
          <w:sz w:val="20"/>
          <w:szCs w:val="20"/>
          <w:color w:val="auto"/>
        </w:rPr>
      </w:pPr>
    </w:p>
    <w:p>
      <w:pPr>
        <w:jc w:val="both"/>
        <w:ind w:left="640" w:hanging="635"/>
        <w:spacing w:after="0" w:line="256"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1934.</w:t>
      </w:r>
    </w:p>
    <w:p>
      <w:pPr>
        <w:spacing w:after="0" w:line="14" w:lineRule="exact"/>
        <w:rPr>
          <w:sz w:val="20"/>
          <w:szCs w:val="20"/>
          <w:color w:val="auto"/>
        </w:rPr>
      </w:pPr>
    </w:p>
    <w:p>
      <w:pPr>
        <w:ind w:left="640" w:hanging="635"/>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76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234"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920" w:type="dxa"/>
            <w:vAlign w:val="bottom"/>
            <w:gridSpan w:val="4"/>
          </w:tcPr>
          <w:p>
            <w:pPr>
              <w:ind w:left="1780"/>
              <w:spacing w:after="0"/>
              <w:rPr>
                <w:sz w:val="20"/>
                <w:szCs w:val="20"/>
                <w:color w:val="auto"/>
              </w:rPr>
            </w:pPr>
            <w:r>
              <w:rPr>
                <w:rFonts w:ascii="Times New Roman" w:cs="Times New Roman" w:eastAsia="Times New Roman" w:hAnsi="Times New Roman"/>
                <w:sz w:val="17"/>
                <w:szCs w:val="17"/>
                <w:color w:val="auto"/>
              </w:rPr>
              <w:t>RUSH ENTERPRISES, INC.</w:t>
            </w:r>
          </w:p>
        </w:tc>
      </w:tr>
      <w:tr>
        <w:trPr>
          <w:trHeight w:val="797"/>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May 10, 2023</w:t>
            </w:r>
          </w:p>
        </w:tc>
        <w:tc>
          <w:tcPr>
            <w:tcW w:w="222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By:</w:t>
            </w: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W.M. “RUSTY” RUSH</w:t>
            </w:r>
          </w:p>
        </w:tc>
      </w:tr>
      <w:tr>
        <w:trPr>
          <w:trHeight w:val="210"/>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W.M. “Rusty” Rush</w:t>
            </w:r>
          </w:p>
        </w:tc>
        <w:tc>
          <w:tcPr>
            <w:tcW w:w="8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President, Chief Executive Officer and</w:t>
            </w:r>
          </w:p>
        </w:tc>
      </w:tr>
      <w:tr>
        <w:trPr>
          <w:trHeight w:val="209"/>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Chairman of the Board</w:t>
            </w:r>
          </w:p>
        </w:tc>
      </w:tr>
      <w:tr>
        <w:trPr>
          <w:trHeight w:val="227"/>
        </w:trPr>
        <w:tc>
          <w:tcPr>
            <w:tcW w:w="5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588"/>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May 10, 2023</w:t>
            </w:r>
          </w:p>
        </w:tc>
        <w:tc>
          <w:tcPr>
            <w:tcW w:w="222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By:</w:t>
            </w:r>
          </w:p>
        </w:tc>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STEVEN L. KELLER</w:t>
            </w:r>
          </w:p>
        </w:tc>
        <w:tc>
          <w:tcPr>
            <w:tcW w:w="880" w:type="dxa"/>
            <w:vAlign w:val="bottom"/>
            <w:gridSpan w:val="2"/>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Steven L. Keller</w:t>
            </w:r>
          </w:p>
        </w:tc>
      </w:tr>
    </w:tbl>
    <w:p>
      <w:pPr>
        <w:ind w:left="574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1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W.M. “Rusty” Rush, certify that:</w:t>
      </w:r>
    </w:p>
    <w:p>
      <w:pPr>
        <w:spacing w:after="0" w:line="223" w:lineRule="exact"/>
        <w:rPr>
          <w:sz w:val="20"/>
          <w:szCs w:val="20"/>
          <w:color w:val="auto"/>
        </w:rPr>
      </w:pPr>
    </w:p>
    <w:p>
      <w:pPr>
        <w:ind w:left="520" w:hanging="515"/>
        <w:spacing w:after="0"/>
        <w:tabs>
          <w:tab w:leader="none" w:pos="5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Rush Enterprises, Inc.;</w:t>
      </w:r>
    </w:p>
    <w:p>
      <w:pPr>
        <w:spacing w:after="0" w:line="222" w:lineRule="exact"/>
        <w:rPr>
          <w:rFonts w:ascii="Times New Roman" w:cs="Times New Roman" w:eastAsia="Times New Roman" w:hAnsi="Times New Roman"/>
          <w:sz w:val="17"/>
          <w:szCs w:val="17"/>
          <w:color w:val="auto"/>
        </w:rPr>
      </w:pPr>
    </w:p>
    <w:p>
      <w:pPr>
        <w:ind w:firstLine="5"/>
        <w:spacing w:after="0" w:line="295" w:lineRule="auto"/>
        <w:tabs>
          <w:tab w:leader="none" w:pos="67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firstLine="5"/>
        <w:spacing w:after="0" w:line="295" w:lineRule="auto"/>
        <w:tabs>
          <w:tab w:leader="none" w:pos="68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jc w:val="both"/>
        <w:ind w:firstLine="5"/>
        <w:spacing w:after="0" w:line="288" w:lineRule="auto"/>
        <w:tabs>
          <w:tab w:leader="none" w:pos="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7" w:lineRule="exact"/>
        <w:rPr>
          <w:rFonts w:ascii="Times New Roman" w:cs="Times New Roman" w:eastAsia="Times New Roman" w:hAnsi="Times New Roman"/>
          <w:sz w:val="17"/>
          <w:szCs w:val="17"/>
          <w:color w:val="auto"/>
        </w:rPr>
      </w:pPr>
    </w:p>
    <w:p>
      <w:pPr>
        <w:jc w:val="both"/>
        <w:ind w:firstLine="632"/>
        <w:spacing w:after="0" w:line="276" w:lineRule="auto"/>
        <w:tabs>
          <w:tab w:leader="none" w:pos="1259"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jc w:val="both"/>
        <w:ind w:firstLine="632"/>
        <w:spacing w:after="0" w:line="276" w:lineRule="auto"/>
        <w:tabs>
          <w:tab w:leader="none" w:pos="138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ind w:firstLine="632"/>
        <w:spacing w:after="0" w:line="295" w:lineRule="auto"/>
        <w:tabs>
          <w:tab w:leader="none" w:pos="147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jc w:val="both"/>
        <w:ind w:firstLine="632"/>
        <w:spacing w:after="0" w:line="276" w:lineRule="auto"/>
        <w:tabs>
          <w:tab w:leader="none" w:pos="1292"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7"/>
          <w:szCs w:val="17"/>
          <w:color w:val="auto"/>
        </w:rPr>
      </w:pPr>
    </w:p>
    <w:p>
      <w:pPr>
        <w:ind w:firstLine="5"/>
        <w:spacing w:after="0" w:line="295"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firstLine="632"/>
        <w:spacing w:after="0" w:line="295" w:lineRule="auto"/>
        <w:tabs>
          <w:tab w:leader="none" w:pos="125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firstLine="632"/>
        <w:spacing w:after="0" w:line="295" w:lineRule="auto"/>
        <w:tabs>
          <w:tab w:leader="none" w:pos="142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56" w:lineRule="exact"/>
        <w:rPr>
          <w:sz w:val="20"/>
          <w:szCs w:val="20"/>
          <w:color w:val="auto"/>
        </w:rPr>
      </w:pPr>
    </w:p>
    <w:p>
      <w:pPr>
        <w:spacing w:after="0"/>
        <w:tabs>
          <w:tab w:leader="none" w:pos="760" w:val="left"/>
          <w:tab w:leader="none" w:pos="5620" w:val="left"/>
          <w:tab w:leader="none" w:pos="60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10,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W.M. “RUSTY” RUSH</w:t>
      </w:r>
    </w:p>
    <w:p>
      <w:pPr>
        <w:spacing w:after="0" w:line="3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W.M. “Rusty” Rush</w:t>
      </w:r>
    </w:p>
    <w:p>
      <w:pPr>
        <w:spacing w:after="0" w:line="1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President, Chief Executive Officer and</w:t>
      </w:r>
    </w:p>
    <w:p>
      <w:pPr>
        <w:spacing w:after="0" w:line="1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Chairman of the Board</w:t>
      </w:r>
    </w:p>
    <w:p>
      <w:pPr>
        <w:spacing w:after="0" w:line="1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Steven L. Keller, certify that:</w:t>
      </w:r>
    </w:p>
    <w:p>
      <w:pPr>
        <w:spacing w:after="0" w:line="223" w:lineRule="exact"/>
        <w:rPr>
          <w:sz w:val="20"/>
          <w:szCs w:val="20"/>
          <w:color w:val="auto"/>
        </w:rPr>
      </w:pPr>
    </w:p>
    <w:p>
      <w:pPr>
        <w:ind w:left="520" w:hanging="515"/>
        <w:spacing w:after="0"/>
        <w:tabs>
          <w:tab w:leader="none" w:pos="5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Rush Enterprises, Inc.;</w:t>
      </w:r>
    </w:p>
    <w:p>
      <w:pPr>
        <w:spacing w:after="0" w:line="222" w:lineRule="exact"/>
        <w:rPr>
          <w:rFonts w:ascii="Times New Roman" w:cs="Times New Roman" w:eastAsia="Times New Roman" w:hAnsi="Times New Roman"/>
          <w:sz w:val="17"/>
          <w:szCs w:val="17"/>
          <w:color w:val="auto"/>
        </w:rPr>
      </w:pPr>
    </w:p>
    <w:p>
      <w:pPr>
        <w:ind w:firstLine="5"/>
        <w:spacing w:after="0" w:line="295" w:lineRule="auto"/>
        <w:tabs>
          <w:tab w:leader="none" w:pos="67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firstLine="5"/>
        <w:spacing w:after="0" w:line="295" w:lineRule="auto"/>
        <w:tabs>
          <w:tab w:leader="none" w:pos="68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jc w:val="both"/>
        <w:ind w:firstLine="5"/>
        <w:spacing w:after="0" w:line="288" w:lineRule="auto"/>
        <w:tabs>
          <w:tab w:leader="none" w:pos="5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7" w:lineRule="exact"/>
        <w:rPr>
          <w:rFonts w:ascii="Times New Roman" w:cs="Times New Roman" w:eastAsia="Times New Roman" w:hAnsi="Times New Roman"/>
          <w:sz w:val="17"/>
          <w:szCs w:val="17"/>
          <w:color w:val="auto"/>
        </w:rPr>
      </w:pPr>
    </w:p>
    <w:p>
      <w:pPr>
        <w:jc w:val="both"/>
        <w:ind w:firstLine="632"/>
        <w:spacing w:after="0" w:line="276" w:lineRule="auto"/>
        <w:tabs>
          <w:tab w:leader="none" w:pos="125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jc w:val="both"/>
        <w:ind w:firstLine="632"/>
        <w:spacing w:after="0" w:line="276" w:lineRule="auto"/>
        <w:tabs>
          <w:tab w:leader="none" w:pos="1386"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ind w:firstLine="632"/>
        <w:spacing w:after="0" w:line="295" w:lineRule="auto"/>
        <w:tabs>
          <w:tab w:leader="none" w:pos="1471"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jc w:val="both"/>
        <w:ind w:firstLine="632"/>
        <w:spacing w:after="0" w:line="276" w:lineRule="auto"/>
        <w:tabs>
          <w:tab w:leader="none" w:pos="1292"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7"/>
          <w:szCs w:val="17"/>
          <w:color w:val="auto"/>
        </w:rPr>
      </w:pPr>
    </w:p>
    <w:p>
      <w:pPr>
        <w:ind w:firstLine="5"/>
        <w:spacing w:after="0" w:line="295"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firstLine="632"/>
        <w:spacing w:after="0" w:line="295" w:lineRule="auto"/>
        <w:tabs>
          <w:tab w:leader="none" w:pos="1251"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firstLine="632"/>
        <w:spacing w:after="0" w:line="295" w:lineRule="auto"/>
        <w:tabs>
          <w:tab w:leader="none" w:pos="1426"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5" w:lineRule="exact"/>
        <w:rPr>
          <w:sz w:val="20"/>
          <w:szCs w:val="20"/>
          <w:color w:val="auto"/>
        </w:rPr>
      </w:pPr>
    </w:p>
    <w:p>
      <w:pPr>
        <w:ind w:left="780" w:right="3340" w:hanging="6076"/>
        <w:spacing w:after="0" w:line="267" w:lineRule="auto"/>
        <w:tabs>
          <w:tab w:leader="none" w:pos="7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 xml:space="preserve">May 10, 2023 By: </w:t>
      </w:r>
      <w:r>
        <w:rPr>
          <w:rFonts w:ascii="Times New Roman" w:cs="Times New Roman" w:eastAsia="Times New Roman" w:hAnsi="Times New Roman"/>
          <w:sz w:val="17"/>
          <w:szCs w:val="17"/>
          <w:u w:val="single" w:color="auto"/>
          <w:color w:val="auto"/>
        </w:rPr>
        <w:t>/S/ STEVEN L. KELLER</w:t>
      </w:r>
      <w:r>
        <w:rPr>
          <w:rFonts w:ascii="Times New Roman" w:cs="Times New Roman" w:eastAsia="Times New Roman" w:hAnsi="Times New Roman"/>
          <w:sz w:val="17"/>
          <w:szCs w:val="17"/>
          <w:color w:val="auto"/>
        </w:rPr>
        <w:t xml:space="preserve"> Steven L. Keller</w:t>
      </w:r>
    </w:p>
    <w:p>
      <w:pPr>
        <w:spacing w:after="0" w:line="20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1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connection with this quarterly report of Rush Enterprises,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on Form 10-Q for the period ended March 31, 2023, as filed with the Securities and Exchange Commission on the date hereof (the “</w:t>
      </w:r>
      <w:r>
        <w:rPr>
          <w:rFonts w:ascii="Times New Roman" w:cs="Times New Roman" w:eastAsia="Times New Roman" w:hAnsi="Times New Roman"/>
          <w:sz w:val="17"/>
          <w:szCs w:val="17"/>
          <w:u w:val="single" w:color="auto"/>
          <w:color w:val="auto"/>
        </w:rPr>
        <w:t>Report</w:t>
      </w:r>
      <w:r>
        <w:rPr>
          <w:rFonts w:ascii="Times New Roman" w:cs="Times New Roman" w:eastAsia="Times New Roman" w:hAnsi="Times New Roman"/>
          <w:sz w:val="17"/>
          <w:szCs w:val="17"/>
          <w:color w:val="auto"/>
        </w:rPr>
        <w:t>”), I, W.M. “Rusty” Rush, President, Chief Executive Officer and Chairman of the Board of the Company, certify, pursuant to 18 U.S.C. Section 1350, as adopted pursuant to Section 906 of the Sarbanes-Oxley Act of 2002, that:</w:t>
      </w:r>
    </w:p>
    <w:p>
      <w:pPr>
        <w:spacing w:after="0" w:line="162" w:lineRule="exact"/>
        <w:rPr>
          <w:sz w:val="20"/>
          <w:szCs w:val="20"/>
          <w:color w:val="auto"/>
        </w:rPr>
      </w:pPr>
    </w:p>
    <w:p>
      <w:pPr>
        <w:ind w:left="1100" w:hanging="468"/>
        <w:spacing w:after="0"/>
        <w:tabs>
          <w:tab w:leader="none" w:pos="11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22" w:lineRule="exact"/>
        <w:rPr>
          <w:rFonts w:ascii="Times New Roman" w:cs="Times New Roman" w:eastAsia="Times New Roman" w:hAnsi="Times New Roman"/>
          <w:sz w:val="17"/>
          <w:szCs w:val="17"/>
          <w:color w:val="auto"/>
        </w:rPr>
      </w:pPr>
    </w:p>
    <w:p>
      <w:pPr>
        <w:ind w:left="1100" w:hanging="468"/>
        <w:spacing w:after="0"/>
        <w:tabs>
          <w:tab w:leader="none" w:pos="11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5620" w:type="dxa"/>
        <w:tblCellMar>
          <w:top w:w="0" w:type="dxa"/>
          <w:left w:w="0" w:type="dxa"/>
          <w:bottom w:w="0" w:type="dxa"/>
          <w:right w:w="0" w:type="dxa"/>
        </w:tblCellMar>
      </w:tblPr>
      <w:tr>
        <w:trPr>
          <w:trHeight w:val="227"/>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/S/ W.M. “RUSTY” RUSH</w:t>
            </w:r>
          </w:p>
        </w:tc>
      </w:tr>
      <w:tr>
        <w:trPr>
          <w:trHeight w:val="184"/>
        </w:trPr>
        <w:tc>
          <w:tcPr>
            <w:tcW w:w="46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w w:val="96"/>
              </w:rPr>
              <w:t>Name:</w:t>
            </w:r>
          </w:p>
        </w:tc>
        <w:tc>
          <w:tcPr>
            <w:tcW w:w="3940" w:type="dxa"/>
            <w:vAlign w:val="bottom"/>
          </w:tcPr>
          <w:p>
            <w:pPr>
              <w:ind w:left="160"/>
              <w:spacing w:after="0" w:line="184" w:lineRule="exact"/>
              <w:rPr>
                <w:sz w:val="20"/>
                <w:szCs w:val="20"/>
                <w:color w:val="auto"/>
              </w:rPr>
            </w:pPr>
            <w:r>
              <w:rPr>
                <w:rFonts w:ascii="Times New Roman" w:cs="Times New Roman" w:eastAsia="Times New Roman" w:hAnsi="Times New Roman"/>
                <w:sz w:val="17"/>
                <w:szCs w:val="17"/>
                <w:color w:val="auto"/>
              </w:rPr>
              <w:t>W.M. “Rusty” Rush</w:t>
            </w: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President, Chief Executive Officer and</w:t>
            </w:r>
          </w:p>
        </w:tc>
      </w:tr>
      <w:tr>
        <w:trPr>
          <w:trHeight w:val="209"/>
        </w:trPr>
        <w:tc>
          <w:tcPr>
            <w:tcW w:w="46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Chairman of the Board</w:t>
            </w:r>
          </w:p>
        </w:tc>
      </w:tr>
      <w:tr>
        <w:trPr>
          <w:trHeight w:val="227"/>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May 10, 2023</w:t>
            </w:r>
          </w:p>
        </w:tc>
      </w:tr>
    </w:tbl>
    <w:p>
      <w:pPr>
        <w:spacing w:after="0" w:line="40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32.2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connection with this quarterly report of Rush Enterprises,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on Form 10-Q for the period ended March 31, 2023, as filed with the Securities and Exchange Commission on the date hereof (the “</w:t>
      </w:r>
      <w:r>
        <w:rPr>
          <w:rFonts w:ascii="Times New Roman" w:cs="Times New Roman" w:eastAsia="Times New Roman" w:hAnsi="Times New Roman"/>
          <w:sz w:val="17"/>
          <w:szCs w:val="17"/>
          <w:u w:val="single" w:color="auto"/>
          <w:color w:val="auto"/>
        </w:rPr>
        <w:t>Report</w:t>
      </w:r>
      <w:r>
        <w:rPr>
          <w:rFonts w:ascii="Times New Roman" w:cs="Times New Roman" w:eastAsia="Times New Roman" w:hAnsi="Times New Roman"/>
          <w:sz w:val="17"/>
          <w:szCs w:val="17"/>
          <w:color w:val="auto"/>
        </w:rPr>
        <w:t>”), I, Steven L. Keller, Chief Financial Officer and Treasurer of the Company, certify, pursuant to 18 U.S.C. Section 1350, as adopted pursuant to Section 906 of the Sarbanes-Oxley Act of 2002, that:</w:t>
      </w:r>
    </w:p>
    <w:p>
      <w:pPr>
        <w:spacing w:after="0" w:line="162" w:lineRule="exact"/>
        <w:rPr>
          <w:sz w:val="20"/>
          <w:szCs w:val="20"/>
          <w:color w:val="auto"/>
        </w:rPr>
      </w:pPr>
    </w:p>
    <w:p>
      <w:pPr>
        <w:ind w:left="1100" w:hanging="468"/>
        <w:spacing w:after="0"/>
        <w:tabs>
          <w:tab w:leader="none" w:pos="11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8" w:lineRule="exact"/>
        <w:rPr>
          <w:rFonts w:ascii="Times New Roman" w:cs="Times New Roman" w:eastAsia="Times New Roman" w:hAnsi="Times New Roman"/>
          <w:sz w:val="17"/>
          <w:szCs w:val="17"/>
          <w:color w:val="auto"/>
        </w:rPr>
      </w:pPr>
    </w:p>
    <w:p>
      <w:pPr>
        <w:ind w:left="1100" w:hanging="468"/>
        <w:spacing w:after="0"/>
        <w:tabs>
          <w:tab w:leader="none" w:pos="11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7"/>
          <w:szCs w:val="17"/>
          <w:color w:val="auto"/>
        </w:rPr>
        <w:t>By:</w:t>
        <w:tab/>
        <w:t>/S/ STEVEN L. KELLER</w:t>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Name:Steven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-123190</wp:posOffset>
            </wp:positionV>
            <wp:extent cx="24980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Title: Chief Financial Officer and Treasurer</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Date: May 10, 2023</w:t>
      </w:r>
    </w:p>
    <w:p>
      <w:pPr>
        <w:spacing w:after="0" w:line="200" w:lineRule="exact"/>
        <w:rPr>
          <w:sz w:val="20"/>
          <w:szCs w:val="20"/>
          <w:color w:val="auto"/>
        </w:rPr>
      </w:pPr>
    </w:p>
    <w:p>
      <w:pPr>
        <w:spacing w:after="0" w:line="21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28" Type="http://schemas.openxmlformats.org/officeDocument/2006/relationships/hyperlink" Target="http://www.sec.gov/Archives/edgar/data/1012019/000110465908051789/a08-18770_1ex3d1.htm" TargetMode="External"/><Relationship Id="rId29" Type="http://schemas.openxmlformats.org/officeDocument/2006/relationships/hyperlink" Target="http://www.sec.gov/Archives/edgar/data/1012019/000143774913006455/rusha20130517_8kex3-1.htm" TargetMode="External"/><Relationship Id="rId30" Type="http://schemas.openxmlformats.org/officeDocument/2006/relationships/hyperlink" Target="http://www.sec.gov/Archives/edgar/data/1012019/000143774921013172/ex_2527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2023-05-10T12:46:55Z</dcterms:created>
  <dcterms:modified xsi:type="dcterms:W3CDTF">2023-05-10T12:46:55Z</dcterms:modified>
</cp:coreProperties>
</file>