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00" w:right="2540" w:hanging="3992"/>
        <w:spacing w:after="0" w:line="277"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2022</w:t>
      </w:r>
    </w:p>
    <w:p>
      <w:pPr>
        <w:ind w:left="340" w:hanging="332"/>
        <w:spacing w:after="0" w:line="208"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PURSANT TO SECTION 13 OR 15(d) OF THE SECURITIES EXCHANGE ACT OF 1934</w:t>
      </w:r>
    </w:p>
    <w:p>
      <w:pPr>
        <w:spacing w:after="0" w:line="207" w:lineRule="exact"/>
        <w:rPr>
          <w:sz w:val="24"/>
          <w:szCs w:val="24"/>
          <w:color w:val="auto"/>
        </w:rPr>
      </w:pPr>
    </w:p>
    <w:p>
      <w:pPr>
        <w:ind w:left="4280"/>
        <w:spacing w:after="0"/>
        <w:tabs>
          <w:tab w:leader="none" w:pos="68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420" w:type="dxa"/>
            <w:vAlign w:val="bottom"/>
          </w:tcPr>
          <w:p>
            <w:pPr>
              <w:jc w:val="center"/>
              <w:ind w:right="850"/>
              <w:spacing w:after="0"/>
              <w:rPr>
                <w:sz w:val="20"/>
                <w:szCs w:val="20"/>
                <w:color w:val="auto"/>
              </w:rPr>
            </w:pPr>
            <w:r>
              <w:rPr>
                <w:rFonts w:ascii="Arial" w:cs="Arial" w:eastAsia="Arial" w:hAnsi="Arial"/>
                <w:sz w:val="18"/>
                <w:szCs w:val="18"/>
                <w:b w:val="1"/>
                <w:bCs w:val="1"/>
                <w:color w:val="auto"/>
                <w:w w:val="86"/>
              </w:rPr>
              <w:t>Texas</w:t>
            </w:r>
          </w:p>
        </w:tc>
        <w:tc>
          <w:tcPr>
            <w:tcW w:w="3740" w:type="dxa"/>
            <w:vAlign w:val="bottom"/>
          </w:tcPr>
          <w:p>
            <w:pPr>
              <w:jc w:val="right"/>
              <w:ind w:right="77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420" w:type="dxa"/>
            <w:vAlign w:val="bottom"/>
          </w:tcPr>
          <w:p>
            <w:pPr>
              <w:jc w:val="center"/>
              <w:ind w:right="850"/>
              <w:spacing w:after="0"/>
              <w:rPr>
                <w:sz w:val="20"/>
                <w:szCs w:val="20"/>
                <w:color w:val="auto"/>
              </w:rPr>
            </w:pPr>
            <w:r>
              <w:rPr>
                <w:rFonts w:ascii="Arial" w:cs="Arial" w:eastAsia="Arial" w:hAnsi="Arial"/>
                <w:sz w:val="18"/>
                <w:szCs w:val="18"/>
                <w:b w:val="1"/>
                <w:bCs w:val="1"/>
                <w:color w:val="auto"/>
                <w:w w:val="92"/>
              </w:rPr>
              <w:t>555 IH 35 South, New Braunfels, TX</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78130</w:t>
            </w:r>
          </w:p>
        </w:tc>
      </w:tr>
      <w:tr>
        <w:trPr>
          <w:trHeight w:val="230"/>
        </w:trPr>
        <w:tc>
          <w:tcPr>
            <w:tcW w:w="542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90" w:type="dxa"/>
        <w:tblCellMar>
          <w:top w:w="0" w:type="dxa"/>
          <w:left w:w="0" w:type="dxa"/>
          <w:bottom w:w="0" w:type="dxa"/>
          <w:right w:w="0" w:type="dxa"/>
        </w:tblCellMar>
      </w:tblPr>
      <w:tr>
        <w:trPr>
          <w:trHeight w:val="250"/>
        </w:trPr>
        <w:tc>
          <w:tcPr>
            <w:tcW w:w="4040" w:type="dxa"/>
            <w:vAlign w:val="bottom"/>
            <w:tcBorders>
              <w:top w:val="single" w:sz="8" w:color="auto"/>
              <w:left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color w:val="auto"/>
              </w:rPr>
              <w:t>Title of each class</w:t>
            </w:r>
          </w:p>
        </w:tc>
        <w:tc>
          <w:tcPr>
            <w:tcW w:w="2540" w:type="dxa"/>
            <w:vAlign w:val="bottom"/>
            <w:tcBorders>
              <w:top w:val="single" w:sz="8" w:color="auto"/>
              <w:bottom w:val="single" w:sz="8" w:color="auto"/>
            </w:tcBorders>
          </w:tcPr>
          <w:p>
            <w:pPr>
              <w:jc w:val="center"/>
              <w:ind w:left="390"/>
              <w:spacing w:after="0"/>
              <w:rPr>
                <w:sz w:val="20"/>
                <w:szCs w:val="20"/>
                <w:color w:val="auto"/>
              </w:rPr>
            </w:pPr>
            <w:r>
              <w:rPr>
                <w:rFonts w:ascii="Arial" w:cs="Arial" w:eastAsia="Arial" w:hAnsi="Arial"/>
                <w:sz w:val="18"/>
                <w:szCs w:val="18"/>
                <w:color w:val="auto"/>
                <w:w w:val="91"/>
              </w:rPr>
              <w:t>Trading Symbol(s)</w:t>
            </w:r>
          </w:p>
        </w:tc>
        <w:tc>
          <w:tcPr>
            <w:tcW w:w="540" w:type="dxa"/>
            <w:vAlign w:val="bottom"/>
            <w:tcBorders>
              <w:top w:val="single" w:sz="8" w:color="auto"/>
              <w:bottom w:val="single" w:sz="8" w:color="auto"/>
              <w:right w:val="single" w:sz="8" w:color="auto"/>
            </w:tcBorders>
          </w:tcPr>
          <w:p>
            <w:pPr>
              <w:spacing w:after="0"/>
              <w:rPr>
                <w:sz w:val="21"/>
                <w:szCs w:val="21"/>
                <w:color w:val="auto"/>
              </w:rPr>
            </w:pP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8"/>
        </w:trPr>
        <w:tc>
          <w:tcPr>
            <w:tcW w:w="4040" w:type="dxa"/>
            <w:vAlign w:val="bottom"/>
            <w:tcBorders>
              <w:left w:val="single" w:sz="8" w:color="auto"/>
              <w:right w:val="single" w:sz="8" w:color="auto"/>
            </w:tcBorders>
          </w:tcPr>
          <w:p>
            <w:pPr>
              <w:ind w:left="580"/>
              <w:spacing w:after="0" w:line="178" w:lineRule="exact"/>
              <w:rPr>
                <w:sz w:val="20"/>
                <w:szCs w:val="20"/>
                <w:color w:val="auto"/>
              </w:rPr>
            </w:pPr>
            <w:r>
              <w:rPr>
                <w:rFonts w:ascii="Arial" w:cs="Arial" w:eastAsia="Arial" w:hAnsi="Arial"/>
                <w:sz w:val="18"/>
                <w:szCs w:val="18"/>
                <w:color w:val="auto"/>
              </w:rPr>
              <w:t>Class A Common Stock, $0.01 par value</w:t>
            </w:r>
          </w:p>
        </w:tc>
        <w:tc>
          <w:tcPr>
            <w:tcW w:w="2540" w:type="dxa"/>
            <w:vAlign w:val="bottom"/>
          </w:tcPr>
          <w:p>
            <w:pPr>
              <w:jc w:val="center"/>
              <w:ind w:left="410"/>
              <w:spacing w:after="0" w:line="178" w:lineRule="exact"/>
              <w:rPr>
                <w:sz w:val="20"/>
                <w:szCs w:val="20"/>
                <w:color w:val="auto"/>
              </w:rPr>
            </w:pPr>
            <w:r>
              <w:rPr>
                <w:rFonts w:ascii="Arial" w:cs="Arial" w:eastAsia="Arial" w:hAnsi="Arial"/>
                <w:sz w:val="18"/>
                <w:szCs w:val="18"/>
                <w:color w:val="auto"/>
                <w:w w:val="95"/>
              </w:rPr>
              <w:t>RUSHA</w:t>
            </w:r>
          </w:p>
        </w:tc>
        <w:tc>
          <w:tcPr>
            <w:tcW w:w="54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4"/>
              </w:rPr>
              <w:t>NASDAQ Global Select Market</w:t>
            </w:r>
          </w:p>
        </w:tc>
      </w:tr>
      <w:tr>
        <w:trPr>
          <w:trHeight w:val="230"/>
        </w:trPr>
        <w:tc>
          <w:tcPr>
            <w:tcW w:w="4040" w:type="dxa"/>
            <w:vAlign w:val="bottom"/>
            <w:tcBorders>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Class B Common Stock, $0.01 par value</w:t>
            </w:r>
          </w:p>
        </w:tc>
        <w:tc>
          <w:tcPr>
            <w:tcW w:w="25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5"/>
              </w:rPr>
              <w:t>RUSHB</w:t>
            </w:r>
          </w:p>
        </w:tc>
        <w:tc>
          <w:tcPr>
            <w:tcW w:w="54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407"/>
        </w:trPr>
        <w:tc>
          <w:tcPr>
            <w:tcW w:w="111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34"/>
        </w:trPr>
        <w:tc>
          <w:tcPr>
            <w:tcW w:w="4040" w:type="dxa"/>
            <w:vAlign w:val="bottom"/>
          </w:tcPr>
          <w:p>
            <w:pPr>
              <w:spacing w:after="0"/>
              <w:rPr>
                <w:sz w:val="20"/>
                <w:szCs w:val="20"/>
                <w:color w:val="auto"/>
              </w:rPr>
            </w:pPr>
          </w:p>
        </w:tc>
        <w:tc>
          <w:tcPr>
            <w:tcW w:w="254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None</w:t>
            </w:r>
          </w:p>
        </w:tc>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85"/>
        </w:trPr>
        <w:tc>
          <w:tcPr>
            <w:tcW w:w="11120" w:type="dxa"/>
            <w:vAlign w:val="bottom"/>
            <w:gridSpan w:val="4"/>
          </w:tcPr>
          <w:p>
            <w:pPr>
              <w:ind w:left="2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83"/>
        </w:trPr>
        <w:tc>
          <w:tcPr>
            <w:tcW w:w="4040" w:type="dxa"/>
            <w:vAlign w:val="bottom"/>
          </w:tcPr>
          <w:p>
            <w:pPr>
              <w:spacing w:after="0"/>
              <w:rPr>
                <w:sz w:val="24"/>
                <w:szCs w:val="24"/>
                <w:color w:val="auto"/>
              </w:rPr>
            </w:pPr>
          </w:p>
        </w:tc>
        <w:tc>
          <w:tcPr>
            <w:tcW w:w="2540" w:type="dxa"/>
            <w:vAlign w:val="bottom"/>
          </w:tcPr>
          <w:p>
            <w:pPr>
              <w:ind w:left="16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54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65"/>
        </w:trPr>
        <w:tc>
          <w:tcPr>
            <w:tcW w:w="11120" w:type="dxa"/>
            <w:vAlign w:val="bottom"/>
            <w:gridSpan w:val="4"/>
          </w:tcPr>
          <w:p>
            <w:pPr>
              <w:ind w:left="2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p>
        </w:tc>
      </w:tr>
      <w:tr>
        <w:trPr>
          <w:trHeight w:val="283"/>
        </w:trPr>
        <w:tc>
          <w:tcPr>
            <w:tcW w:w="4040" w:type="dxa"/>
            <w:vAlign w:val="bottom"/>
          </w:tcPr>
          <w:p>
            <w:pPr>
              <w:spacing w:after="0"/>
              <w:rPr>
                <w:sz w:val="24"/>
                <w:szCs w:val="24"/>
                <w:color w:val="auto"/>
              </w:rPr>
            </w:pPr>
          </w:p>
        </w:tc>
        <w:tc>
          <w:tcPr>
            <w:tcW w:w="2540" w:type="dxa"/>
            <w:vAlign w:val="bottom"/>
          </w:tcPr>
          <w:p>
            <w:pPr>
              <w:ind w:left="16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54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740"/>
        <w:spacing w:after="0" w:line="207" w:lineRule="exact"/>
        <w:tabs>
          <w:tab w:leader="none" w:pos="7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5740"/>
        <w:spacing w:after="0" w:line="207" w:lineRule="exact"/>
        <w:tabs>
          <w:tab w:leader="none" w:pos="7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340"/>
        <w:spacing w:after="0" w:line="207" w:lineRule="exact"/>
        <w:tabs>
          <w:tab w:leader="none" w:pos="2800" w:val="left"/>
          <w:tab w:leader="none" w:pos="560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firstLine="27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right="20" w:firstLine="270"/>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5740"/>
        <w:spacing w:after="0" w:line="207" w:lineRule="exact"/>
        <w:tabs>
          <w:tab w:leader="none" w:pos="7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jc w:val="both"/>
        <w:ind w:firstLine="270"/>
        <w:spacing w:after="0" w:line="237" w:lineRule="auto"/>
        <w:rPr>
          <w:sz w:val="20"/>
          <w:szCs w:val="20"/>
          <w:color w:val="auto"/>
        </w:rPr>
      </w:pPr>
      <w:r>
        <w:rPr>
          <w:rFonts w:ascii="Arial" w:cs="Arial" w:eastAsia="Arial" w:hAnsi="Arial"/>
          <w:sz w:val="17"/>
          <w:szCs w:val="17"/>
          <w:color w:val="auto"/>
        </w:rPr>
        <w:t>The aggregate market value of common stock held by non-affiliates of the registrant as of June 30, 2022 was approximately $2,038,811,607 based upon the last sales price on June 30, 2022 on The NASDAQ Global Select Market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of $48.20 for the registrant’s Class A common stock and $49.61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registrant had 42,307,824 shares Class A common stock and 12,066,301 shares of Class B common stock outstanding on February 14, 2023.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Portions of registrant</w:t>
      </w:r>
      <w:r>
        <w:rPr>
          <w:rFonts w:ascii="Arial" w:cs="Arial" w:eastAsia="Arial" w:hAnsi="Arial"/>
          <w:sz w:val="16"/>
          <w:szCs w:val="16"/>
          <w:color w:val="auto"/>
        </w:rPr>
        <w:t>’</w:t>
      </w:r>
      <w:r>
        <w:rPr>
          <w:rFonts w:ascii="Arial" w:cs="Arial" w:eastAsia="Arial" w:hAnsi="Arial"/>
          <w:sz w:val="16"/>
          <w:szCs w:val="16"/>
          <w:b w:val="1"/>
          <w:bCs w:val="1"/>
          <w:color w:val="auto"/>
        </w:rPr>
        <w:t>s definitive proxy statement for the registrant</w:t>
      </w:r>
      <w:r>
        <w:rPr>
          <w:rFonts w:ascii="Arial" w:cs="Arial" w:eastAsia="Arial" w:hAnsi="Arial"/>
          <w:sz w:val="16"/>
          <w:szCs w:val="16"/>
          <w:color w:val="auto"/>
        </w:rPr>
        <w:t>’</w:t>
      </w:r>
      <w:r>
        <w:rPr>
          <w:rFonts w:ascii="Arial" w:cs="Arial" w:eastAsia="Arial" w:hAnsi="Arial"/>
          <w:sz w:val="16"/>
          <w:szCs w:val="16"/>
          <w:b w:val="1"/>
          <w:bCs w:val="1"/>
          <w:color w:val="auto"/>
        </w:rPr>
        <w:t>s 2023 Annual Meeting of Shareholders, to be filed with the Securities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Commission not later than 120 days after December 31, 2022,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color w:val="0000EE"/>
                <w:w w:val="94"/>
              </w:rPr>
              <w:t>Table of Contents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gridSpan w:val="17"/>
          </w:tcPr>
          <w:p>
            <w:pPr>
              <w:jc w:val="center"/>
              <w:ind w:right="3080"/>
              <w:spacing w:after="0"/>
              <w:rPr>
                <w:sz w:val="20"/>
                <w:szCs w:val="20"/>
                <w:color w:val="auto"/>
              </w:rPr>
            </w:pPr>
            <w:r>
              <w:rPr>
                <w:rFonts w:ascii="Arial" w:cs="Arial" w:eastAsia="Arial" w:hAnsi="Arial"/>
                <w:sz w:val="18"/>
                <w:szCs w:val="18"/>
                <w:b w:val="1"/>
                <w:bCs w:val="1"/>
                <w:color w:val="auto"/>
                <w:w w:val="98"/>
              </w:rPr>
              <w:t>RUSH ENTERPRISES, INC.</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16"/>
          </w:tcPr>
          <w:p>
            <w:pPr>
              <w:jc w:val="center"/>
              <w:ind w:right="3500"/>
              <w:spacing w:after="0"/>
              <w:rPr>
                <w:sz w:val="20"/>
                <w:szCs w:val="20"/>
                <w:color w:val="auto"/>
              </w:rPr>
            </w:pPr>
            <w:r>
              <w:rPr>
                <w:rFonts w:ascii="Arial" w:cs="Arial" w:eastAsia="Arial" w:hAnsi="Arial"/>
                <w:sz w:val="18"/>
                <w:szCs w:val="18"/>
                <w:b w:val="1"/>
                <w:bCs w:val="1"/>
                <w:color w:val="auto"/>
                <w:w w:val="94"/>
              </w:rPr>
              <w:t>Index to Form 10-K</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gridSpan w:val="17"/>
          </w:tcPr>
          <w:p>
            <w:pPr>
              <w:jc w:val="center"/>
              <w:ind w:right="3100"/>
              <w:spacing w:after="0"/>
              <w:rPr>
                <w:sz w:val="20"/>
                <w:szCs w:val="20"/>
                <w:color w:val="auto"/>
              </w:rPr>
            </w:pPr>
            <w:r>
              <w:rPr>
                <w:rFonts w:ascii="Arial" w:cs="Arial" w:eastAsia="Arial" w:hAnsi="Arial"/>
                <w:sz w:val="18"/>
                <w:szCs w:val="18"/>
                <w:b w:val="1"/>
                <w:bCs w:val="1"/>
                <w:color w:val="auto"/>
                <w:w w:val="89"/>
              </w:rPr>
              <w:t>Year ended December 31, 2022</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c>
          <w:tcPr>
            <w:tcW w:w="1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jc w:val="center"/>
              <w:ind w:right="200"/>
              <w:spacing w:after="0" w:line="196" w:lineRule="exact"/>
              <w:rPr>
                <w:sz w:val="20"/>
                <w:szCs w:val="20"/>
                <w:color w:val="auto"/>
              </w:rPr>
            </w:pPr>
            <w:r>
              <w:rPr>
                <w:rFonts w:ascii="Arial" w:cs="Arial" w:eastAsia="Arial" w:hAnsi="Arial"/>
                <w:sz w:val="18"/>
                <w:szCs w:val="18"/>
                <w:b w:val="1"/>
                <w:bCs w:val="1"/>
                <w:color w:val="auto"/>
                <w:w w:val="89"/>
              </w:rPr>
              <w:t>No.</w:t>
            </w: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3"/>
          </w:tcPr>
          <w:p>
            <w:pPr>
              <w:jc w:val="center"/>
              <w:ind w:right="4180"/>
              <w:spacing w:after="0"/>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Business</w:t>
            </w:r>
          </w:p>
        </w:tc>
        <w:tc>
          <w:tcPr>
            <w:tcW w:w="3400" w:type="dxa"/>
            <w:vAlign w:val="bottom"/>
            <w:gridSpan w:val="16"/>
          </w:tcPr>
          <w:p>
            <w:pPr>
              <w:spacing w:after="0"/>
              <w:rPr>
                <w:sz w:val="17"/>
                <w:szCs w:val="17"/>
                <w:color w:val="auto"/>
              </w:rPr>
            </w:pPr>
          </w:p>
        </w:tc>
        <w:tc>
          <w:tcPr>
            <w:tcW w:w="460" w:type="dxa"/>
            <w:vAlign w:val="bottom"/>
            <w:tcBorders>
              <w:top w:val="single" w:sz="8" w:color="0000EE"/>
            </w:tcBorders>
            <w:gridSpan w:val="3"/>
          </w:tcPr>
          <w:p>
            <w:pPr>
              <w:spacing w:after="0"/>
              <w:rPr>
                <w:sz w:val="17"/>
                <w:szCs w:val="17"/>
                <w:color w:val="auto"/>
              </w:rPr>
            </w:pPr>
          </w:p>
        </w:tc>
        <w:tc>
          <w:tcPr>
            <w:tcW w:w="4220" w:type="dxa"/>
            <w:vAlign w:val="bottom"/>
            <w:gridSpan w:val="9"/>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Risk Factors</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Unresolved Staff Comments</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Properties</w:t>
            </w:r>
          </w:p>
        </w:tc>
        <w:tc>
          <w:tcPr>
            <w:tcW w:w="6680" w:type="dxa"/>
            <w:vAlign w:val="bottom"/>
            <w:gridSpan w:val="19"/>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7380" w:type="dxa"/>
            <w:vAlign w:val="bottom"/>
            <w:gridSpan w:val="24"/>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Mine Safety Disclosures</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3"/>
          </w:tcPr>
          <w:p>
            <w:pPr>
              <w:jc w:val="center"/>
              <w:ind w:right="4200"/>
              <w:spacing w:after="0"/>
              <w:rPr>
                <w:sz w:val="20"/>
                <w:szCs w:val="20"/>
                <w:color w:val="auto"/>
              </w:rPr>
            </w:pPr>
            <w:r>
              <w:rPr>
                <w:rFonts w:ascii="Arial" w:cs="Arial" w:eastAsia="Arial" w:hAnsi="Arial"/>
                <w:sz w:val="18"/>
                <w:szCs w:val="18"/>
                <w:b w:val="1"/>
                <w:bCs w:val="1"/>
                <w:color w:val="0000EE"/>
              </w:rPr>
              <w:t>Part II</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36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3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0"/>
              </w:rPr>
              <w:t>Market for Registrant’s Common Equity, Related Shareholder Matters and Issuer Purchases of Equity Securities</w:t>
            </w:r>
          </w:p>
        </w:tc>
        <w:tc>
          <w:tcPr>
            <w:tcW w:w="6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Selected Financial Data</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260" w:type="dxa"/>
            <w:vAlign w:val="bottom"/>
            <w:gridSpan w:val="4"/>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4420" w:type="dxa"/>
            <w:vAlign w:val="bottom"/>
            <w:gridSpan w:val="10"/>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240" w:type="dxa"/>
            <w:vAlign w:val="bottom"/>
            <w:gridSpan w:val="3"/>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Controls and Procedures</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Other Information</w:t>
            </w:r>
          </w:p>
        </w:tc>
        <w:tc>
          <w:tcPr>
            <w:tcW w:w="6960" w:type="dxa"/>
            <w:vAlign w:val="bottom"/>
            <w:gridSpan w:val="21"/>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bottom w:val="single" w:sz="8" w:color="0000EE"/>
            </w:tcBorders>
            <w:gridSpan w:val="9"/>
          </w:tcPr>
          <w:p>
            <w:pPr>
              <w:jc w:val="center"/>
              <w:ind w:right="20"/>
              <w:spacing w:after="0"/>
              <w:rPr>
                <w:sz w:val="20"/>
                <w:szCs w:val="20"/>
                <w:color w:val="auto"/>
              </w:rPr>
            </w:pPr>
            <w:r>
              <w:rPr>
                <w:rFonts w:ascii="Arial" w:cs="Arial" w:eastAsia="Arial" w:hAnsi="Arial"/>
                <w:sz w:val="18"/>
                <w:szCs w:val="18"/>
                <w:b w:val="1"/>
                <w:bCs w:val="1"/>
                <w:color w:val="0000EE"/>
              </w:rPr>
              <w:t>Part III</w:t>
            </w:r>
          </w:p>
        </w:tc>
        <w:tc>
          <w:tcPr>
            <w:tcW w:w="414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3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Directors, Executive Officers and Corporate Governance</w:t>
            </w:r>
          </w:p>
        </w:tc>
        <w:tc>
          <w:tcPr>
            <w:tcW w:w="4620" w:type="dxa"/>
            <w:vAlign w:val="bottom"/>
            <w:gridSpan w:val="11"/>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Executive Compensation</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Shareholder Matters</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440" w:type="dxa"/>
            <w:vAlign w:val="bottom"/>
            <w:gridSpan w:val="2"/>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3280" w:type="dxa"/>
            <w:vAlign w:val="bottom"/>
            <w:gridSpan w:val="5"/>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gridSpan w:val="15"/>
          </w:tcPr>
          <w:p>
            <w:pPr>
              <w:jc w:val="center"/>
              <w:ind w:right="4140"/>
              <w:spacing w:after="0"/>
              <w:rPr>
                <w:sz w:val="20"/>
                <w:szCs w:val="20"/>
                <w:color w:val="auto"/>
              </w:rPr>
            </w:pPr>
            <w:r>
              <w:rPr>
                <w:rFonts w:ascii="Arial" w:cs="Arial" w:eastAsia="Arial" w:hAnsi="Arial"/>
                <w:sz w:val="18"/>
                <w:szCs w:val="18"/>
                <w:b w:val="1"/>
                <w:bCs w:val="1"/>
                <w:color w:val="0000EE"/>
              </w:rPr>
              <w:t>Part IV</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3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Exhibits, Financial Statement Schedules</w:t>
            </w:r>
          </w:p>
        </w:tc>
        <w:tc>
          <w:tcPr>
            <w:tcW w:w="1080" w:type="dxa"/>
            <w:vAlign w:val="bottom"/>
            <w:gridSpan w:val="3"/>
          </w:tcPr>
          <w:p>
            <w:pPr>
              <w:spacing w:after="0"/>
              <w:rPr>
                <w:sz w:val="24"/>
                <w:szCs w:val="24"/>
                <w:color w:val="auto"/>
              </w:rPr>
            </w:pPr>
          </w:p>
        </w:tc>
        <w:tc>
          <w:tcPr>
            <w:tcW w:w="580" w:type="dxa"/>
            <w:vAlign w:val="bottom"/>
            <w:tcBorders>
              <w:top w:val="single" w:sz="8" w:color="0000EE"/>
            </w:tcBorders>
            <w:gridSpan w:val="7"/>
          </w:tcPr>
          <w:p>
            <w:pPr>
              <w:spacing w:after="0"/>
              <w:rPr>
                <w:sz w:val="24"/>
                <w:szCs w:val="24"/>
                <w:color w:val="auto"/>
              </w:rPr>
            </w:pPr>
          </w:p>
        </w:tc>
        <w:tc>
          <w:tcPr>
            <w:tcW w:w="4160" w:type="dxa"/>
            <w:vAlign w:val="bottom"/>
            <w:gridSpan w:val="7"/>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8720" w:type="dxa"/>
            <w:vAlign w:val="bottom"/>
            <w:gridSpan w:val="29"/>
          </w:tcPr>
          <w:p>
            <w:pPr>
              <w:spacing w:after="0" w:line="196" w:lineRule="exact"/>
              <w:rPr>
                <w:sz w:val="20"/>
                <w:szCs w:val="20"/>
                <w:color w:val="auto"/>
              </w:rPr>
            </w:pPr>
            <w:r>
              <w:rPr>
                <w:rFonts w:ascii="Arial" w:cs="Arial" w:eastAsia="Arial" w:hAnsi="Arial"/>
                <w:sz w:val="18"/>
                <w:szCs w:val="18"/>
                <w:color w:val="0000EE"/>
              </w:rPr>
              <w:t>Form 10-K Summary</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95"/>
        </w:trPr>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contained in this Form 10-K (or otherwise made by the Company or on the Company</w:t>
      </w:r>
      <w:r>
        <w:rPr>
          <w:rFonts w:ascii="Arial" w:cs="Arial" w:eastAsia="Arial" w:hAnsi="Arial"/>
          <w:sz w:val="17"/>
          <w:szCs w:val="17"/>
          <w:color w:val="auto"/>
        </w:rPr>
        <w:t>’</w:t>
      </w:r>
      <w:r>
        <w:rPr>
          <w:rFonts w:ascii="Arial" w:cs="Arial" w:eastAsia="Arial" w:hAnsi="Arial"/>
          <w:sz w:val="17"/>
          <w:szCs w:val="17"/>
          <w:i w:val="1"/>
          <w:iCs w:val="1"/>
          <w:color w:val="auto"/>
        </w:rPr>
        <w:t>s behalf from time to time in other reports, filings with the Securities and Exchange Commission (</w:t>
      </w: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 xml:space="preserve">), news releases, conferences, website postings or otherwise) that are not statements of historical fact constitute </w:t>
      </w:r>
      <w:r>
        <w:rPr>
          <w:rFonts w:ascii="Arial" w:cs="Arial" w:eastAsia="Arial" w:hAnsi="Arial"/>
          <w:sz w:val="17"/>
          <w:szCs w:val="17"/>
          <w:color w:val="auto"/>
        </w:rPr>
        <w:t>“</w:t>
      </w: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within the meaning of the Private Securities Litigation Reform Act of 1995, Section 27A of the Securities Act of 1933, as amended (the </w:t>
      </w: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w:t>
      </w:r>
      <w:r>
        <w:rPr>
          <w:rFonts w:ascii="Arial" w:cs="Arial" w:eastAsia="Arial" w:hAnsi="Arial"/>
          <w:sz w:val="17"/>
          <w:szCs w:val="17"/>
          <w:i w:val="1"/>
          <w:iCs w:val="1"/>
          <w:color w:val="auto"/>
        </w:rPr>
        <w:t xml:space="preserve">), and Section 21E of the Exchange Act of 1934, as amended (the </w:t>
      </w: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notwithstanding that such statements are not specifically identified. Forward-looking statements include statements about the Company</w:t>
      </w:r>
      <w:r>
        <w:rPr>
          <w:rFonts w:ascii="Arial" w:cs="Arial" w:eastAsia="Arial" w:hAnsi="Arial"/>
          <w:sz w:val="17"/>
          <w:szCs w:val="17"/>
          <w:color w:val="auto"/>
        </w:rPr>
        <w:t>’</w:t>
      </w:r>
      <w:r>
        <w:rPr>
          <w:rFonts w:ascii="Arial" w:cs="Arial" w:eastAsia="Arial" w:hAnsi="Arial"/>
          <w:sz w:val="17"/>
          <w:szCs w:val="17"/>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Arial" w:cs="Arial" w:eastAsia="Arial" w:hAnsi="Arial"/>
          <w:sz w:val="17"/>
          <w:szCs w:val="17"/>
          <w:color w:val="auto"/>
        </w:rPr>
        <w:t>’</w:t>
      </w:r>
      <w:r>
        <w:rPr>
          <w:rFonts w:ascii="Arial" w:cs="Arial" w:eastAsia="Arial" w:hAnsi="Arial"/>
          <w:sz w:val="17"/>
          <w:szCs w:val="17"/>
          <w:i w:val="1"/>
          <w:iCs w:val="1"/>
          <w:color w:val="auto"/>
        </w:rPr>
        <w:t>s management as well as assumptions made by and information currently available to the Company</w:t>
      </w:r>
      <w:r>
        <w:rPr>
          <w:rFonts w:ascii="Arial" w:cs="Arial" w:eastAsia="Arial" w:hAnsi="Arial"/>
          <w:sz w:val="17"/>
          <w:szCs w:val="17"/>
          <w:color w:val="auto"/>
        </w:rPr>
        <w:t>’</w:t>
      </w:r>
      <w:r>
        <w:rPr>
          <w:rFonts w:ascii="Arial" w:cs="Arial" w:eastAsia="Arial" w:hAnsi="Arial"/>
          <w:sz w:val="17"/>
          <w:szCs w:val="17"/>
          <w:i w:val="1"/>
          <w:iCs w:val="1"/>
          <w:color w:val="auto"/>
        </w:rPr>
        <w:t xml:space="preserve">s management. Use of the words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intend</w:t>
      </w:r>
      <w:r>
        <w:rPr>
          <w:rFonts w:ascii="Arial" w:cs="Arial" w:eastAsia="Arial" w:hAnsi="Arial"/>
          <w:sz w:val="17"/>
          <w:szCs w:val="17"/>
          <w:color w:val="auto"/>
        </w:rPr>
        <w:t xml:space="preserve">” </w:t>
      </w:r>
      <w:r>
        <w:rPr>
          <w:rFonts w:ascii="Arial" w:cs="Arial" w:eastAsia="Arial" w:hAnsi="Arial"/>
          <w:sz w:val="17"/>
          <w:szCs w:val="17"/>
          <w:i w:val="1"/>
          <w:iCs w:val="1"/>
          <w:color w:val="auto"/>
        </w:rPr>
        <w:t>and words or phrases of similar import, as they relate to the Company or its subsidiaries or Company management, are intended to identify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w:t>
      </w:r>
      <w:r>
        <w:rPr>
          <w:rFonts w:ascii="Arial" w:cs="Arial" w:eastAsia="Arial" w:hAnsi="Arial"/>
          <w:sz w:val="18"/>
          <w:szCs w:val="18"/>
          <w:color w:val="auto"/>
        </w:rPr>
        <w:t>’</w:t>
      </w:r>
      <w:r>
        <w:rPr>
          <w:rFonts w:ascii="Arial" w:cs="Arial" w:eastAsia="Arial" w:hAnsi="Arial"/>
          <w:sz w:val="18"/>
          <w:szCs w:val="18"/>
          <w:b w:val="1"/>
          <w:bCs w:val="1"/>
          <w:color w:val="auto"/>
        </w:rPr>
        <w:t>S FILINGS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IC Bus, LLC. Hino</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Isuzu Motors Limited. Ford</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herein to “the Company,” “Rush Enterprises,” “we,” “our” or “us” mean Rush Enterprises, Inc., a Texas corporation, and its subsidiaries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Rush Truck Centers. </w:t>
      </w:r>
      <w:r>
        <w:rPr>
          <w:rFonts w:ascii="Arial" w:cs="Arial" w:eastAsia="Arial" w:hAnsi="Arial"/>
          <w:sz w:val="16"/>
          <w:szCs w:val="16"/>
          <w:color w:val="auto"/>
        </w:rPr>
        <w:t>Our Rush Truck Centers are located in Alabama, Arizona, Arkansas, California, Colorado, Florida, Georgia, Idaho, Illinois,</w:t>
      </w:r>
      <w:r>
        <w:rPr>
          <w:rFonts w:ascii="Arial" w:cs="Arial" w:eastAsia="Arial" w:hAnsi="Arial"/>
          <w:sz w:val="16"/>
          <w:szCs w:val="16"/>
          <w:i w:val="1"/>
          <w:iCs w:val="1"/>
          <w:color w:val="auto"/>
        </w:rPr>
        <w:t xml:space="preserve"> </w:t>
      </w:r>
      <w:r>
        <w:rPr>
          <w:rFonts w:ascii="Arial" w:cs="Arial" w:eastAsia="Arial" w:hAnsi="Arial"/>
          <w:sz w:val="16"/>
          <w:szCs w:val="16"/>
          <w:color w:val="auto"/>
        </w:rPr>
        <w:t>Indiana, Kansas, Kentucky, Missouri, Nevada, New Mexico, North Carolina, Ohio, Oklahoma, Pennsylvania, Tennessee, Texas, Utah, Virginia and Ontario, Canada. The following chart reflects our franchises and parts, service and collision repair operations by location as of February 15,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Truck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c>
          <w:tcPr>
            <w:tcW w:w="56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Rush Truck Center Location</w:t>
            </w:r>
          </w:p>
        </w:tc>
        <w:tc>
          <w:tcPr>
            <w:tcW w:w="3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Commercial Vehicle Franchise(s)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Center</w:t>
            </w:r>
          </w:p>
        </w:tc>
        <w:tc>
          <w:tcPr>
            <w:tcW w:w="560" w:type="dxa"/>
            <w:vAlign w:val="bottom"/>
          </w:tcPr>
          <w:p>
            <w:pPr>
              <w:spacing w:after="0"/>
              <w:rPr>
                <w:sz w:val="20"/>
                <w:szCs w:val="20"/>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Alabama</w:t>
            </w:r>
          </w:p>
        </w:tc>
        <w:tc>
          <w:tcPr>
            <w:tcW w:w="3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Birmingham</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w w:val="92"/>
              </w:rPr>
              <w:t>None</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w:t>
            </w:r>
          </w:p>
        </w:tc>
        <w:tc>
          <w:tcPr>
            <w:tcW w:w="3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Peterbilt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Arizona</w:t>
            </w:r>
          </w:p>
        </w:tc>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Flagstaff</w:t>
            </w:r>
          </w:p>
        </w:tc>
        <w:tc>
          <w:tcPr>
            <w:tcW w:w="3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Peterbilt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Phoenix</w:t>
            </w:r>
          </w:p>
        </w:tc>
        <w:tc>
          <w:tcPr>
            <w:tcW w:w="3860" w:type="dxa"/>
            <w:vAlign w:val="bottom"/>
          </w:tcPr>
          <w:p>
            <w:pPr>
              <w:jc w:val="center"/>
              <w:ind w:left="110"/>
              <w:spacing w:after="0"/>
              <w:rPr>
                <w:sz w:val="20"/>
                <w:szCs w:val="20"/>
                <w:color w:val="auto"/>
              </w:rPr>
            </w:pPr>
            <w:r>
              <w:rPr>
                <w:rFonts w:ascii="Arial" w:cs="Arial" w:eastAsia="Arial" w:hAnsi="Arial"/>
                <w:sz w:val="18"/>
                <w:szCs w:val="18"/>
                <w:color w:val="auto"/>
                <w:w w:val="93"/>
              </w:rPr>
              <w:t>Peterbilt, Hino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Phoenix East</w:t>
            </w:r>
          </w:p>
        </w:tc>
        <w:tc>
          <w:tcPr>
            <w:tcW w:w="3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Peterbilt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Tucson</w:t>
            </w:r>
          </w:p>
        </w:tc>
        <w:tc>
          <w:tcPr>
            <w:tcW w:w="3860" w:type="dxa"/>
            <w:vAlign w:val="bottom"/>
          </w:tcPr>
          <w:p>
            <w:pPr>
              <w:jc w:val="center"/>
              <w:ind w:left="110"/>
              <w:spacing w:after="0"/>
              <w:rPr>
                <w:sz w:val="20"/>
                <w:szCs w:val="20"/>
                <w:color w:val="auto"/>
              </w:rPr>
            </w:pPr>
            <w:r>
              <w:rPr>
                <w:rFonts w:ascii="Arial" w:cs="Arial" w:eastAsia="Arial" w:hAnsi="Arial"/>
                <w:sz w:val="18"/>
                <w:szCs w:val="18"/>
                <w:color w:val="auto"/>
                <w:w w:val="93"/>
              </w:rPr>
              <w:t>Peterbilt, Hino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Yuma</w:t>
            </w:r>
          </w:p>
        </w:tc>
        <w:tc>
          <w:tcPr>
            <w:tcW w:w="3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Peterbilt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Arkansas</w:t>
            </w:r>
          </w:p>
        </w:tc>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Jonesboro</w:t>
            </w:r>
          </w:p>
        </w:tc>
        <w:tc>
          <w:tcPr>
            <w:tcW w:w="3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International, IC Bus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Lowell</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w w:val="91"/>
              </w:rPr>
              <w:t>International, Isuzu, IC Bus, Dennis Eagle</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Little Rock</w:t>
            </w:r>
          </w:p>
        </w:tc>
        <w:tc>
          <w:tcPr>
            <w:tcW w:w="3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International, IC Bus, Dennis Eagle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Pine Bluff</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w w:val="91"/>
              </w:rPr>
              <w:t>International, IC Bus, Dennis Eagle</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Russellville</w:t>
            </w:r>
          </w:p>
        </w:tc>
        <w:tc>
          <w:tcPr>
            <w:tcW w:w="3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International, IC Bus, Dennis Eagle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Ceres</w:t>
            </w:r>
          </w:p>
        </w:tc>
        <w:tc>
          <w:tcPr>
            <w:tcW w:w="38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Ford</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Fontana Heavy-Duty</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Fontana Medium-Duty</w:t>
            </w:r>
          </w:p>
        </w:tc>
        <w:tc>
          <w:tcPr>
            <w:tcW w:w="38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Peterbilt, Hino, Isuzu</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Fontana Vocational</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w w:val="92"/>
              </w:rPr>
              <w:t>None</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20"/>
                <w:szCs w:val="20"/>
                <w:color w:val="auto"/>
              </w:rPr>
            </w:pPr>
          </w:p>
        </w:tc>
      </w:tr>
      <w:tr>
        <w:trPr>
          <w:trHeight w:val="418"/>
        </w:trPr>
        <w:tc>
          <w:tcPr>
            <w:tcW w:w="3380" w:type="dxa"/>
            <w:vAlign w:val="bottom"/>
          </w:tcPr>
          <w:p>
            <w:pPr>
              <w:spacing w:after="0"/>
              <w:rPr>
                <w:sz w:val="24"/>
                <w:szCs w:val="24"/>
                <w:color w:val="auto"/>
              </w:rPr>
            </w:pPr>
          </w:p>
        </w:tc>
        <w:tc>
          <w:tcPr>
            <w:tcW w:w="3860" w:type="dxa"/>
            <w:vAlign w:val="bottom"/>
          </w:tcPr>
          <w:p>
            <w:pPr>
              <w:jc w:val="right"/>
              <w:ind w:right="1490"/>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2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Truck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38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Commercial Vehicle Franchise(s)</w:t>
            </w: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4"/>
              </w:rPr>
              <w:t>Sales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33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Long Beach</w:t>
            </w:r>
          </w:p>
        </w:tc>
        <w:tc>
          <w:tcPr>
            <w:tcW w:w="3820" w:type="dxa"/>
            <w:vAlign w:val="bottom"/>
            <w:shd w:val="clear" w:color="auto" w:fill="CCEEFF"/>
          </w:tcPr>
          <w:p>
            <w:pPr>
              <w:jc w:val="center"/>
              <w:ind w:left="290"/>
              <w:spacing w:after="0" w:line="196" w:lineRule="exact"/>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5"/>
              </w:rPr>
              <w:t>No</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Los Angeles</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Diego</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Peterbilt, Hino, Ford</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Sylmar</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Victorville</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Whittier</w:t>
            </w:r>
          </w:p>
        </w:tc>
        <w:tc>
          <w:tcPr>
            <w:tcW w:w="3820" w:type="dxa"/>
            <w:vAlign w:val="bottom"/>
          </w:tcPr>
          <w:p>
            <w:pPr>
              <w:jc w:val="center"/>
              <w:ind w:left="310"/>
              <w:spacing w:after="0"/>
              <w:rPr>
                <w:sz w:val="20"/>
                <w:szCs w:val="20"/>
                <w:color w:val="auto"/>
              </w:rPr>
            </w:pPr>
            <w:r>
              <w:rPr>
                <w:rFonts w:ascii="Arial" w:cs="Arial" w:eastAsia="Arial" w:hAnsi="Arial"/>
                <w:sz w:val="18"/>
                <w:szCs w:val="18"/>
                <w:color w:val="auto"/>
                <w:w w:val="91"/>
              </w:rPr>
              <w:t>Ford, Isuzu</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Colorado</w:t>
            </w: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Colorado Springs</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Denver</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Peterbilt, Ford, Isuzu</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Greeley</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Pueblo</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Florida</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Haines City</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Jacksonville</w:t>
            </w:r>
          </w:p>
        </w:tc>
        <w:tc>
          <w:tcPr>
            <w:tcW w:w="3820" w:type="dxa"/>
            <w:vAlign w:val="bottom"/>
          </w:tcPr>
          <w:p>
            <w:pPr>
              <w:jc w:val="center"/>
              <w:ind w:left="310"/>
              <w:spacing w:after="0"/>
              <w:rPr>
                <w:sz w:val="20"/>
                <w:szCs w:val="20"/>
                <w:color w:val="auto"/>
              </w:rPr>
            </w:pPr>
            <w:r>
              <w:rPr>
                <w:rFonts w:ascii="Arial" w:cs="Arial" w:eastAsia="Arial" w:hAnsi="Arial"/>
                <w:sz w:val="18"/>
                <w:szCs w:val="18"/>
                <w:color w:val="auto"/>
                <w:w w:val="93"/>
              </w:rPr>
              <w:t>Peterbilt, Hino</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Jacksonville East</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Lake City</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Miami</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None</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Orlando Heavy-Duty</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Peterbilt, Isuzu</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Orlando Light &amp; Medium-Duty</w:t>
            </w:r>
          </w:p>
        </w:tc>
        <w:tc>
          <w:tcPr>
            <w:tcW w:w="38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Ford</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Orlando North</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Isuzu</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Orlando South</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Isuzu</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Tampa</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Georgia</w:t>
            </w: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Atlanta</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 Hino, Isuzu,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Atlanta Bus Center</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6"/>
              </w:rPr>
              <w:t>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Augusta</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3"/>
              </w:rPr>
              <w:t>International,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Columbus</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 Isuzu,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Doraville</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 Hino, Isuzu,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Gainesville</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International,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Macon</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Smyrna</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 Hino, Isuzu,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Tifton</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3"/>
              </w:rPr>
              <w:t>International,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Valdosta</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Idaho</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Boise</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International, Hino,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Idaho Falls</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3"/>
              </w:rPr>
              <w:t>International,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Lewiston</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Twin Falls</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Bloomington</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3"/>
              </w:rPr>
              <w:t>International, Hino</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Carol Stream</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Champaign</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Chicago</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Effingham</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Elk Grove</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Hino, Isuzu</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Huntley</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Joliet</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Quincy</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Springfield</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Indiana</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Gary</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Indianapolis</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Kansas</w:t>
            </w: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Olathe</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Hino, Isuzu, Dennis Eagle</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Salina</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International, Dennis Eagle</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Topeka</w:t>
            </w:r>
          </w:p>
        </w:tc>
        <w:tc>
          <w:tcPr>
            <w:tcW w:w="3820" w:type="dxa"/>
            <w:vAlign w:val="bottom"/>
          </w:tcPr>
          <w:p>
            <w:pPr>
              <w:jc w:val="center"/>
              <w:ind w:left="290"/>
              <w:spacing w:after="0"/>
              <w:rPr>
                <w:sz w:val="20"/>
                <w:szCs w:val="20"/>
                <w:color w:val="auto"/>
              </w:rPr>
            </w:pPr>
            <w:r>
              <w:rPr>
                <w:rFonts w:ascii="Arial" w:cs="Arial" w:eastAsia="Arial" w:hAnsi="Arial"/>
                <w:sz w:val="18"/>
                <w:szCs w:val="18"/>
                <w:color w:val="auto"/>
                <w:w w:val="90"/>
              </w:rPr>
              <w:t>International, Dennis Eagle</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Wichita</w:t>
            </w:r>
          </w:p>
        </w:tc>
        <w:tc>
          <w:tcPr>
            <w:tcW w:w="38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International, Dennis Eagle</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1900" w:h="16838" w:orient="portrait"/>
          <w:cols w:equalWidth="0" w:num="1">
            <w:col w:w="10680"/>
          </w:cols>
          <w:pgMar w:left="320" w:top="108" w:right="899" w:bottom="1440" w:gutter="0" w:footer="0" w:header="0"/>
        </w:sectPr>
      </w:pP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08" w:right="8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2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Truck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43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Commercial Vehicle Franchise(s)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Kentucky</w:t>
            </w:r>
          </w:p>
        </w:tc>
        <w:tc>
          <w:tcPr>
            <w:tcW w:w="4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Bowling Green</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Missouri</w:t>
            </w:r>
          </w:p>
        </w:tc>
        <w:tc>
          <w:tcPr>
            <w:tcW w:w="4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Cape Girardeau</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Jefferson City</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Joplin</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Kansas City</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Kansas City Used Trucks</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2"/>
              </w:rPr>
              <w:t>None</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 Joseph</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St. Louis</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 Peters</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Springfield</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International, Isuzu, Dennis Eagle</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 Plains</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International, Dennis Eagle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Nevada</w:t>
            </w:r>
          </w:p>
        </w:tc>
        <w:tc>
          <w:tcPr>
            <w:tcW w:w="4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Las Vegas</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New Mexico</w:t>
            </w:r>
          </w:p>
        </w:tc>
        <w:tc>
          <w:tcPr>
            <w:tcW w:w="4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Albuquerque</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Farmington</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Las Cruces</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North Carolina</w:t>
            </w:r>
          </w:p>
        </w:tc>
        <w:tc>
          <w:tcPr>
            <w:tcW w:w="4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Asheville</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Charlotte</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2"/>
              </w:rPr>
              <w:t>International, Hino, Isuzu</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Hickory</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Ohio</w:t>
            </w:r>
          </w:p>
        </w:tc>
        <w:tc>
          <w:tcPr>
            <w:tcW w:w="4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Akron</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International,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Cincinnati</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2"/>
              </w:rPr>
              <w:t>International, IC Bus, Isuzu, Ford</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Cleveland</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International,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Columbus</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2"/>
              </w:rPr>
              <w:t>International, IC Bus, Isuzu(1)</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Dayton</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International, IC Bus, Isuzu</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Lima</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3"/>
              </w:rPr>
              <w:t>International, IC Bus</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Oklahoma</w:t>
            </w:r>
          </w:p>
        </w:tc>
        <w:tc>
          <w:tcPr>
            <w:tcW w:w="4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Ardmore</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Oklahoma City</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Peterbilt, Hino, Ford, Isuzu</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Tulsa</w:t>
            </w:r>
          </w:p>
        </w:tc>
        <w:tc>
          <w:tcPr>
            <w:tcW w:w="4300" w:type="dxa"/>
            <w:vAlign w:val="bottom"/>
          </w:tcPr>
          <w:p>
            <w:pPr>
              <w:jc w:val="center"/>
              <w:ind w:left="430"/>
              <w:spacing w:after="0"/>
              <w:rPr>
                <w:sz w:val="20"/>
                <w:szCs w:val="20"/>
                <w:color w:val="auto"/>
              </w:rPr>
            </w:pPr>
            <w:r>
              <w:rPr>
                <w:rFonts w:ascii="Arial" w:cs="Arial" w:eastAsia="Arial" w:hAnsi="Arial"/>
                <w:sz w:val="18"/>
                <w:szCs w:val="18"/>
                <w:color w:val="auto"/>
                <w:w w:val="93"/>
              </w:rPr>
              <w:t>Peterbilt, Hino</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Pennsylvania</w:t>
            </w:r>
          </w:p>
        </w:tc>
        <w:tc>
          <w:tcPr>
            <w:tcW w:w="4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Greencastle</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2"/>
              </w:rPr>
              <w:t>None</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Tennessee</w:t>
            </w:r>
          </w:p>
        </w:tc>
        <w:tc>
          <w:tcPr>
            <w:tcW w:w="4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Memphis</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International, Isuzu, Dennis Eagle</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Memphis Used Trucks</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None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Nashville</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4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Abilene</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Amarillo</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Arlington</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5"/>
              </w:rPr>
              <w:t>Peterbilt, Blue Bird, Micro Bird, Elkhart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3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Austin</w:t>
            </w:r>
          </w:p>
        </w:tc>
        <w:tc>
          <w:tcPr>
            <w:tcW w:w="4300" w:type="dxa"/>
            <w:vAlign w:val="bottom"/>
            <w:shd w:val="clear" w:color="auto" w:fill="CCEEFF"/>
          </w:tcPr>
          <w:p>
            <w:pPr>
              <w:jc w:val="center"/>
              <w:ind w:left="41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12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Elkhart</w:t>
            </w:r>
          </w:p>
        </w:tc>
        <w:tc>
          <w:tcPr>
            <w:tcW w:w="10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Austin North</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Beaumont</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Brownsville</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3"/>
              </w:rPr>
              <w:t>Peterbilt, Elkhart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College Station</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Corpus Christi</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3"/>
              </w:rPr>
              <w:t>Peterbilt, Hino, Isuzu, Blue Bird, Elkhart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Cotulla</w:t>
            </w:r>
          </w:p>
        </w:tc>
        <w:tc>
          <w:tcPr>
            <w:tcW w:w="43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8"/>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Dalhart</w:t>
            </w:r>
          </w:p>
        </w:tc>
        <w:tc>
          <w:tcPr>
            <w:tcW w:w="43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ind w:left="5580" w:right="1840" w:hanging="3415"/>
        <w:spacing w:after="0" w:line="509" w:lineRule="auto"/>
        <w:tabs>
          <w:tab w:leader="none" w:pos="278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Isuzu franchise is operated out of our Rush Truck Leasing - Columbus location.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08" w:right="8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Truck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c>
          <w:tcPr>
            <w:tcW w:w="560" w:type="dxa"/>
            <w:vAlign w:val="bottom"/>
          </w:tcPr>
          <w:p>
            <w:pPr>
              <w:spacing w:after="0"/>
              <w:rPr>
                <w:sz w:val="18"/>
                <w:szCs w:val="18"/>
                <w:color w:val="auto"/>
              </w:rPr>
            </w:pPr>
          </w:p>
        </w:tc>
      </w:tr>
      <w:tr>
        <w:trPr>
          <w:trHeight w:val="234"/>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43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9"/>
              </w:rPr>
              <w:t>Commercial Vehicle Franchise(s)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Center</w:t>
            </w:r>
          </w:p>
        </w:tc>
        <w:tc>
          <w:tcPr>
            <w:tcW w:w="560" w:type="dxa"/>
            <w:vAlign w:val="bottom"/>
          </w:tcPr>
          <w:p>
            <w:pPr>
              <w:spacing w:after="0"/>
              <w:rPr>
                <w:sz w:val="20"/>
                <w:szCs w:val="20"/>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30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Dallas Heavy-Duty</w:t>
            </w:r>
          </w:p>
        </w:tc>
        <w:tc>
          <w:tcPr>
            <w:tcW w:w="4320" w:type="dxa"/>
            <w:vAlign w:val="bottom"/>
            <w:shd w:val="clear" w:color="auto" w:fill="CCEEFF"/>
          </w:tcPr>
          <w:p>
            <w:pPr>
              <w:jc w:val="center"/>
              <w:ind w:left="350"/>
              <w:spacing w:after="0" w:line="196" w:lineRule="exact"/>
              <w:rPr>
                <w:sz w:val="20"/>
                <w:szCs w:val="20"/>
                <w:color w:val="auto"/>
              </w:rPr>
            </w:pPr>
            <w:r>
              <w:rPr>
                <w:rFonts w:ascii="Arial" w:cs="Arial" w:eastAsia="Arial" w:hAnsi="Arial"/>
                <w:sz w:val="18"/>
                <w:szCs w:val="18"/>
                <w:color w:val="auto"/>
                <w:w w:val="95"/>
              </w:rPr>
              <w:t>Peterbilt, Blue Bird, Micro Bird, Elkhart</w:t>
            </w:r>
          </w:p>
        </w:tc>
        <w:tc>
          <w:tcPr>
            <w:tcW w:w="9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7"/>
                <w:szCs w:val="17"/>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Dallas Medium-Duty</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Dallas Light &amp; Medium-Duty</w:t>
            </w:r>
          </w:p>
        </w:tc>
        <w:tc>
          <w:tcPr>
            <w:tcW w:w="4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Ford, Isuzu</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Dallas South</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 Paso</w:t>
            </w:r>
          </w:p>
        </w:tc>
        <w:tc>
          <w:tcPr>
            <w:tcW w:w="4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Peterbilt, Hino, Isuzu</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Fort Worth</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Houston Medium-Duty</w:t>
            </w:r>
          </w:p>
        </w:tc>
        <w:tc>
          <w:tcPr>
            <w:tcW w:w="4320" w:type="dxa"/>
            <w:vAlign w:val="bottom"/>
          </w:tcPr>
          <w:p>
            <w:pPr>
              <w:jc w:val="center"/>
              <w:ind w:left="370"/>
              <w:spacing w:after="0"/>
              <w:rPr>
                <w:sz w:val="20"/>
                <w:szCs w:val="20"/>
                <w:color w:val="auto"/>
              </w:rPr>
            </w:pPr>
            <w:r>
              <w:rPr>
                <w:rFonts w:ascii="Arial" w:cs="Arial" w:eastAsia="Arial" w:hAnsi="Arial"/>
                <w:sz w:val="18"/>
                <w:szCs w:val="18"/>
                <w:color w:val="auto"/>
                <w:w w:val="93"/>
              </w:rPr>
              <w:t>Peterbilt, Hino</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Laredo</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Lubbock</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Lufkin</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Odessa</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Pharr</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Wichita Falls</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Antonio</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5"/>
              </w:rPr>
              <w:t>Peterbilt, Hino, Blue Bird, Micro Bird, Elkhart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Sealy</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4"/>
              </w:rPr>
              <w:t>Peterbilt, Isuzu, Blue Bird, Micro Bird, Elkhart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02"/>
        </w:trPr>
        <w:tc>
          <w:tcPr>
            <w:tcW w:w="30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Texarkana</w:t>
            </w:r>
          </w:p>
        </w:tc>
        <w:tc>
          <w:tcPr>
            <w:tcW w:w="432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7"/>
                <w:szCs w:val="17"/>
                <w:color w:val="auto"/>
              </w:rPr>
            </w:pPr>
          </w:p>
        </w:tc>
      </w:tr>
      <w:tr>
        <w:trPr>
          <w:trHeight w:val="230"/>
        </w:trPr>
        <w:tc>
          <w:tcPr>
            <w:tcW w:w="1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Elkhart</w:t>
            </w: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Tyler</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5"/>
              </w:rPr>
              <w:t>Peterbilt, Blue Bird, Micro Bird, Elkhart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Victoria</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02"/>
        </w:trPr>
        <w:tc>
          <w:tcPr>
            <w:tcW w:w="30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Waco</w:t>
            </w:r>
          </w:p>
        </w:tc>
        <w:tc>
          <w:tcPr>
            <w:tcW w:w="432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7"/>
                <w:szCs w:val="17"/>
                <w:color w:val="auto"/>
              </w:rPr>
            </w:pPr>
          </w:p>
        </w:tc>
      </w:tr>
      <w:tr>
        <w:trPr>
          <w:trHeight w:val="230"/>
        </w:trPr>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2"/>
              </w:rPr>
              <w:t>Elkhart</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Wichita Falls</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Utah</w:t>
            </w:r>
          </w:p>
        </w:tc>
        <w:tc>
          <w:tcPr>
            <w:tcW w:w="4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Ogden</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Salt Lake City</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Springville</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International</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St. George</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2"/>
              </w:rPr>
              <w:t>International</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Virginia</w:t>
            </w:r>
          </w:p>
        </w:tc>
        <w:tc>
          <w:tcPr>
            <w:tcW w:w="4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Chester</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Hino</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Richmond</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International</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Ontario, Canada</w:t>
            </w:r>
          </w:p>
        </w:tc>
        <w:tc>
          <w:tcPr>
            <w:tcW w:w="4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Belleville</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Cornwall</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2"/>
              </w:rPr>
              <w:t>None</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Kemptville</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Kingston</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Markham</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Mississauga</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Oshawa</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Ottawa East</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Ottawa West</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None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Pembroke</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Sault Saint Marie</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St. Catharines</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Sudbury</w:t>
            </w:r>
          </w:p>
        </w:tc>
        <w:tc>
          <w:tcPr>
            <w:tcW w:w="43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Timmins</w:t>
            </w:r>
          </w:p>
        </w:tc>
        <w:tc>
          <w:tcPr>
            <w:tcW w:w="4320" w:type="dxa"/>
            <w:vAlign w:val="bottom"/>
          </w:tcPr>
          <w:p>
            <w:pPr>
              <w:jc w:val="center"/>
              <w:ind w:left="35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20" w:type="dxa"/>
            <w:vAlign w:val="bottom"/>
          </w:tcPr>
          <w:p>
            <w:pPr>
              <w:jc w:val="right"/>
              <w:ind w:right="159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Leasing and Rental Services. </w:t>
      </w:r>
      <w:r>
        <w:rPr>
          <w:rFonts w:ascii="Arial" w:cs="Arial" w:eastAsia="Arial" w:hAnsi="Arial"/>
          <w:sz w:val="17"/>
          <w:szCs w:val="17"/>
          <w:color w:val="auto"/>
        </w:rPr>
        <w:t>Through certain of our Rush Truck Centers and several stand-alone Rush Truck Leasing locations, we provide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line of product selections for lease or rent, including Class 4 through Class 8 commercial vehicles, heavy-duty cranes and refuse vehicles. Our lease and rental fleets are offered to customers on a daily, monthly or long-term basis. Substantially all of our long-term leases also contain a service provision, whereby we agree to service the vehicle through the life of the lease. The following chart reflects our leasing brands by location: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20" w:type="dxa"/>
            <w:vAlign w:val="bottom"/>
          </w:tcPr>
          <w:p>
            <w:pPr>
              <w:ind w:left="780"/>
              <w:spacing w:after="0"/>
              <w:rPr>
                <w:sz w:val="20"/>
                <w:szCs w:val="20"/>
                <w:color w:val="auto"/>
              </w:rPr>
            </w:pPr>
            <w:r>
              <w:rPr>
                <w:rFonts w:ascii="Arial" w:cs="Arial" w:eastAsia="Arial" w:hAnsi="Arial"/>
                <w:sz w:val="18"/>
                <w:szCs w:val="18"/>
                <w:b w:val="1"/>
                <w:bCs w:val="1"/>
                <w:color w:val="auto"/>
              </w:rPr>
              <w:t>Rush Truck Leasing</w:t>
            </w:r>
          </w:p>
        </w:tc>
        <w:tc>
          <w:tcPr>
            <w:tcW w:w="2100" w:type="dxa"/>
            <w:vAlign w:val="bottom"/>
          </w:tcPr>
          <w:p>
            <w:pPr>
              <w:spacing w:after="0"/>
              <w:rPr>
                <w:sz w:val="18"/>
                <w:szCs w:val="18"/>
                <w:color w:val="auto"/>
              </w:rPr>
            </w:pPr>
          </w:p>
        </w:tc>
        <w:tc>
          <w:tcPr>
            <w:tcW w:w="26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Standalone or in a</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12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Location</w:t>
            </w:r>
          </w:p>
        </w:tc>
        <w:tc>
          <w:tcPr>
            <w:tcW w:w="210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Brand</w:t>
            </w:r>
          </w:p>
        </w:tc>
        <w:tc>
          <w:tcPr>
            <w:tcW w:w="26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Rush Truck Center</w:t>
            </w: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Alabama</w:t>
            </w:r>
          </w:p>
        </w:tc>
        <w:tc>
          <w:tcPr>
            <w:tcW w:w="21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Birmingham</w:t>
            </w:r>
          </w:p>
        </w:tc>
        <w:tc>
          <w:tcPr>
            <w:tcW w:w="2100" w:type="dxa"/>
            <w:vAlign w:val="bottom"/>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Arizona</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Phoenix</w:t>
            </w:r>
          </w:p>
        </w:tc>
        <w:tc>
          <w:tcPr>
            <w:tcW w:w="2100" w:type="dxa"/>
            <w:vAlign w:val="bottom"/>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Arkansas</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North Little Rock</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Lowell</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2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Fontana</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Pico Rivera</w:t>
            </w:r>
          </w:p>
        </w:tc>
        <w:tc>
          <w:tcPr>
            <w:tcW w:w="2100" w:type="dxa"/>
            <w:vAlign w:val="bottom"/>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San Diego</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Sylmar</w:t>
            </w:r>
          </w:p>
        </w:tc>
        <w:tc>
          <w:tcPr>
            <w:tcW w:w="2100" w:type="dxa"/>
            <w:vAlign w:val="bottom"/>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Colorado</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Denver</w:t>
            </w:r>
          </w:p>
        </w:tc>
        <w:tc>
          <w:tcPr>
            <w:tcW w:w="2100" w:type="dxa"/>
            <w:vAlign w:val="bottom"/>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Florida</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Orlando</w:t>
            </w:r>
          </w:p>
        </w:tc>
        <w:tc>
          <w:tcPr>
            <w:tcW w:w="2100" w:type="dxa"/>
            <w:vAlign w:val="bottom"/>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Tampa</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Jacksonville</w:t>
            </w:r>
          </w:p>
        </w:tc>
        <w:tc>
          <w:tcPr>
            <w:tcW w:w="2100" w:type="dxa"/>
            <w:vAlign w:val="bottom"/>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Georgia</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Augusta</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Macon</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Idaho</w:t>
            </w:r>
          </w:p>
        </w:tc>
        <w:tc>
          <w:tcPr>
            <w:tcW w:w="2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Boise</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Idaho Falls</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Carol Stream</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Chicago</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Effingham</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Huntley</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Joliet</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Springfield</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Indiana</w:t>
            </w:r>
          </w:p>
        </w:tc>
        <w:tc>
          <w:tcPr>
            <w:tcW w:w="2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Indianapolis</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Gary</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Kansas</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Kansas City</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Salina</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Wichita</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Missouri</w:t>
            </w:r>
          </w:p>
        </w:tc>
        <w:tc>
          <w:tcPr>
            <w:tcW w:w="2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Joplin</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 Louis</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St. Peters</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Springfield</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New Mexico</w:t>
            </w:r>
          </w:p>
        </w:tc>
        <w:tc>
          <w:tcPr>
            <w:tcW w:w="2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Albuquerque</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Nevada</w:t>
            </w:r>
          </w:p>
        </w:tc>
        <w:tc>
          <w:tcPr>
            <w:tcW w:w="2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Las Vegas</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PacLease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North Carolina</w:t>
            </w:r>
          </w:p>
        </w:tc>
        <w:tc>
          <w:tcPr>
            <w:tcW w:w="2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Asheville</w:t>
            </w:r>
          </w:p>
        </w:tc>
        <w:tc>
          <w:tcPr>
            <w:tcW w:w="2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Charlotte</w:t>
            </w:r>
          </w:p>
        </w:tc>
        <w:tc>
          <w:tcPr>
            <w:tcW w:w="2100" w:type="dxa"/>
            <w:vAlign w:val="bottom"/>
          </w:tcPr>
          <w:p>
            <w:pPr>
              <w:ind w:left="780"/>
              <w:spacing w:after="0"/>
              <w:rPr>
                <w:sz w:val="20"/>
                <w:szCs w:val="20"/>
                <w:color w:val="auto"/>
              </w:rPr>
            </w:pPr>
            <w:r>
              <w:rPr>
                <w:rFonts w:ascii="Arial" w:cs="Arial" w:eastAsia="Arial" w:hAnsi="Arial"/>
                <w:sz w:val="18"/>
                <w:szCs w:val="18"/>
                <w:color w:val="auto"/>
              </w:rPr>
              <w:t>Idealease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1680" w:type="dxa"/>
            <w:vAlign w:val="bottom"/>
          </w:tcPr>
          <w:p>
            <w:pPr>
              <w:spacing w:after="0"/>
              <w:rPr>
                <w:sz w:val="20"/>
                <w:szCs w:val="20"/>
                <w:color w:val="auto"/>
              </w:rPr>
            </w:pPr>
          </w:p>
        </w:tc>
      </w:tr>
      <w:tr>
        <w:trPr>
          <w:trHeight w:val="418"/>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00" w:type="dxa"/>
            <w:vAlign w:val="bottom"/>
          </w:tcPr>
          <w:p>
            <w:pPr>
              <w:ind w:left="760"/>
              <w:spacing w:after="0"/>
              <w:rPr>
                <w:sz w:val="20"/>
                <w:szCs w:val="20"/>
                <w:color w:val="auto"/>
              </w:rPr>
            </w:pPr>
            <w:r>
              <w:rPr>
                <w:rFonts w:ascii="Arial" w:cs="Arial" w:eastAsia="Arial" w:hAnsi="Arial"/>
                <w:sz w:val="18"/>
                <w:szCs w:val="18"/>
                <w:color w:val="auto"/>
              </w:rPr>
              <w:t>9</w:t>
            </w: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40"/>
        </w:trPr>
        <w:tc>
          <w:tcPr>
            <w:tcW w:w="20" w:type="dxa"/>
            <w:vAlign w:val="bottom"/>
            <w:tcBorders>
              <w:bottom w:val="single" w:sz="8" w:color="auto"/>
            </w:tcBorders>
          </w:tcPr>
          <w:p>
            <w:pPr>
              <w:spacing w:after="0"/>
              <w:rPr>
                <w:sz w:val="3"/>
                <w:szCs w:val="3"/>
                <w:color w:val="auto"/>
              </w:rPr>
            </w:pPr>
          </w:p>
        </w:tc>
        <w:tc>
          <w:tcPr>
            <w:tcW w:w="2700" w:type="dxa"/>
            <w:vAlign w:val="bottom"/>
            <w:tcBorders>
              <w:top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tcBorders>
          </w:tcPr>
          <w:p>
            <w:pPr>
              <w:spacing w:after="0"/>
              <w:rPr>
                <w:sz w:val="3"/>
                <w:szCs w:val="3"/>
                <w:color w:val="auto"/>
              </w:rPr>
            </w:pPr>
          </w:p>
        </w:tc>
        <w:tc>
          <w:tcPr>
            <w:tcW w:w="2640" w:type="dxa"/>
            <w:vAlign w:val="bottom"/>
            <w:tcBorders>
              <w:top w:val="single" w:sz="8" w:color="auto"/>
              <w:bottom w:val="single" w:sz="8" w:color="auto"/>
            </w:tcBorders>
          </w:tcPr>
          <w:p>
            <w:pPr>
              <w:spacing w:after="0"/>
              <w:rPr>
                <w:sz w:val="3"/>
                <w:szCs w:val="3"/>
                <w:color w:val="auto"/>
              </w:rPr>
            </w:pPr>
          </w:p>
        </w:tc>
      </w:tr>
      <w:tr>
        <w:trPr>
          <w:trHeight w:val="178"/>
        </w:trPr>
        <w:tc>
          <w:tcPr>
            <w:tcW w:w="27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Rush Truck Leasing</w:t>
            </w:r>
          </w:p>
        </w:tc>
        <w:tc>
          <w:tcPr>
            <w:tcW w:w="2500" w:type="dxa"/>
            <w:vAlign w:val="bottom"/>
          </w:tcPr>
          <w:p>
            <w:pPr>
              <w:spacing w:after="0"/>
              <w:rPr>
                <w:sz w:val="15"/>
                <w:szCs w:val="15"/>
                <w:color w:val="auto"/>
              </w:rPr>
            </w:pPr>
          </w:p>
        </w:tc>
        <w:tc>
          <w:tcPr>
            <w:tcW w:w="2640" w:type="dxa"/>
            <w:vAlign w:val="bottom"/>
          </w:tcPr>
          <w:p>
            <w:pPr>
              <w:jc w:val="center"/>
              <w:ind w:left="30"/>
              <w:spacing w:after="0" w:line="178" w:lineRule="exact"/>
              <w:rPr>
                <w:sz w:val="20"/>
                <w:szCs w:val="20"/>
                <w:color w:val="auto"/>
              </w:rPr>
            </w:pPr>
            <w:r>
              <w:rPr>
                <w:rFonts w:ascii="Arial" w:cs="Arial" w:eastAsia="Arial" w:hAnsi="Arial"/>
                <w:sz w:val="18"/>
                <w:szCs w:val="18"/>
                <w:b w:val="1"/>
                <w:bCs w:val="1"/>
                <w:color w:val="auto"/>
                <w:w w:val="89"/>
              </w:rPr>
              <w:t>Standalone or in a</w:t>
            </w:r>
          </w:p>
        </w:tc>
      </w:tr>
      <w:tr>
        <w:trPr>
          <w:trHeight w:val="23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50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Brand</w:t>
            </w:r>
          </w:p>
        </w:tc>
        <w:tc>
          <w:tcPr>
            <w:tcW w:w="26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Rush Truck Center</w:t>
            </w: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Ohio</w:t>
            </w:r>
          </w:p>
        </w:tc>
        <w:tc>
          <w:tcPr>
            <w:tcW w:w="25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Cincinnati</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Cleveland</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Columbus</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Dayton</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Oklahoma</w:t>
            </w:r>
          </w:p>
        </w:tc>
        <w:tc>
          <w:tcPr>
            <w:tcW w:w="25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Oklahoma City</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25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Memphis</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Nashville</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25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Austin</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 Paso</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Arlington</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Houston</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Houston NW</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Odessa</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San Antonio</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Tyler</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4"/>
              </w:rPr>
              <w:t>PacLease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Virginia</w:t>
            </w:r>
          </w:p>
        </w:tc>
        <w:tc>
          <w:tcPr>
            <w:tcW w:w="25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Richmond</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Norfolk</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25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Salt Lake City</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Ontario, Canada</w:t>
            </w:r>
          </w:p>
        </w:tc>
        <w:tc>
          <w:tcPr>
            <w:tcW w:w="25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Markham</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Mississauga</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Oshawa</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Ottawa</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St. Catharines</w:t>
            </w:r>
          </w:p>
        </w:tc>
        <w:tc>
          <w:tcPr>
            <w:tcW w:w="2500" w:type="dxa"/>
            <w:vAlign w:val="bottom"/>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Sudbury</w:t>
            </w:r>
          </w:p>
        </w:tc>
        <w:tc>
          <w:tcPr>
            <w:tcW w:w="25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Idealease</w:t>
            </w:r>
          </w:p>
        </w:tc>
        <w:tc>
          <w:tcPr>
            <w:tcW w:w="26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locations in the above table, Rush Truck Leasing also provides full-service maintenance on customers’ vehicles at several of our customers’ facilities.</w:t>
      </w:r>
    </w:p>
    <w:p>
      <w:pPr>
        <w:spacing w:after="0" w:line="170"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Rush Truck Centers, we offer third</w:t>
      </w:r>
      <w:r>
        <w:rPr>
          <w:rFonts w:ascii="MS PGothic" w:cs="MS PGothic" w:eastAsia="MS PGothic" w:hAnsi="MS PGothic"/>
          <w:sz w:val="18"/>
          <w:szCs w:val="18"/>
          <w:color w:val="auto"/>
        </w:rPr>
        <w:t>‑</w:t>
      </w:r>
      <w:r>
        <w:rPr>
          <w:rFonts w:ascii="Arial" w:cs="Arial" w:eastAsia="Arial" w:hAnsi="Arial"/>
          <w:sz w:val="18"/>
          <w:szCs w:val="18"/>
          <w:color w:val="auto"/>
        </w:rPr>
        <w:t>party financing to assist customers in purchasing new and 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20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Other Businesses. </w:t>
      </w:r>
      <w:r>
        <w:rPr>
          <w:rFonts w:ascii="Arial" w:cs="Arial" w:eastAsia="Arial" w:hAnsi="Arial"/>
          <w:sz w:val="16"/>
          <w:szCs w:val="16"/>
          <w:color w:val="auto"/>
        </w:rPr>
        <w:t>Perfection Equipment offers installation of equipment, equipment repair, parts installation, and paint and body repair at our</w:t>
      </w:r>
      <w:r>
        <w:rPr>
          <w:rFonts w:ascii="Arial" w:cs="Arial" w:eastAsia="Arial" w:hAnsi="Arial"/>
          <w:sz w:val="16"/>
          <w:szCs w:val="16"/>
          <w:i w:val="1"/>
          <w:iCs w:val="1"/>
          <w:color w:val="auto"/>
        </w:rPr>
        <w:t xml:space="preserve"> </w:t>
      </w:r>
      <w:r>
        <w:rPr>
          <w:rFonts w:ascii="Arial" w:cs="Arial" w:eastAsia="Arial" w:hAnsi="Arial"/>
          <w:sz w:val="16"/>
          <w:szCs w:val="16"/>
          <w:color w:val="auto"/>
        </w:rPr>
        <w:t>location in Oklahoma City. Perfection Equipment specializes in up-fitting trucks used by oilfield service providers and other specialized service providers.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Custom Vehicle Solutions operates at locations in Denton, Texas and Greencastle, Pennsylvania. Custom Vehicle Solutions provides new vehicle pre-delivery inspections, truck modifications, natural gas fuel system installations, body and chassis upfitting and component installation.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House of Trucks operates at locations in Dallas, Texas and Chicago, Illinois. The House of Trucks sells used commercial vehicles, new and used trailers and offers third-party financing and insurance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World Wide Tires store operates in Houston, Texas. World Wide Tires primarily sells tires for use on commercial vehicles.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Effective January 2022, we sold 50% of our equity interest in Momentum Fuel Technologies to a subsidiary of Cummins, Inc. and we are now operating the business, Cummins Clean Fuel Technologies, as a joint venture with Cummins. The joint venture manufactures compressed natural gas fuel systems and related component parts for commercial vehicles at its facility in Roanoke, Texas.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dealership network that provides service solutions to the commercial vehicle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United States and Ontario, Canada. Our strategy includes the following key elements:</w:t>
      </w:r>
    </w:p>
    <w:p>
      <w:pPr>
        <w:spacing w:after="0" w:line="170" w:lineRule="exact"/>
        <w:rPr>
          <w:sz w:val="20"/>
          <w:szCs w:val="20"/>
          <w:color w:val="auto"/>
        </w:rPr>
      </w:pPr>
    </w:p>
    <w:p>
      <w:pPr>
        <w:jc w:val="both"/>
        <w:ind w:left="980" w:hanging="324"/>
        <w:spacing w:after="0" w:line="27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Management by Dealership Units</w:t>
      </w:r>
      <w:r>
        <w:rPr>
          <w:rFonts w:ascii="Arial" w:cs="Arial" w:eastAsia="Arial" w:hAnsi="Arial"/>
          <w:sz w:val="17"/>
          <w:szCs w:val="17"/>
          <w:color w:val="auto"/>
        </w:rPr>
        <w:t>. At each of our dealerships, we operate one or more of the following departments: new commercial vehicle sales, used commercial vehicle sales, financial services, parts, service or a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One-Stop Centers</w:t>
      </w:r>
      <w:r>
        <w:rPr>
          <w:rFonts w:ascii="Arial" w:cs="Arial" w:eastAsia="Arial" w:hAnsi="Arial"/>
          <w:sz w:val="17"/>
          <w:szCs w:val="17"/>
          <w:color w:val="auto"/>
        </w:rPr>
        <w:t>. We have developed our larger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helps to mitigate cyclical economic fluctuations because our parts, service and collision center operations (referred to herein collectively as “Aftermarket Products and Services”) at our dealerships generally tend to be less volatile than our new and used commercial vehicle sales.</w:t>
      </w:r>
    </w:p>
    <w:p>
      <w:pPr>
        <w:spacing w:after="0" w:line="176" w:lineRule="exact"/>
        <w:rPr>
          <w:rFonts w:ascii="Arial" w:cs="Arial" w:eastAsia="Arial" w:hAnsi="Arial"/>
          <w:sz w:val="17"/>
          <w:szCs w:val="17"/>
          <w:color w:val="auto"/>
        </w:rPr>
      </w:pPr>
    </w:p>
    <w:p>
      <w:pPr>
        <w:jc w:val="both"/>
        <w:ind w:left="980" w:hanging="324"/>
        <w:spacing w:after="0" w:line="29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Aftermarket Products and Services</w:t>
      </w:r>
      <w:r>
        <w:rPr>
          <w:rFonts w:ascii="Arial" w:cs="Arial" w:eastAsia="Arial" w:hAnsi="Arial"/>
          <w:sz w:val="16"/>
          <w:szCs w:val="16"/>
          <w:color w:val="auto"/>
        </w:rPr>
        <w:t>. Our aftermarket capabilities include a wide range of services and products, including a fleet of mobile service units, mobile technicians who work in our customers’ facilities, technology solutions, including vehicle telematics support, a proprietary line of parts and accessories, and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network to offer more products and services to our customers.</w:t>
      </w:r>
    </w:p>
    <w:p>
      <w:pPr>
        <w:spacing w:after="0" w:line="161"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at all of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Growth Strategy. </w:t>
      </w:r>
      <w:r>
        <w:rPr>
          <w:rFonts w:ascii="Arial" w:cs="Arial" w:eastAsia="Arial" w:hAnsi="Arial"/>
          <w:sz w:val="17"/>
          <w:szCs w:val="17"/>
          <w:color w:val="auto"/>
        </w:rPr>
        <w:t>Through our strategic expansion and acquisition initiatives, we have grown to operate a large, multistate/international, full-service network of commercial vehicle dealerships. As described below, we intend to continue to grow our business by expanding our product and service offerings through acquisitions in new geographic areas and by opening new locations to enable us to better serve our customers.</w:t>
      </w:r>
    </w:p>
    <w:p>
      <w:pPr>
        <w:spacing w:after="0" w:line="165" w:lineRule="exact"/>
        <w:rPr>
          <w:sz w:val="20"/>
          <w:szCs w:val="20"/>
          <w:color w:val="auto"/>
        </w:rPr>
      </w:pPr>
    </w:p>
    <w:p>
      <w:pPr>
        <w:jc w:val="both"/>
        <w:ind w:left="98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Expansion of Product and Service Offerings</w:t>
      </w:r>
      <w:r>
        <w:rPr>
          <w:rFonts w:ascii="Arial" w:cs="Arial" w:eastAsia="Arial" w:hAnsi="Arial"/>
          <w:sz w:val="17"/>
          <w:szCs w:val="17"/>
          <w:color w:val="auto"/>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Expansion Into New Geographic Areas</w:t>
      </w:r>
      <w:r>
        <w:rPr>
          <w:rFonts w:ascii="Arial" w:cs="Arial" w:eastAsia="Arial" w:hAnsi="Arial"/>
          <w:sz w:val="18"/>
          <w:szCs w:val="18"/>
          <w:color w:val="auto"/>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Open New Rush Truck Centers in Existing Areas of Operation</w:t>
      </w:r>
      <w:r>
        <w:rPr>
          <w:rFonts w:ascii="Arial" w:cs="Arial" w:eastAsia="Arial" w:hAnsi="Arial"/>
          <w:sz w:val="18"/>
          <w:szCs w:val="18"/>
          <w:color w:val="auto"/>
        </w:rPr>
        <w:t>. We continually evaluate opportunities to increase our market presence by adding new Rush Truck Centers within our current franchises’ areas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Rush Truck Centers are responsible for sales of new and used commercial vehicles, as well as related Aftermarket Products and Services.</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Aftermarket Products and Services</w:t>
      </w:r>
      <w:r>
        <w:rPr>
          <w:rFonts w:ascii="Arial" w:cs="Arial" w:eastAsia="Arial" w:hAnsi="Arial"/>
          <w:sz w:val="18"/>
          <w:szCs w:val="18"/>
          <w:color w:val="auto"/>
        </w:rPr>
        <w:t>. Revenues from Aftermarket Products and Services accounted for approximately $2,372.4 million, or 33.4%, of our total revenues for 2022, and 61.7% of our gross profit.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service departments perform warranty and non-warranty repairs on commercial vehicles. The cost of warranty work is generally reimbursed by the applicable manufacturer at retail commercial rates. Warranty-related parts and service revenues accounted for approximately $135.0 million, or 1.9%, of our total revenues for 2022. Additionally, we provide a wide array of services, including assembly services for specialized commercial vehicle bodies and commercial vehicle mounted equipment. Our goal is to provide our customers with any service that they need related to their commercial vehicles.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our leasing and rental operations, we also enter into contracts to provide full-service maintenance on certain customers’ vehicles. We had 1,839 vehicles under contract maintenance as of December 31, 2022. The full-service maintenance revenues and retail service revenues are included as Aftermarket Products and Services revenues on our Consolidated Statements of Income.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New Commercial Vehicle Sales</w:t>
      </w:r>
      <w:r>
        <w:rPr>
          <w:rFonts w:ascii="Arial" w:cs="Arial" w:eastAsia="Arial" w:hAnsi="Arial"/>
          <w:sz w:val="18"/>
          <w:szCs w:val="18"/>
          <w:color w:val="auto"/>
        </w:rPr>
        <w:t>. New commercial vehicle sales represent the largest portion of our revenues, accounting for approximately $3,798.5 million, or 53.5%, of our total revenues in 2022. Of this total, new Class 8 heavy-duty truck sales accounted for approximately $2,715.3 million, or 38.2%, of our total revenues for 2022, and 71.5% of our new commercial vehicle revenues for 2022.</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Our Rush Truck Centers that sell new and used Class 8 heavy-duty trucks manufactured by Peterbilt or International may also sell medium-duty and light-duty commercial vehicles. Certain Rush Truck Centers sell medium-duty commercial vehicles manufactured by Peterbilt, Hino, Isuzu, Ford, International or Dennis Eagle, buses manufactured by Blue Bird, IC Bus or Elkhart and light-duty commercial vehicles manufactured by Ford (see Part I, Item 1, “General – </w:t>
      </w:r>
      <w:r>
        <w:rPr>
          <w:rFonts w:ascii="Arial" w:cs="Arial" w:eastAsia="Arial" w:hAnsi="Arial"/>
          <w:sz w:val="17"/>
          <w:szCs w:val="17"/>
          <w:i w:val="1"/>
          <w:iCs w:val="1"/>
          <w:color w:val="auto"/>
        </w:rPr>
        <w:t>Rush Truck Centers</w:t>
      </w:r>
      <w:r>
        <w:rPr>
          <w:rFonts w:ascii="Arial" w:cs="Arial" w:eastAsia="Arial" w:hAnsi="Arial"/>
          <w:sz w:val="17"/>
          <w:szCs w:val="17"/>
          <w:color w:val="auto"/>
        </w:rPr>
        <w:t>” for information on which brands we sell at each Rush Truck Center). New medium-duty commercial vehicle sales, excluding new bus sales, accounted for approximately $830.9 million, or 11.7%, of our total revenues for 2022, and 21.9% of our new commercial vehicle revenues for 2022. New bus sales accounted for approximately $128.2 million, or 1.8%, of our total revenues for 2022, and 3.4% of our new commercial vehicle revenues for 2022. New light-duty commercial vehicle sales accounted for approximately $104.0 million, or 1.5%, of our total revenues for 2022, and 2.7% of our new commercial vehicle revenues for 2022.</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Used Commercial Vehicle Sales</w:t>
      </w:r>
      <w:r>
        <w:rPr>
          <w:rFonts w:ascii="Arial" w:cs="Arial" w:eastAsia="Arial" w:hAnsi="Arial"/>
          <w:sz w:val="18"/>
          <w:szCs w:val="18"/>
          <w:color w:val="auto"/>
        </w:rPr>
        <w:t>. Used commercial vehicle sales accounted for approximately $552.9 million, or 7.8%, of our total revenues for 2022. We sell used commercial vehicles at most of our Rush Truck Centers and also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Vehicle Leasing and Rental</w:t>
      </w:r>
      <w:r>
        <w:rPr>
          <w:rFonts w:ascii="Arial" w:cs="Arial" w:eastAsia="Arial" w:hAnsi="Arial"/>
          <w:sz w:val="18"/>
          <w:szCs w:val="18"/>
          <w:color w:val="auto"/>
        </w:rPr>
        <w:t>. Vehicle leasing and rental revenues accounted for approximately $322.3 million, or 4.5%, of our total revenues for 2022. At our Rush Truck Leasing locations, we engage in full-service commercial vehicle leasing and rental through our PacLease and Idealease franchises. As of December 31, 2022, we had 9,957 commercial vehicles in our lease and rental fleet. Generally, we sell commercial vehicles that have been retired from our lease and rental fleet through our used commercial vehicles sales operations. Historically, we have realized gains on the sale of used lease and rental fleet inventory.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New and Used Commercial Vehicle Financing and Insurance</w:t>
      </w:r>
      <w:r>
        <w:rPr>
          <w:rFonts w:ascii="Arial" w:cs="Arial" w:eastAsia="Arial" w:hAnsi="Arial"/>
          <w:sz w:val="18"/>
          <w:szCs w:val="18"/>
          <w:color w:val="auto"/>
        </w:rPr>
        <w:t>. The sale of financial and insurance products accounted for approximately $29.7 million, or 0.4%, of our total revenues for 2022. Finance and insurance revenues have minimal direct costs and therefore, contribute a disproportionate share to our operating profits.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Many of our Rush Truck Centers have personnel responsible for arranging third-party financing for our product offerings. Generally, commercial vehicle finance contracts involve an installment contract, which is secured by the commercial vehicle financed and requires a down payment, with the remaining balance generally financed over a two-year to seven-year period. The majority of these finance contracts are sold to third parties without recourse to us. We provide an allowance for repossession losses and early repayment penalties that we may incur under these finance contracts.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as agent, a complete line of property and casualty insurance to commercial vehicle owners. Our agency, which operates at locations around the United States outside of our Rush Truck Centers, is licensed to sell commercial vehicle liability, collision and comprehensive, workers’ compensation, cargo, and credit life insurance coverage offered by a number of leading insurance companies. Our renewal rate in 2022 was approximately 80%. We also have licensed insurance agents at several of our Rush Truck Centers.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2022, we employed 7,418 people in the U.S. and 621 in Canada. Of these employees, less than 1.3% of our workforce was classified as part-time. We do not regularly use independent contractors in our business operations. We strive to provide our employees with the security of long-term employment, competitive compensation and benefits, a consistent work schedule and opportunities to improve their skills and advance within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Core Values. </w:t>
      </w:r>
      <w:r>
        <w:rPr>
          <w:rFonts w:ascii="Arial" w:cs="Arial" w:eastAsia="Arial" w:hAnsi="Arial"/>
          <w:sz w:val="18"/>
          <w:szCs w:val="18"/>
          <w:color w:val="auto"/>
        </w:rPr>
        <w:t>Our core values define our culture and reflect who we are and the way we interact with our customers, suppliers, co-workers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Our core values are productivity, fairness, excellence and positive attitude and are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Productivity means constantly striving toward efficiency and success in all interactions and activities while working with a common purpose and sense of urgency.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Fairness characterizes our honesty, integrity, truthfulness, dependability and reliability in everything we do.</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Excellence means doing it better than everyone else does. Excellence is reflected in our first-class facilities, quality products and services, motivated and talented employees, superior results for the customer and consistency throughout our organization.</w:t>
      </w:r>
    </w:p>
    <w:p>
      <w:pPr>
        <w:spacing w:after="0" w:line="170" w:lineRule="exact"/>
        <w:rPr>
          <w:rFonts w:ascii="Arial" w:cs="Arial" w:eastAsia="Arial" w:hAnsi="Arial"/>
          <w:sz w:val="18"/>
          <w:szCs w:val="18"/>
          <w:color w:val="auto"/>
        </w:rPr>
      </w:pPr>
    </w:p>
    <w:p>
      <w:pPr>
        <w:jc w:val="center"/>
        <w:ind w:left="5540" w:right="140" w:hanging="5208"/>
        <w:spacing w:after="0" w:line="527" w:lineRule="auto"/>
        <w:tabs>
          <w:tab w:leader="none" w:pos="662"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Attitude means approaching every day with excitement and passion for the work and dedication to our customers with positive intensity.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these core values is embodied in our code of conduct, which we call our Rush Driving Principles. Employees are required to attend training on the Rush Driving Principles and certify that they have read and understand such principles on an annual basis. We believe that our core values are the foundation of a strong and ethical culture that is a strength for us, and we intend to continue building upon that culture to improve performance across our business.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Employee Recruitment. </w:t>
      </w:r>
      <w:r>
        <w:rPr>
          <w:rFonts w:ascii="Arial" w:cs="Arial" w:eastAsia="Arial" w:hAnsi="Arial"/>
          <w:sz w:val="18"/>
          <w:szCs w:val="18"/>
          <w:color w:val="auto"/>
        </w:rPr>
        <w:t>We strive to attract the best talent from a variety of sources to meet the current and future needs of our business.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relationships with multiple trade schools and universities across the country, which we utilize as a source for entry-level talent. Additionally, we believe it is incumbent upon all our managers to continuously monitor their local markets for experienced individuals who might be successful additions to our organization.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Compensation Programs and Employee Benefits. </w:t>
      </w:r>
      <w:r>
        <w:rPr>
          <w:rFonts w:ascii="Arial" w:cs="Arial" w:eastAsia="Arial" w:hAnsi="Arial"/>
          <w:sz w:val="17"/>
          <w:szCs w:val="17"/>
          <w:color w:val="auto"/>
        </w:rPr>
        <w:t>Our compensation programs are designed to provide a compensation package that will attract,</w:t>
      </w:r>
      <w:r>
        <w:rPr>
          <w:rFonts w:ascii="Arial" w:cs="Arial" w:eastAsia="Arial" w:hAnsi="Arial"/>
          <w:sz w:val="17"/>
          <w:szCs w:val="17"/>
          <w:i w:val="1"/>
          <w:iCs w:val="1"/>
          <w:color w:val="auto"/>
        </w:rPr>
        <w:t xml:space="preserve"> </w:t>
      </w:r>
      <w:r>
        <w:rPr>
          <w:rFonts w:ascii="Arial" w:cs="Arial" w:eastAsia="Arial" w:hAnsi="Arial"/>
          <w:sz w:val="17"/>
          <w:szCs w:val="17"/>
          <w:color w:val="auto"/>
        </w:rPr>
        <w:t>retain, motivate and reward employees who must operate in a highly competitive, fast-paced environment. In general, our compensation programs consist of a base salary or hourly rate, commissions for employees in front-line customer facing roles, cash performance bonuses for certain employees, equity incentive awards for senior leaders, vacation leave, sick leave and other forms of paid time off.</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committed to fair pay. In 2020, the Company established a minimum hourly wage of $15.00 an hour. Our employees receive a base level of monthly or hourly compensation that we believe is commensurate with their expertise, skills, knowledge, experience and location.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our full-time employees with comprehensive benefit options that allow our employees and their families to live healthier and more secure lives. Some examples of our wide-ranging benefits offered are: medical insurance, prescription drug benefits, dental insurance, vision insurance, hospital indemnity insurance, accident insurance, critical illness insurance, smoking cessation assistance program, life insurance, disability insurance, health savings accounts and flexible spending accounts.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provide our employees with an opportunity to participate in the ownership of the Company by offering an employee stock purchase plan that allows employees to contribute a portion of their base earnings every six months toward the semi-annual purchase of the Company’s Class A common stock. Employees participating in the stock purchase plan receive a 15% discount on the purchase price of the stock, with such discount based on lesser of the closing price of the Class A common stock on the first business day or the last business day of the semi-annual offering period. In addition, we provide our employees with an opportunity to save for retirement by participating in our 401k plan, which has a Company-matching component that is based on years of service.</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Training and Development. </w:t>
      </w:r>
      <w:r>
        <w:rPr>
          <w:rFonts w:ascii="Arial" w:cs="Arial" w:eastAsia="Arial" w:hAnsi="Arial"/>
          <w:sz w:val="17"/>
          <w:szCs w:val="17"/>
          <w:color w:val="auto"/>
        </w:rPr>
        <w:t>Our training and development programs are designed to facilitate the development and advancement of talent from</w:t>
      </w:r>
      <w:r>
        <w:rPr>
          <w:rFonts w:ascii="Arial" w:cs="Arial" w:eastAsia="Arial" w:hAnsi="Arial"/>
          <w:sz w:val="17"/>
          <w:szCs w:val="17"/>
          <w:i w:val="1"/>
          <w:iCs w:val="1"/>
          <w:color w:val="auto"/>
        </w:rPr>
        <w:t xml:space="preserve"> </w:t>
      </w:r>
      <w:r>
        <w:rPr>
          <w:rFonts w:ascii="Arial" w:cs="Arial" w:eastAsia="Arial" w:hAnsi="Arial"/>
          <w:sz w:val="17"/>
          <w:szCs w:val="17"/>
          <w:color w:val="auto"/>
        </w:rPr>
        <w:t>within our organization to ensure we continuously fill our ranks with qualified employees for critical positions in the organization. These programs also seek to provide our employees with the career development skills they desire and further our employee retention efforts. Members of our Learning and Development team collaborate with employees from our various operations teams to identify our strategic training needs and prioritize the development of appropriate training content related to systems, processes, new hire and professional development.</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Rush Foundational Leader Program is focused on developing key management and leadership skills. The Rush Foundational Leader Program consists of a series of courses ranging from basic management skills, including promoting a culture of diversity and inclusion, to more advanced leadership concepts and skills that are designed for managers throughout our organization. As a continuation of our leadership development initiatives, we have launched our High Impact Leadership series, which focuses on building more advanced leadership skills such as motivating employees through meaningful feedback and inclusive leadership and communication. We also have a New Graduate Management Trainee Program that identifies and recruits new talent from universities across the country and provides on-the-job training for them to fill various roles within our dealership network. In addition, we have established a program called Growing Rush Outstanding Women ("GROW"), which enables women to continue their professional development through educational opportunities.</w:t>
      </w:r>
    </w:p>
    <w:p>
      <w:pPr>
        <w:spacing w:after="0" w:line="19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To enhance and develop the technical skills of entry-level service and body shop technicians, we established a formal mentorship program lead by experienced service and body shop technicians who serve as mentors to newly hired, entry level service and body shop technicians. We believe that this program increases the technicians’ likelihood of career success. This formal mentorship program also helps us identify top performers and we believe it improves employee performance and retention for participants in the program.</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Ethics and Compliance. </w:t>
      </w:r>
      <w:r>
        <w:rPr>
          <w:rFonts w:ascii="Arial" w:cs="Arial" w:eastAsia="Arial" w:hAnsi="Arial"/>
          <w:sz w:val="17"/>
          <w:szCs w:val="17"/>
          <w:color w:val="auto"/>
        </w:rPr>
        <w:t>We are committed to the highest standards of corporate conduct. We maintain an Ethics and Compliance Program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meet external requirements, as well as our core values and code of conduct embodied in the Rush Driving Principles. A central component of our Ethics and Compliance Program is the continuous training and education of our employees on general ethics and compliance training topics. We also regularly reinforce our commitment to ethics and integrity in communications with our employees.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Employee Engagement and Retention. </w:t>
      </w:r>
      <w:r>
        <w:rPr>
          <w:rFonts w:ascii="Arial" w:cs="Arial" w:eastAsia="Arial" w:hAnsi="Arial"/>
          <w:sz w:val="17"/>
          <w:szCs w:val="17"/>
          <w:color w:val="auto"/>
        </w:rPr>
        <w:t>We conduct an annual comprehensive employee engagement survey designed to measure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culture and engagement. The purpose of the survey is to monitor overall employee engagement with the goal of identifying actions that can be taken to continuously improve our employee engagement, which we believe leads to increased employee retention. Data collected in each annual employee engagement survey is maintained and used to track our progress against our internal goals. Additionally, we have formal “listening groups” that provide additional engagement channels for feedback from our dealerships to senior management throughout the year.</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Management continually monitors employee turnover data, which is supplemented with additional data from exit surveys to assist in determining the reasons for voluntary employee terminations. In 2022, our overall turnover rate was 30.38%, compared to 27.49% in 2021. The turnover rate of our service and body shop technicians is also monitored closely by management, as the retention of skilled service and body shop technicians is critical to the success of the Company. Demand for service and body shop technicians across the country is very high, and turnover in this role is also traditionally high for commercial vehicle dealers. In 2022, our turnover rate for service and body shop technicians was 38.7%, compared to 36.67% in 2021.</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Health and Safety. </w:t>
      </w:r>
      <w:r>
        <w:rPr>
          <w:rFonts w:ascii="Arial" w:cs="Arial" w:eastAsia="Arial" w:hAnsi="Arial"/>
          <w:sz w:val="18"/>
          <w:szCs w:val="18"/>
          <w:color w:val="auto"/>
        </w:rPr>
        <w:t>Promoting a safe and healthy workplace is our highest priority and is embodied in our core values. We utilize a mixture of</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and lagging indicators to assess the health and safety performance of our operations. Lagging indicators include the OSHA Total Recordable Incident Rate ("TRIR") and the Lost Time (or Lost Workday) Incident Rate ("LTIR") based upon the number of incidents per 100 employees (or per 200,000 work hours). Leading indicators include training completion rates, tracking of local safety committee meeting minutes, and recording of near misses, as well as other proactive actions taken to ensure employee safety. In 2022, we had a TRIR of 4.03, compared to 3.87 in 2021 and a LTIR of 0.62 in 2022, compared to 0.71 in 2021.</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Labor Relations. </w:t>
      </w:r>
      <w:r>
        <w:rPr>
          <w:rFonts w:ascii="Arial" w:cs="Arial" w:eastAsia="Arial" w:hAnsi="Arial"/>
          <w:sz w:val="18"/>
          <w:szCs w:val="18"/>
          <w:color w:val="auto"/>
        </w:rPr>
        <w:t>We have entered into collective bargaining agreements covering certain employees in Chicago, Illinois, which will expire on</w:t>
      </w:r>
      <w:r>
        <w:rPr>
          <w:rFonts w:ascii="Arial" w:cs="Arial" w:eastAsia="Arial" w:hAnsi="Arial"/>
          <w:sz w:val="18"/>
          <w:szCs w:val="18"/>
          <w:i w:val="1"/>
          <w:iCs w:val="1"/>
          <w:color w:val="auto"/>
        </w:rPr>
        <w:t xml:space="preserve"> </w:t>
      </w:r>
      <w:r>
        <w:rPr>
          <w:rFonts w:ascii="Arial" w:cs="Arial" w:eastAsia="Arial" w:hAnsi="Arial"/>
          <w:sz w:val="18"/>
          <w:szCs w:val="18"/>
          <w:color w:val="auto"/>
        </w:rPr>
        <w:t>May 10, 2025, Joliet, Illinois, which will expire on May 3, 2026 and Carol Stream, Illinois, which will expire on May 6, 2023. There have been no strikes, work stoppages or slowdowns during the negotiations of the foregoing collective bargaining agreements or at any time in the Company’s history, although no assurances can be given that such actions will not occur. We believe that our relations with the labor unions that represent these employees are generally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established history of operations in the commercial vehicle business has resulted in a strong customer base that is diverse in terms of geography, industry and scale of operations. Our customers include national and regional truck fleets, corporations, local and state governments and owner-operators. During 2022, no single customer accounted for more than 10% of our sales by dollar volume. We generally promote our products and related services through direct customer contact by our sales personnel and advertising.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Personnel. </w:t>
      </w:r>
      <w:r>
        <w:rPr>
          <w:rFonts w:ascii="Arial" w:cs="Arial" w:eastAsia="Arial" w:hAnsi="Arial"/>
          <w:sz w:val="18"/>
          <w:szCs w:val="18"/>
          <w:color w:val="auto"/>
        </w:rPr>
        <w:t>Each of our facilities is typically managed by a general manager who oversees the operations, personnel and the financial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Compliance with Policies and Procedures. </w:t>
      </w:r>
      <w:r>
        <w:rPr>
          <w:rFonts w:ascii="Arial" w:cs="Arial" w:eastAsia="Arial" w:hAnsi="Arial"/>
          <w:sz w:val="18"/>
          <w:szCs w:val="18"/>
          <w:color w:val="auto"/>
        </w:rPr>
        <w:t>Each Rush Truck Center is audited regularly for compliance with corporate policies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Purchasing and Suppliers. </w:t>
      </w:r>
      <w:r>
        <w:rPr>
          <w:rFonts w:ascii="Arial" w:cs="Arial" w:eastAsia="Arial" w:hAnsi="Arial"/>
          <w:sz w:val="18"/>
          <w:szCs w:val="18"/>
          <w:color w:val="auto"/>
        </w:rPr>
        <w:t>Because of our size and the corresponding cost savings we provide, we benefit from volume purchases at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Commercial Vehicle Inventory Management. </w:t>
      </w:r>
      <w:r>
        <w:rPr>
          <w:rFonts w:ascii="Arial" w:cs="Arial" w:eastAsia="Arial" w:hAnsi="Arial"/>
          <w:sz w:val="17"/>
          <w:szCs w:val="17"/>
          <w:color w:val="auto"/>
        </w:rPr>
        <w:t>We utilize our management information systems to monitor the inventory level of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at each of our dealerships and transfer new and used commercial vehicle inventory among Rush Truck Centers as needed.</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Parts Distribution and Inventory Management. </w:t>
      </w:r>
      <w:r>
        <w:rPr>
          <w:rFonts w:ascii="Arial" w:cs="Arial" w:eastAsia="Arial" w:hAnsi="Arial"/>
          <w:sz w:val="17"/>
          <w:szCs w:val="17"/>
          <w:color w:val="auto"/>
        </w:rPr>
        <w:t>We utilize a parts inventory distribution and management system that allows for the prompt</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parts inventory among various Rush Truck Centers. The transfer of inventory reduces delays in delivery, helps maximize inventory turns and assists in controlling problems created by overstock and understock situations.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25, 2019, we acquired 50% of the equity interest in RTC Canada, which acquired the operating assets of Tallman Group, the largest International Truck dealer in Canada. On May 2, 2022, we acquired an additional 30% equity interest for approximately $20.0 million. Prior to acquiring our additional equity interest, we accounted for the equity interest in RTC Canada using the equity method of accounting. Subsequent to the Company’s acquisition of the additional 30% equity interest on May 2, 2022, the operating results of RTC Canada are consolidated in the Consolidated Statements of Income, the Consolidated Statements of Comprehensive Income and the Consolidated Balance Sheets.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13, 2021, we completed the acquisition of certain of the assets of Summit Truck Group, LLC and certain of its subsidiaries and affiliates (collectively, “Summit”), which included full-service commercial vehicle dealerships and Idealease franchises in Arkansas, Kansas, Missouri, Tennessee and Texas. The acquisition included Summit’s dealerships representing International, IC Bus, Idealease, Isuzu and other commercial vehicle manufacturers for a purchase price of approximately $205.3 million, excluding the real property associated with the transaction. We financed approximately $102.0 million of the purchase price under our floor plan and lease and rental truck financing arrangements and the remainder was paid in cash. In addition, we purchased certain real estate owned by Summit for a purchase price of approximately $57.0 million, which was paid in cash.</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15 – Acquisitions in the Notes to the Financial Statements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46"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keep customers’ vehicles operational, which is dependent on the accessibility of dealership locations and the ability to attract and retain service technicians;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value, quality and design of the products sold;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attention to customer service (including technical service).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dealerships compete with dealerships representing other manufacturers, including commercial vehicles manufactured by Mack, Freightliner, Kenworth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Peterbilt. </w:t>
      </w:r>
      <w:r>
        <w:rPr>
          <w:rFonts w:ascii="Arial" w:cs="Arial" w:eastAsia="Arial" w:hAnsi="Arial"/>
          <w:sz w:val="18"/>
          <w:szCs w:val="18"/>
          <w:color w:val="auto"/>
        </w:rPr>
        <w:t>We have entered into nonexclusive dealership agreements with Peterbilt that authorize us to act as a dealer of Peterbilt heavy-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medium-duty trucks. Our Peterbilt areas of responsibility currently encompass areas in the states of Alabama, Arizona, California, Colorado, Florida, Kentucky, Nevada, New Mexico, Oklahoma, Tennessee and Texas. These dealership agreements currently have terms expiring in May 2023. Our dealership agreements with Peterbilt may be terminated by Peterbilt in the event that the aggregate voting power of W.M. “Rusty” Rush, certain other members of the Rush family and certain executives of the Company decreases below 22%. Sales of new Peterbilt commercial vehicles accounted for approximately 31.9% of our total revenues for 2022.</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have entered into nonexclusive dealership agreements with Navistar that authorize us to act as a dealer of International heavy-and medium-duty trucks and, in certain markets, IC buses. Our Navistar areas of responsibility currently encompass areas in the states of Arkansas, Georgia, Idaho, Illinois, Indiana, Kansas, Missouri, North Carolina, Ohio, Tennessee, Utah and Virginia. These dealership agreements currently have terms expiring between May 2023 and December 2027. Sales of new International commercial vehicles accounted for approximately 13.6% of our total revenues for 2022.</w:t>
      </w:r>
    </w:p>
    <w:p>
      <w:pPr>
        <w:spacing w:after="0" w:line="188"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Other Commercial Vehicle Suppliers. </w:t>
      </w:r>
      <w:r>
        <w:rPr>
          <w:rFonts w:ascii="Arial" w:cs="Arial" w:eastAsia="Arial" w:hAnsi="Arial"/>
          <w:sz w:val="18"/>
          <w:szCs w:val="18"/>
          <w:color w:val="auto"/>
        </w:rPr>
        <w:t>In addition to our dealership agreements with Peterbilt and Navistar, various Rush Truck Centers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dealership agreements with other commercial vehicle manufacturers, including Blue Bird, and Micro Bird, which currently have terms expiring between August 2023 and August 2024 and Ford, Hino, Isuzu and Dennis Eagle, which have perpetual terms. Sales of new non</w:t>
      </w:r>
      <w:r>
        <w:rPr>
          <w:rFonts w:ascii="MS PGothic" w:cs="MS PGothic" w:eastAsia="MS PGothic" w:hAnsi="MS PGothic"/>
          <w:sz w:val="18"/>
          <w:szCs w:val="18"/>
          <w:color w:val="auto"/>
        </w:rPr>
        <w:t>‑</w:t>
      </w:r>
      <w:r>
        <w:rPr>
          <w:rFonts w:ascii="Arial" w:cs="Arial" w:eastAsia="Arial" w:hAnsi="Arial"/>
          <w:sz w:val="18"/>
          <w:szCs w:val="18"/>
          <w:color w:val="auto"/>
        </w:rPr>
        <w:t>Peterbilt and non-International commercial vehicles accounted for approximately 8.0% of our total revenues for 2022.</w:t>
      </w:r>
    </w:p>
    <w:p>
      <w:pPr>
        <w:spacing w:after="0" w:line="20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All of our dealership agreements impose certain operational obligations and financial requirements upon us and the relevant dealerships. In addition, each of our dealership agreements requires the consent of the relevant manufacturer for the sale or transfer of a franchise.</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On September 14, 2021, we entered into our floor plan credit agreement with BMO Harris Bank N.A. (“BMO Harris”) (the “Floor Plan Credit Agreement”) and the lenders signatory thereto. The Floor Plan Credit Agreement includes an aggregate loan commitment of $1.0 billion. Borrowings under the Floor Plan Credit Agreement bear interest at an annual rate equal to (A) the greater of (i) zero and (ii) one month London Interbank Offered Rate (“LIBOR”),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December 31, 2022, we had approximately $762.9 million outstanding under the Floor Plan Credit Agreement. The average daily outstanding borrowings under the Floor Plan Credit Agreement were $638.6 million during the year ended December 31, 2022.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15, 2022, RTC Canada entered into that certain Amended and Restated BMO Wholesale Financing and Security Agreement (the “RTC Canada Floor Plan Agreement”) with Bank of Montreal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Agreement bear interest per annum, payable on the first business day of each calendar month, at the Canadian Offered Dollar Rate (“CDOR”), plus 0.90% and in the case of an advance required to be made in USD dollars, at LIBOR, plus 1.10%. The RTC Canada Floor Plan Agreement expires September 14, 2026. On December 31, 2022, we had approximately $44.6 million outstanding under the RTC Canada Floor Plan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and Rental Fleet Financing</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September 14, 2021, we entered into a credit agreement with the lenders signatory thereto (the “WF Lenders”) and Wells Fargo Bank, National Association (“WF”), as Administrative Agent (in such capacity, the “WF Agent”) which was amended effective November 30, 2022 (collectively, the “WF Credit Agreement”). Pursuant to the terms of the WF Credit Agreement,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simple, secured overnight financing rate (“SOFR”) plus (i) 1.25% or (ii) 1.5%, depending on our consolidated leverage ratio or</w:t>
      </w:r>
    </w:p>
    <w:p>
      <w:pPr>
        <w:spacing w:after="0" w:line="1" w:lineRule="exact"/>
        <w:rPr>
          <w:sz w:val="20"/>
          <w:szCs w:val="20"/>
          <w:color w:val="auto"/>
        </w:rPr>
      </w:pPr>
    </w:p>
    <w:p>
      <w:pPr>
        <w:jc w:val="both"/>
        <w:ind w:firstLine="8"/>
        <w:spacing w:after="0" w:line="295"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or after the term SOFR transition date, the term SOFR plus (i) 1.25% or (ii) 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2022, we had approximately $40.5 million outstanding under the WF Credit Agreement.</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1, 2021, the Company entered into that certain Amended and Restated Inventory Financing and Purchase Money Security Agreement with PACCAR Leasing Company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December 31, 2022, we had approximately $185.0 million outstanding under the PLC Agreement.</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31, 2022, RTC Canada entered into that certain BMO Revolving Lease and Rental Credit Agreement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 Advances under the RTC Canada Revolving Credit Agreement bear interest per annum, payable on the first business day of each calendar month, at CDOR, plus 1.35%. The RTC Canada Revolving Credit Agreement expires September 14, 2026. On December 31, 2022, we had approximately $49.9 million outstanding under the RTC Canada Revolving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and the fuel systems manufactured by our joint venture entity, Cummins Clean Fuel Technologies, and that were previously manufactured by Momentum Fuel Technologies. We also provide an extended warranty beyond the manufacturer’s warranty on new Blue Bird school buses that we sell in Texas, as required by state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we offer for sale third-party warranties.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and “Rush Truck Center.”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December 31, 2022, our backlog of commercial vehicle orders was approximately $4,216.0 million, compared to a backlog of commercial vehicle orders of approximately $3,267.0 million on December 31, 2021. This increase in our backlog is primarily due to the Summit acquisition and the consolidation of RTC Canada into our operating results, in addition to continuing production constraints experienced by the manufacturers we represent.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2022, and we expect to fill the majority of our backlog orders during 2023, assuming that the manufacturers we represent can meet their current production schedule. Our current backlog continues to be much higher than normal. Given the potential for industry headwinds in the coming months caused by lower spot rates and higher interest rates,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Arial" w:cs="Arial" w:eastAsia="Arial" w:hAnsi="Arial"/>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two additional states have since signed. Six of the states that signed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upon PACCAR for the supply of Peterbilt trucks and parts, the sale of which generates the majority of our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2022,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Peterbilt;</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technologically current, high-quality Peterbilt trucks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PACCAR’s continuation of its Peterbilt division;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goodwill associated with the Peterbilt brand, which can be adversely affected by decisions made by PACCAR, Peterbilt and the owners of other Peterbilt dealerships.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PACCAR, could have a material adverse effect on our operations, revenues and profitability.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dependent upon Navistar for the supply of International trucks and parts and IC buses and parts, the sale of which generate a significant portion of our revenues.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2022,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International and IC Bus;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technologically current, high-quality International trucks and IC buses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overall success of Navistar;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Navistar, could have a material adverse effect on our operations, revenues and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W.M. “Rusty” Rush, Scott Anderson, Steven Keller and Corey Lowe, along with certain other persons who no longer work for the Company (collectively, the “Dealer Principals”) decreases below 22% (the Dealer Principals, excluding those who no longer work for the Company, controlled approximately 44.0% of the aggregate voting power with respect to the election of directors as of December 31, 2022);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Mr. Rush, Robin M. Rush or any person who has been approved in writing by PACCAR holds the office of Chairman of the Board, President or Chief Executive Officer of the Company. We have no control over the transfer or disposition of Mr. Rush’s, or his estate’s, common stock. If Mr. Rush were to sell his Class B common stock or bequest his Class B common stock to a person or entity other than the Dealer Principals, or if his estate is required to liquidate its Class B common stock this it owns,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are non-exclusive and have relatively short terms, which could result in nonrenewal or imposition of less favorable terms upon renewal.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agreements with the manufacturers we represent have current terms expiring between May 2023 and December 2027.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Navistar dealership agreements, would have an adverse impact on our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growth strategies may be unsuccessful if we are unable to successfully execute our strategic initiatives or identify and complete future acquisitions.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 long-term, technological advances in the commercial vehicle industry, including drivetrain electrification or other alternative fuel technologies, could have a material adverse effect on our business.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commercial vehicle industry is predicted to experience change over the long-term. We see these changes beginning to occur, as certain of the manufacturers we represent now have vehicles with electric drivetrains available for purchase.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still uncertain, as there are many factors that are unknowable at this time, including when the infrastructure to support widespread adoption of such vehicles will be in place and when such vehicles may be commercially available at price points that would lead to their widespread adoption. Regardless of where the industry goes with respect to alternative fuel vehicles, we believe that, due to the geographic reach of our dealership network, relationships with both the manufacturers we represent and our customers and our access to capital, we are well-positioned to serve our customers’ evolving needs.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Similarly, although we are aware of ongoing efforts to facilitate the development of autonomous commercial vehicles, the eventual timing of the availability of autonomous commercial vehicles is uncertain due to regulatory requirements and additional technological requirements. The effect of autonomous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has disrupted, and may continue to disrupt, our business, which could adversely affect our financial performance.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2020, the World Health Organization made the assessment that COVID-19 could be characterized as a pandemic, and the President of the United States declared the COVID-19 outbreak a national emergency. While our Rush Truck Centers have remained operational throughout the COVID-19 pandemic, the pandemic remains a fluid and evolving situation. Some of the potential impacts to our business that we believe are directly related to the COVID-19 pandemic and that we are currently monitoring include, but are not limited to:</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the pandemic will have on our workforce availability;</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that the pandemic will have on the supply chains of the commercial vehicle manufacturers and parts manufacturers that we represent. We have been informed by the commercial vehicle manufacturers that we represent that production of commercial vehicles in 2023 will be allocated to all of their dealers based on historical purchases. While we do not expect our allocation of commercial vehicles to be less than the number of commercial vehicles we sold in 2022, there is still concern that component manufacturers’ supply chain issues may limit certain of our commercial vehicle manufacturers’ ability to meet demand throughout the year; and</w:t>
      </w:r>
    </w:p>
    <w:p>
      <w:pPr>
        <w:spacing w:after="0" w:line="17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pandemic on global capital markets, which depending on future developments, could impact our capital resources and liquidity in the future.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potential impacts that we list above, and other impacts of the COVID-19 pandemic, are likely to also have the effect of heightening many of the other risk factors described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 concerns may impact our business in the future; natural disasters and adverse weather events can disrupt our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concerns over climate change may impact our business in the future. Our current business model depends on our ability to sell, and provide services to, commercial vehicles primarily powered by diesel and gasoline internal combustion engines, which result in greenhouse gas emissions. While the manufacturers we represent have made substantial progress in reducing the amount of greenhouse gas emissions that result from internal combustion engines, it is widely accepted that alternative fuel vehicles are necessary to address climate change. Reductions in the sale and use of commercial vehicles powered by internal combustion engines creates risks to our historical business operations and we cannot predict the future costs to our business resulting from these developments. However, we also believe that an industry transition away from internal combustion engines presents significant opportunities for us. Due in large part to the geographic reach of our dealership network, relationships with both the manufacturers we represent and our customers and our access to capital, we believe we are well-positioned to serve our customers’ evolving needs and help them reduce their greenhouse gas emissions by helping them integrate more alternative fuel vehicles into their fleets and providing various services related thereto.</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Scientific evidence suggests that a warming climate potentially results in an environment more prone to natural disasters, such as hurricanes and flooding. To date, we have seen increases in our cost to insure against such risks, which costs could continue to increase should this trend continue. 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mitigate this risk, we may be exposed to uninsured or underinsured losses that could have a material adverse effect on our business,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Economic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 the Floor Plan Credit Agreement, expires on September 14, 2026, and may be terminated without cause upon 360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negative adverse effect on our profitability.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Floor Plan Credit Agreement, RTC Canada Floor Plan Agreement, WF Credit Agreement, PLC Agreement and RTC Canada Revolving Credit Agreement are each subject to variable interest rates. Therefore, our interest expense rises when interest rates increase. Currently, our outstanding borrowings under our Floor Plan Credit Agreement and certain other loan agreements are borrowed at LIBOR plus an applicable margin. Although LIBOR is no longer being used to price new loans, LIBOR quotes will be available for existing credit agreements until June 30, 2023. In the event that LIBOR quotes are no longer available, SOFR will replace LIBOR in certain of our credit agreements which currently use LIBOR, including our Floor Plan Credit Agreement. It is unclear how increased regulatory oversight and changes in the method for determining benchmark interest rates may affect our results of operations or financial conditions. However, any rise in interest rates generally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negatively affect our business, financial condition and results of operations. See “Quantitative and Qualitative Disclosures about Market Risk” for a discussion regarding our interest rate sensitivity.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2022, our backlog of new commercial vehicle orders was approximately $4,216.0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backlog is the largest it has ever been in our Company’s history. Given the potential for industry headwinds in the coming months caused by lower spot rates and higher interest rates,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in the carrying value of goodwill and other indefinite-lived intangible assets could negatively affect our operating results.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a number of economic risks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parts and repair services, and finance and insurance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 environmental laws and regulations are complex and subject to change. For example,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and two additional states have since signed. Six of the states that signed are states where we sell new commercial vehicles: California, Colorado, New Mexico, North Carolina and Virginia. The signatories to the memorandum all agreed on a goal of ensuring that 100% of new Class 3 through 8 commercial vehicles are zero emission by 2050, with an interim target of 30% zero emission by 2030. Attaining these goals would likely require the adoption of new laws and regulations and we cannot predict at this time whether such laws and regulations would have an adverse impact on our business.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to our information technology systems and breaches in data or system security could adversely affect our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rely upon our information technology systems to manage all aspects of our business, including processing and recording sales to, and payments from, customers, managing inventory, communicating with manufacturers and vendors, processing employee payroll and benefits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and customers. Despite the security measures we have in place, our facilities and systems, and those of our third-party service providers, could be vulnerable to cyberattacks and other security breaches, computer viruses, lost or misplaced data, programming errors, human errors or other events, and such incidents can remain undetected for a period of time despite our best efforts to detect and respond to them in a timely manner.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from time to time, experienced threats to our data and systems, including malware, ransomware and computer virus attacks. We are continuously developing and enhancing our controls, processes, and practices designed to protect our systems, computers, software, data, and networks from attack, damage, or unauthorized access. This continued development and enhancement requires us to expend significant additional resources. However, we may not anticipate or combat all types of future attacks until after they have been launched. If any of these breaches of security occur, we will be required to expend additional capital and other resources, including costs to deploy additional personnel and protection technologies, train employees and engage third-party experts and consultants.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cyberattack, security breach or other event resulting in the misappropriation, loss, or other unauthorized disclosure of confidential information of personal identifiable information of employees or customers, whether by us directly or our third-party service providers, could adversely affect our business operations, sales, reputation with current and potential customers, associates or vendors and employees and result in litigation or regulatory actions, all of which could have a material adverse effect on our business and reputation.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exposed to a variety of claims relating to our business and the liability associated with such claims may exceed the level of our insurance coverage.</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course of our business, we are exposed to claims for personal injury, death or property damage resulting from: (i) our customers’ use of commercial vehicles that we sell, service, lease or rent; (ii) our customers’ purchase of other products that we design, manufacture, sell or install, such as commercial vehicle parts, custom vehicle modifications and CNG fuel systems; and (iii) injuries caused by motor vehicle accidents that our service or delivery personnel are involved in. In addition, we have employees who work remotely from time to time at certain customers’ locations that are considered inherently dangerous, such as oil or gas well drilling sites, commercial construction sites and manufacturing facilities. We could also be subject to potential litigation associated with compliance with various laws and governmental regulations at the federal, state or local levels, such as those relating to vehicle and highway safety, health and workplace safety, security and employment-related claims.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carry comprehensive liability insurance, subject to deductibles and self-insured retentions, at levels we believe are sufficient to mitigate existing and future claims. However, we may be exposed to claims for which coverage is not afforded or the damages exceed the limits of our insurance coverage or multiple claims causing us to incur significant out-of-pocket costs before reaching the deductible amount, all of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 In fact, due to the rising costs of premiums over the last couple of years, we have been increasing our use of self-insurance programs and increasing the amounts of our deductibles.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operations in Canada. As a result, we may incur losses from the impact of foreign currency fluctuations and have higher costs than we otherwise would have due to the need to comply with foreign laws.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operations in Canada are subject to the risks normally associated with international operations. These include: (i) the need to convert currencies, which could result in a gain or loss depending on fluctuations in exchange rates; and (ii) the need to comply with Canadian laws and regulations, as well as U.S. laws and regulations, applicable to our operations in Canada. Changes in such laws or regulations, or any material failure to comply with any applicable laws or regulations, could increase our costs, affect our reputation, limit our business and otherwise impact our operations in adverse ways. In addition, laws or regulations or the interpretations thereof can conflict among jurisdictions, and compliance in one jurisdiction could result in legal or reputational risks in another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one shareholder and his affiliate.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Collectively, Mr. Rush and his affiliate own approximately 0.3% of our issued and outstanding shares of Class A common stock and 47.3% of our issued and outstanding Class B common stock. Mr. Rush collectively controls approximately 41.8% of the aggregate voting power of our outstanding shares, which is substantially more than any other person or group. The interests of Mr. Rush may not be consistent with the interests of all shareholders. As a result of such ownership, Mr. Rush has the ability to exercise substantial control over the Company, including with respect to the election of directors, the determination of matters requiring shareholder approval and other matters pertaining to corporate governance.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could discourage another company from acquiring 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Mr. Rush granted Peterbilt a right of first refusal to purchase his shares of common stock in the event that he desires to transfer in excess of 100,000 shares in any 12-month period to any person other than an immediate family member, an associate or another Dealer Principal. This right of first refusal, the number of shares owned by Mr. Rush and his affiliate, the requirement in our dealership agreements that the Dealer Principals retain a controlling interest in us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Class A common stock has limited voting power.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volume of trading in our Class B common stock varies greatly and may often be light. As of December 31, 2022, the three-month average daily trading volume of our Class B common stock was approximately 17,500 shares, with twenty-five days having a trading volume below 10,000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If W.M. </w:t>
      </w:r>
      <w:r>
        <w:rPr>
          <w:rFonts w:ascii="Arial" w:cs="Arial" w:eastAsia="Arial" w:hAnsi="Arial"/>
          <w:sz w:val="18"/>
          <w:szCs w:val="18"/>
          <w:color w:val="auto"/>
        </w:rPr>
        <w:t>“</w:t>
      </w:r>
      <w:r>
        <w:rPr>
          <w:rFonts w:ascii="Arial" w:cs="Arial" w:eastAsia="Arial" w:hAnsi="Arial"/>
          <w:sz w:val="18"/>
          <w:szCs w:val="18"/>
          <w:i w:val="1"/>
          <w:iCs w:val="1"/>
          <w:color w:val="auto"/>
        </w:rPr>
        <w:t>Rusty</w:t>
      </w:r>
      <w:r>
        <w:rPr>
          <w:rFonts w:ascii="Arial" w:cs="Arial" w:eastAsia="Arial" w:hAnsi="Arial"/>
          <w:sz w:val="18"/>
          <w:szCs w:val="18"/>
          <w:color w:val="auto"/>
        </w:rPr>
        <w:t>”</w:t>
      </w:r>
      <w:r>
        <w:rPr>
          <w:rFonts w:ascii="Arial" w:cs="Arial" w:eastAsia="Arial" w:hAnsi="Arial"/>
          <w:sz w:val="18"/>
          <w:szCs w:val="18"/>
          <w:i w:val="1"/>
          <w:iCs w:val="1"/>
          <w:color w:val="auto"/>
        </w:rPr>
        <w:t xml:space="preserve"> Rush were forced to sell shares of our common stock that he has pledged to secure a personal loan obligation, such sales could cause our stock price to decline.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Rush has pledged certain of his shares of Class A and Class B common stock as collateral in connection with a personal loan. If the price of our common stock were to decline substantially, Mr. Rush could be forced by the lender to sell shares of his Class A and/or Class B common stock to satisfy his loan obligations if he could not do so through other means. Any such sales could cause the price of our common stock to decline, particularly with respect to our Class B common stock, which typically has a low average daily trading volume, as noted above.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a party to Mr. Rush’s loan, but we have entered into a right of first refusal agreement with Mr. Rush and the lender. The right of refusal agreement provides us with the right, but not the obligation, to purchase the shares pledged as collateral in the event Mr. Rush is ever in default under the terms of his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corporate headquarters are located in New Braunfels, Texas. As of December 2022, we also own or lease numerous facilities used in our operations in the following locations: Alabama, Arizona, Arkansas, California, Colorado, Florida, Georgia, Idaho, Illinois, Indiana, Kansas, Kentucky, Missouri, New Mexico, Nebraska, Nevada, North Carolina, Ohio, Oklahoma, Pennsylvania, Tennessee, Texas, Utah, Virginia and Ontario, Canada.</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a hangar in New Braunfels, Texas for our corporate aircraft. We also own and operate a guest ranch of approximately 10,500 acres near Cotulla, Texas, which is used for client development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December 31, 2022,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Shareholder Matters, and Issuer Purchases of Equity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Our common stock trades on The NASDAQ Global Select Market</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under the symbols RUSHA and RUSHB. During 2022, our Board of Directors approved four quarterly cash dividends on all outstanding shares of common stock totaling $0.80 per share. We expect to continue paying cash dividends on a quarterly basis. However, there is no assurance as to the payment of future dividends because the declaration and payment of such dividends is subject to the business judgment of our Board of Directors and will depend on historic and projected earnings, capital requirements, covenant compliance, financial conditions and such other factors as the Board of Directors deems relevant.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high and low sales prices for our Class A common stock and Class B common stock for the fiscal periods indicated and as quoted on The NASDAQ Global Select Market</w:t>
      </w:r>
      <w:r>
        <w:rPr>
          <w:rFonts w:ascii="Arial" w:cs="Arial" w:eastAsia="Arial" w:hAnsi="Arial"/>
          <w:sz w:val="14"/>
          <w:szCs w:val="14"/>
          <w:color w:val="auto"/>
        </w:rPr>
        <w:t>SM</w:t>
      </w:r>
      <w:r>
        <w:rPr>
          <w:rFonts w:ascii="Arial" w:cs="Arial" w:eastAsia="Arial" w:hAnsi="Arial"/>
          <w:sz w:val="18"/>
          <w:szCs w:val="18"/>
          <w:color w:val="auto"/>
        </w:rPr>
        <w:t xml:space="preserve"> and dividends declared.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Dividends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2"/>
              </w:rPr>
              <w:t>Dividends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Declared</w:t>
            </w: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Declared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Low</w:t>
            </w:r>
          </w:p>
        </w:tc>
      </w:tr>
      <w:tr>
        <w:trPr>
          <w:trHeight w:val="21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54.37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46.73</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40.95</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55.06</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44.15</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r>
      <w:tr>
        <w:trPr>
          <w:trHeight w:val="216"/>
        </w:trPr>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58.01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47.10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36.40</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60.01</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46.88</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36.21</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February 2, 2023, there were approximately 18 record holders of Class A common stock and approximately 28 record holders of Class B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we have not sold any securities in the last three years that were not registered under the Securities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440" w:type="dxa"/>
            <w:vAlign w:val="bottom"/>
            <w:gridSpan w:val="9"/>
          </w:tcPr>
          <w:p>
            <w:pPr>
              <w:ind w:left="320"/>
              <w:spacing w:after="0"/>
              <w:rPr>
                <w:sz w:val="20"/>
                <w:szCs w:val="20"/>
                <w:color w:val="auto"/>
              </w:rPr>
            </w:pPr>
            <w:r>
              <w:rPr>
                <w:rFonts w:ascii="Arial" w:cs="Arial" w:eastAsia="Arial" w:hAnsi="Arial"/>
                <w:sz w:val="18"/>
                <w:szCs w:val="18"/>
                <w:color w:val="auto"/>
              </w:rPr>
              <w:t>A summary of our stock repurchase activity for the fourth quarter of 2022 is as follows:</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8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Purchased as</w:t>
            </w:r>
          </w:p>
        </w:tc>
        <w:tc>
          <w:tcPr>
            <w:tcW w:w="8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Part of Publicly</w:t>
            </w:r>
          </w:p>
        </w:tc>
        <w:tc>
          <w:tcPr>
            <w:tcW w:w="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Yet be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Price Paid</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Per Share</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w:t>
            </w:r>
          </w:p>
        </w:tc>
        <w:tc>
          <w:tcPr>
            <w:tcW w:w="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40" w:type="dxa"/>
            <w:vAlign w:val="bottom"/>
          </w:tcPr>
          <w:p>
            <w:pPr>
              <w:spacing w:after="0"/>
              <w:rPr>
                <w:sz w:val="20"/>
                <w:szCs w:val="20"/>
                <w:color w:val="auto"/>
              </w:rPr>
            </w:pPr>
          </w:p>
        </w:tc>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(1)</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(3)</w:t>
            </w:r>
          </w:p>
        </w:tc>
        <w:tc>
          <w:tcPr>
            <w:tcW w:w="10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 2022</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45.74</w:t>
            </w:r>
            <w:r>
              <w:rPr>
                <w:rFonts w:ascii="Arial" w:cs="Arial" w:eastAsia="Arial" w:hAnsi="Arial"/>
                <w:sz w:val="18"/>
                <w:szCs w:val="18"/>
                <w:b w:val="1"/>
                <w:bCs w:val="1"/>
                <w:color w:val="auto"/>
              </w:rPr>
              <w:t>(4)</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6,873,493</w:t>
            </w:r>
          </w:p>
        </w:tc>
      </w:tr>
      <w:tr>
        <w:trPr>
          <w:trHeight w:val="432"/>
        </w:trPr>
        <w:tc>
          <w:tcPr>
            <w:tcW w:w="3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November 1 – November 30, 2022</w:t>
            </w:r>
          </w:p>
        </w:tc>
        <w:tc>
          <w:tcPr>
            <w:tcW w:w="10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6,873,493</w:t>
            </w:r>
          </w:p>
        </w:tc>
      </w:tr>
      <w:tr>
        <w:trPr>
          <w:trHeight w:val="216"/>
        </w:trPr>
        <w:tc>
          <w:tcPr>
            <w:tcW w:w="34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 2022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51.21</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113,192</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144,200,145</w:t>
            </w:r>
          </w:p>
        </w:tc>
      </w:tr>
      <w:tr>
        <w:trPr>
          <w:trHeight w:val="20"/>
        </w:trPr>
        <w:tc>
          <w:tcPr>
            <w:tcW w:w="340" w:type="dxa"/>
            <w:vAlign w:val="bottom"/>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142,669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142,669</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us.</w:t>
      </w:r>
    </w:p>
    <w:p>
      <w:pPr>
        <w:spacing w:after="0" w:line="9" w:lineRule="exact"/>
        <w:rPr>
          <w:rFonts w:ascii="Arial" w:cs="Arial" w:eastAsia="Arial" w:hAnsi="Arial"/>
          <w:sz w:val="18"/>
          <w:szCs w:val="18"/>
          <w:color w:val="auto"/>
        </w:rPr>
      </w:pPr>
    </w:p>
    <w:p>
      <w:pPr>
        <w:jc w:val="both"/>
        <w:ind w:left="660" w:hanging="652"/>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repurchased shares in 2022 under a stock repurchase program announced on November 30, 2021, which authorized the repurchase of up to $100.0 million of our shares of Class A common stock and/or Class B common stock. This plan was terminated effective December 1, 2022; we repurchased $93.1 million shares of our Class A and Class B common stock under the plan prior to its termination. On December 2, 2022, we announced the approval of a new stock repurchase program, effective December 2, 2022, authorizing management to repurchase, from time to time, up to an aggregate of $150.0 million of our shares of Class A common stock and/or Class B common stock.</w:t>
      </w: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29,477 shares of Class A common stock at an average price paid per share of $45.74.</w:t>
      </w:r>
    </w:p>
    <w:p>
      <w:pPr>
        <w:spacing w:after="0" w:line="9"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104,179 shares of Class A common stock at an average price paid per share of $50.96 and 9,013 shares of Class B common stock at an average price paid per share of $54.07.</w:t>
      </w:r>
    </w:p>
    <w:p>
      <w:pPr>
        <w:spacing w:after="0" w:line="18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graph below matches the cumulative 5-Year total return of holders of Rush Enterprises, Inc.'s common stock with the cumulative total returns of the S&amp;P 500 index and a customized peer group of four companies that includes: Lithia Motors Inc, Paccar Inc, Penske Automotive Group Inc and Werner Enterprises Inc. The graph assumes that the value of the investment in our common stock, in each index, and in the peer group (including reinvestment of dividends) was $100 on December 31, 2017 and tracks it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127635</wp:posOffset>
            </wp:positionV>
            <wp:extent cx="6077585" cy="4869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7585"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12/17</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12/18</w:t>
            </w:r>
          </w:p>
        </w:tc>
        <w:tc>
          <w:tcPr>
            <w:tcW w:w="14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12/19</w:t>
            </w:r>
          </w:p>
        </w:tc>
        <w:tc>
          <w:tcPr>
            <w:tcW w:w="13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12/20</w:t>
            </w:r>
          </w:p>
        </w:tc>
        <w:tc>
          <w:tcPr>
            <w:tcW w:w="13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12/22</w:t>
            </w:r>
          </w:p>
        </w:tc>
        <w:tc>
          <w:tcPr>
            <w:tcW w:w="100" w:type="dxa"/>
            <w:vAlign w:val="bottom"/>
          </w:tcPr>
          <w:p>
            <w:pPr>
              <w:spacing w:after="0"/>
              <w:rPr>
                <w:sz w:val="19"/>
                <w:szCs w:val="19"/>
                <w:color w:val="auto"/>
              </w:rPr>
            </w:pPr>
          </w:p>
        </w:tc>
      </w:tr>
      <w:tr>
        <w:trPr>
          <w:trHeight w:val="210"/>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Rush Enterprises, Inc.</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100.00</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71.19</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94.80</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124.05</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174.19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175.28</w:t>
            </w:r>
          </w:p>
        </w:tc>
        <w:tc>
          <w:tcPr>
            <w:tcW w:w="10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100.00</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95.62</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125.72</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148.85</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191.58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156.89</w:t>
            </w: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100.00</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85.20</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127.99</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155.30</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177.55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187.26</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The stock price performance included in this graph is not necessarily indicative of future stock price performance.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4"/>
              </w:rPr>
              <w:t>Year Ended December 31,</w:t>
            </w: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13"/>
          </w:tcPr>
          <w:p>
            <w:pPr>
              <w:jc w:val="right"/>
              <w:ind w:right="70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4,351,370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3,039,953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2,863,309</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2,372,439</w:t>
            </w:r>
          </w:p>
        </w:tc>
        <w:tc>
          <w:tcPr>
            <w:tcW w:w="16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1,793,363</w:t>
            </w: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1,600,445</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322,257</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247,234</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236,223</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Finance and insurance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29,741</w:t>
            </w:r>
          </w:p>
        </w:tc>
        <w:tc>
          <w:tcPr>
            <w:tcW w:w="16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27,964</w:t>
            </w: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21,949</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17,628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14,014</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revenues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7,101,670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5,126,142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4,735,940</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5,614,511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4,033,844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3,860,473</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1,487,159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1,092,298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875,467</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927,836</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731,340</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665,258</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55,665</w:t>
            </w:r>
          </w:p>
        </w:tc>
        <w:tc>
          <w:tcPr>
            <w:tcW w:w="16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53,354</w:t>
            </w: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57,456</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506,113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309,036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154,605</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22,338</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6,417</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6,132</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9,014</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509,327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313,683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151,723</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117,242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72,268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36,836</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392,085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241,415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114,887</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Less: Noncontrolling interest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Rush Enterprises</w:t>
            </w:r>
          </w:p>
        </w:tc>
        <w:tc>
          <w:tcPr>
            <w:tcW w:w="144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391,382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241,415</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114,887</w:t>
            </w:r>
          </w:p>
        </w:tc>
        <w:tc>
          <w:tcPr>
            <w:tcW w:w="320" w:type="dxa"/>
            <w:vAlign w:val="bottom"/>
          </w:tcPr>
          <w:p>
            <w:pPr>
              <w:spacing w:after="0"/>
              <w:rPr>
                <w:sz w:val="21"/>
                <w:szCs w:val="21"/>
                <w:color w:val="auto"/>
              </w:rPr>
            </w:pPr>
          </w:p>
        </w:tc>
      </w:tr>
      <w:tr>
        <w:trPr>
          <w:trHeight w:val="197"/>
        </w:trPr>
        <w:tc>
          <w:tcPr>
            <w:tcW w:w="820" w:type="dxa"/>
            <w:vAlign w:val="bottom"/>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9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7.06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4.32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55,400</w:t>
            </w:r>
          </w:p>
        </w:tc>
        <w:tc>
          <w:tcPr>
            <w:tcW w:w="16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55,892</w:t>
            </w:r>
          </w:p>
        </w:tc>
        <w:tc>
          <w:tcPr>
            <w:tcW w:w="1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54,866</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57,151</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57,878</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56,242</w:t>
            </w:r>
          </w:p>
        </w:tc>
        <w:tc>
          <w:tcPr>
            <w:tcW w:w="320" w:type="dxa"/>
            <w:vAlign w:val="bottom"/>
          </w:tcPr>
          <w:p>
            <w:pPr>
              <w:spacing w:after="0"/>
              <w:rPr>
                <w:sz w:val="18"/>
                <w:szCs w:val="18"/>
                <w:color w:val="auto"/>
              </w:rPr>
            </w:pPr>
          </w:p>
        </w:tc>
      </w:tr>
      <w:tr>
        <w:trPr>
          <w:trHeight w:val="432"/>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760"/>
              <w:spacing w:after="0"/>
              <w:rPr>
                <w:sz w:val="20"/>
                <w:szCs w:val="20"/>
                <w:color w:val="auto"/>
              </w:rPr>
            </w:pPr>
            <w:r>
              <w:rPr>
                <w:rFonts w:ascii="Arial" w:cs="Arial" w:eastAsia="Arial" w:hAnsi="Arial"/>
                <w:sz w:val="18"/>
                <w:szCs w:val="18"/>
                <w:b w:val="1"/>
                <w:bCs w:val="1"/>
                <w:color w:val="auto"/>
                <w:w w:val="94"/>
              </w:rPr>
              <w:t>Year Ended December 31,</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Unit vehicle sales −</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vehicles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29,842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23,259</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Used vehicles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7,078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7,527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unit vehicles sales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36,920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30,786</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Commercial vehicle lease and rental units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10,326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8,914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439,069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320,950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330,932</w:t>
            </w:r>
          </w:p>
        </w:tc>
      </w:tr>
      <w:tr>
        <w:trPr>
          <w:trHeight w:val="216"/>
        </w:trPr>
        <w:tc>
          <w:tcPr>
            <w:tcW w:w="11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1,429,429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1,020,136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858,291</w:t>
            </w:r>
          </w:p>
        </w:tc>
      </w:tr>
      <w:tr>
        <w:trPr>
          <w:trHeight w:val="216"/>
        </w:trPr>
        <w:tc>
          <w:tcPr>
            <w:tcW w:w="11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3,821,066</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3,119,977</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2,985,393</w:t>
            </w:r>
          </w:p>
        </w:tc>
      </w:tr>
      <w:tr>
        <w:trPr>
          <w:trHeight w:val="216"/>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Floor plan notes payable</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933,203</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630,731</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511,786</w:t>
            </w:r>
          </w:p>
        </w:tc>
      </w:tr>
      <w:tr>
        <w:trPr>
          <w:trHeight w:val="216"/>
        </w:trPr>
        <w:tc>
          <w:tcPr>
            <w:tcW w:w="11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275,433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334,926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529,654</w:t>
            </w:r>
          </w:p>
        </w:tc>
      </w:tr>
      <w:tr>
        <w:trPr>
          <w:trHeight w:val="216"/>
        </w:trPr>
        <w:tc>
          <w:tcPr>
            <w:tcW w:w="11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Finance lease obligations, including current portion</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122,692</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116,530</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117,113</w:t>
            </w:r>
          </w:p>
        </w:tc>
      </w:tr>
      <w:tr>
        <w:trPr>
          <w:trHeight w:val="216"/>
        </w:trPr>
        <w:tc>
          <w:tcPr>
            <w:tcW w:w="11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1,763,022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1,466,749</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1,268,037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IC Bus or Blue Bird. Through our strategically located network of Rush Truck Centers, we provide one-stop service for the needs of our commercial vehicle customers. We offer an integrated approach to meeting customer needs by providing service, parts and collision repair (collectively, “Aftermarket Products and Services”) in addition to new and used commercial vehicle sales and leasing, insurance and financial services, vehicle upfitting, CNG fuel systems and vehicle telematics products.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61.7% of our total gross profits in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15, 2020, our Board of Directors declared a 3-for-2 stock split of our Class A common stock and Class B common stock, which was effected in the form of a stock dividend. On October 12, 2020, we distributed one additional share of stock for every two shares of Class A common stock, par value $0.01 per share, and Class B common stock, par value $0.01 per share, held by shareholders of record as of September 28, 2020. All share and per share data in this Form 10-K have been adjusted and restated to reflect the stock split as if it occurred on the first day of the earliest period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business conditions have improved significantly since the onset of the COVID-19 pandemic in the second quarter of 2020, our industry continues to be impacted by supply chain issues generally believed to be attributable to the COVID-19 pandemic that are negatively affecting new commercial vehicle production and the availability of aftermarket parts.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for the year ended December 31, 2022 are summarized below as follows:</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gross revenues totaled $7,101.7 million, a 38.5% increase from gross revenues of $5,126.1 million in 2021.</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profit increased $394.9 million, or 36.1%, compared to 2021. Gross profit as a percentage of sales decreased to 20.9% in 2022, from 21.3% in 2021.</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new Class 8 heavy-duty unit sales increased 51.8%, compared to 2021, which accounted for 6.3% of the total U.S. market and 1.8% of the total Canadian market.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new Class 4-7 medium-duty unit sales increased 5.2%, compared to 2021, including buses, which accounted for 4.6% of the total U.S. market and 2.2% of the total Canadian market.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light-duty truck unit sales increased 18.4% in 2022, compared to 2021.</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Used truck unit sales decreased 6.0%, compared to 2021, however, used truck revenues increased 28.5%, compared to 2021 due to a sharp increase in used truck values in the first half of 2022.</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Aftermarket Products and Services revenues increased $579.1 million, or 32.3%, to $2,372.4 million, compared to $1,793.4 million in 2021.</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 and rental revenues increased $75.0 million, or 30.3%, to $322.3 million, compared to 2021.</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increased $196.5 million, or 26.9%, to $927.8 million, compared to $731.3 million in 2021.</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May 2, 2022, we completed the acquisition of an additional 30% equity interest in RTC Canada, resulting in us now owning an 80% controlling interest in RTC Canada.</w:t>
      </w:r>
    </w:p>
    <w:p>
      <w:pPr>
        <w:spacing w:after="0" w:line="170" w:lineRule="exact"/>
        <w:rPr>
          <w:sz w:val="20"/>
          <w:szCs w:val="20"/>
          <w:color w:val="auto"/>
        </w:rPr>
      </w:pPr>
    </w:p>
    <w:p>
      <w:pPr>
        <w:jc w:val="both"/>
        <w:ind w:firstLine="576"/>
        <w:spacing w:after="0" w:line="263" w:lineRule="auto"/>
        <w:rPr>
          <w:sz w:val="20"/>
          <w:szCs w:val="20"/>
          <w:color w:val="auto"/>
        </w:rPr>
      </w:pPr>
      <w:r>
        <w:rPr>
          <w:rFonts w:ascii="Arial" w:cs="Arial" w:eastAsia="Arial" w:hAnsi="Arial"/>
          <w:sz w:val="18"/>
          <w:szCs w:val="18"/>
          <w:color w:val="auto"/>
        </w:rPr>
        <w:t>All of the above increases in new commercial vehicle sales, lease and rental revenues and Aftermarket Products and Services revenues and SG&amp;A expense for 2022 are primarily due to the acquisition of Summit Truck Group, LLC in December 2021 and the inclusion of RTC Canada results of operations beginning in May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Outlook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According to A.C.T. Research Co., LLC (“A.C.T. Research”), a commercial vehicle industry data and forecasting service provider, new U. S. Class 8 truck retail sales are estimated to total 255,155 truck units in 2023, a 7.8% decrease compared to 259,220 units sold in 2022. We expect our U.S. market share of new Class 8 truck sales to range between 6.0% and 6.5% in 2023. This market share percentage would result in the sale of approximately 15,300 to 16,500 new Class 8 trucks in 2023. We expect to sell approximately 1,000 additional new Class 8 trucks in Canada in 2023.</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According to A.C.T. Research, new U. S. Class 4 through 7 commercial vehicle retail sales are estimated to total 253,600 units in 2023, an 8.5% increase compared to 233,679 units sold in 2022. We expect our U.S. market share of new Class 4 through 7 commercial vehicle sales to range between 4.2% and 4.7% in 2023. This market share percentage would result in the sale of approximately 10,750 to 11,900 new Class 4 through 7 commercial vehicles in 2023. We expect to sell approximately 250 additional new Class 5 through 7 commercial vehicles in Canada in 2023.</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to sell approximately 1,800 to 2,000 light-duty vehicles and approximately 7,000 to 7,200 used commercial vehicles in 2023.</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lease and rental revenue to increase 9% to 11% during 2023, compared to 2022. This projected increase in lease and rental revenue in 2023, compared to 2022, is primarily related to a result of strong demand for rental commercial vehicles and the consolidation of RTC Canada into our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make progress on our strategic initiatives to increase our Aftermarket Products and Services revenues. We believe our Aftermarket Products and Services revenues will increase 9% to 12% in 2023, compared to 2022. This projected increase in Aftermarket Products and Services revenues in 2023, compared to 2022, is primarily related to price increases by the manufacturers of parts we sell and the consolidation of RTC Canada into our operating results.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above projections for new commercial vehicle sales will depend on our ability to obtain commercial vehicles from the manufacturers we represent and such projections could be negatively impacted by manufacturer allocation decisions and supply chain issues affecting manufacturers’ production. In addition, we continue to monitor inflation and rising interest rates, which may negatively impact consumer spending and capital expenditures across a variety of industries we support.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Absorption Ratio. </w:t>
      </w:r>
      <w:r>
        <w:rPr>
          <w:rFonts w:ascii="Arial" w:cs="Arial" w:eastAsia="Arial" w:hAnsi="Arial"/>
          <w:sz w:val="18"/>
          <w:szCs w:val="18"/>
          <w:color w:val="auto"/>
        </w:rPr>
        <w:t>Management uses several performance metrics to evaluate the performance of our commercial vehicle dealerships and considers</w:t>
      </w:r>
      <w:r>
        <w:rPr>
          <w:rFonts w:ascii="Arial" w:cs="Arial" w:eastAsia="Arial" w:hAnsi="Arial"/>
          <w:sz w:val="18"/>
          <w:szCs w:val="18"/>
          <w:i w:val="1"/>
          <w:iCs w:val="1"/>
          <w:color w:val="auto"/>
        </w:rPr>
        <w:t xml:space="preserve"> </w:t>
      </w:r>
      <w:r>
        <w:rPr>
          <w:rFonts w:ascii="Arial" w:cs="Arial" w:eastAsia="Arial" w:hAnsi="Arial"/>
          <w:sz w:val="18"/>
          <w:szCs w:val="18"/>
          <w:color w:val="auto"/>
        </w:rPr>
        <w:t>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136.6% absorption ratio for the year ended December 31, 2022 and 129.8% absorption ratio for the year ended December 31,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significant accounting policies are disclosed in Note 2 of the Notes to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Inventory Reserves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Price Allocation, Intangible Assets and Goodwill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so, the single asset or group of assets, as applicable, is not a business. If not, we determine whether the single asset or group of assets, as applicable, meets the definition of a business.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business combinations, we record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excess purchase price over the fair value of assets acquired is recorded as goodwill. We assess goodwill for impairment annually in the fourth quarter, or whenever events or changes in circumstances indicate an impairment may have occurred. If impaired, the carrying values of the assets are written down to fair value using Level 3 inputs. See Note 2 – Significant Accounting Policies for further discussion of Level 3 fair value.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2022, 2021 and 2020. The following table sets forth for the years indicated certain financial data as a percentage of total revenues:</w:t>
      </w:r>
    </w:p>
    <w:p>
      <w:pPr>
        <w:spacing w:after="0" w:line="166"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5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78.7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81.5</w:t>
            </w:r>
          </w:p>
        </w:tc>
      </w:tr>
      <w:tr>
        <w:trPr>
          <w:trHeight w:val="20"/>
        </w:trPr>
        <w:tc>
          <w:tcPr>
            <w:tcW w:w="5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13.1</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8"/>
                <w:szCs w:val="18"/>
                <w:b w:val="1"/>
                <w:bCs w:val="1"/>
                <w:color w:val="auto"/>
              </w:rPr>
              <w:t>Net income attributable to Rush Enterprises, Inc.</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5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6"/>
              </w:rPr>
              <w:t>% Change</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2022</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ind w:left="270"/>
              <w:spacing w:after="0"/>
              <w:rPr>
                <w:sz w:val="20"/>
                <w:szCs w:val="20"/>
                <w:color w:val="auto"/>
              </w:rPr>
            </w:pPr>
            <w:r>
              <w:rPr>
                <w:rFonts w:ascii="Arial" w:cs="Arial" w:eastAsia="Arial" w:hAnsi="Arial"/>
                <w:sz w:val="18"/>
                <w:szCs w:val="18"/>
                <w:b w:val="1"/>
                <w:bCs w:val="1"/>
                <w:color w:val="auto"/>
                <w:w w:val="79"/>
              </w:rPr>
              <w:t>vs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79"/>
              </w:rPr>
              <w:t>vs</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8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16,778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10,670</w:t>
            </w: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51.8%</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11,311</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62"/>
        </w:trPr>
        <w:tc>
          <w:tcPr>
            <w:tcW w:w="2960" w:type="dxa"/>
            <w:vAlign w:val="bottom"/>
            <w:vMerge w:val="restart"/>
          </w:tcPr>
          <w:p>
            <w:pPr>
              <w:spacing w:after="0"/>
              <w:rPr>
                <w:sz w:val="20"/>
                <w:szCs w:val="20"/>
                <w:color w:val="auto"/>
              </w:rPr>
            </w:pPr>
            <w:r>
              <w:rPr>
                <w:rFonts w:ascii="Arial" w:cs="Arial" w:eastAsia="Arial" w:hAnsi="Arial"/>
                <w:sz w:val="18"/>
                <w:szCs w:val="18"/>
                <w:color w:val="auto"/>
              </w:rPr>
              <w:t>New light-duty vehicles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2,039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1,132</w:t>
            </w:r>
          </w:p>
        </w:tc>
        <w:tc>
          <w:tcPr>
            <w:tcW w:w="800" w:type="dxa"/>
            <w:vAlign w:val="bottom"/>
          </w:tcPr>
          <w:p>
            <w:pPr>
              <w:spacing w:after="0"/>
              <w:rPr>
                <w:sz w:val="14"/>
                <w:szCs w:val="14"/>
                <w:color w:val="auto"/>
              </w:rPr>
            </w:pP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68"/>
        </w:trPr>
        <w:tc>
          <w:tcPr>
            <w:tcW w:w="29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gridSpan w:val="2"/>
          </w:tcPr>
          <w:p>
            <w:pPr>
              <w:jc w:val="right"/>
              <w:ind w:right="260"/>
              <w:spacing w:after="0" w:line="68" w:lineRule="exact"/>
              <w:rPr>
                <w:sz w:val="20"/>
                <w:szCs w:val="20"/>
                <w:color w:val="auto"/>
              </w:rPr>
            </w:pPr>
            <w:r>
              <w:rPr>
                <w:rFonts w:ascii="Arial" w:cs="Arial" w:eastAsia="Arial" w:hAnsi="Arial"/>
                <w:sz w:val="7"/>
                <w:szCs w:val="7"/>
                <w:color w:val="auto"/>
              </w:rPr>
              <w:t>18.4</w:t>
            </w:r>
          </w:p>
        </w:tc>
        <w:tc>
          <w:tcPr>
            <w:tcW w:w="3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23,113</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Used vehicles sales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7,400</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2,715.3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1,661.9</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1,587.9</w:t>
            </w: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63.4%</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919.7</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62"/>
        </w:trPr>
        <w:tc>
          <w:tcPr>
            <w:tcW w:w="2960" w:type="dxa"/>
            <w:vAlign w:val="bottom"/>
            <w:vMerge w:val="restart"/>
          </w:tcPr>
          <w:p>
            <w:pPr>
              <w:spacing w:after="0"/>
              <w:rPr>
                <w:sz w:val="20"/>
                <w:szCs w:val="20"/>
                <w:color w:val="auto"/>
              </w:rPr>
            </w:pPr>
            <w:r>
              <w:rPr>
                <w:rFonts w:ascii="Arial" w:cs="Arial" w:eastAsia="Arial" w:hAnsi="Arial"/>
                <w:sz w:val="18"/>
                <w:szCs w:val="18"/>
                <w:color w:val="auto"/>
              </w:rPr>
              <w:t>New light-duty vehicles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50.1</w:t>
            </w:r>
          </w:p>
        </w:tc>
        <w:tc>
          <w:tcPr>
            <w:tcW w:w="800" w:type="dxa"/>
            <w:vAlign w:val="bottom"/>
          </w:tcPr>
          <w:p>
            <w:pPr>
              <w:spacing w:after="0"/>
              <w:rPr>
                <w:sz w:val="14"/>
                <w:szCs w:val="14"/>
                <w:color w:val="auto"/>
              </w:rPr>
            </w:pP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68"/>
        </w:trPr>
        <w:tc>
          <w:tcPr>
            <w:tcW w:w="29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gridSpan w:val="2"/>
          </w:tcPr>
          <w:p>
            <w:pPr>
              <w:jc w:val="right"/>
              <w:ind w:right="260"/>
              <w:spacing w:after="0" w:line="68" w:lineRule="exact"/>
              <w:rPr>
                <w:sz w:val="20"/>
                <w:szCs w:val="20"/>
                <w:color w:val="auto"/>
              </w:rPr>
            </w:pPr>
            <w:r>
              <w:rPr>
                <w:rFonts w:ascii="Arial" w:cs="Arial" w:eastAsia="Arial" w:hAnsi="Arial"/>
                <w:sz w:val="7"/>
                <w:szCs w:val="7"/>
                <w:color w:val="auto"/>
              </w:rPr>
              <w:t>31.0</w:t>
            </w:r>
          </w:p>
        </w:tc>
        <w:tc>
          <w:tcPr>
            <w:tcW w:w="3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3,778.4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2,598.4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2,557.7</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291.5</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79.5%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5360" w:hanging="4560"/>
        <w:spacing w:after="0" w:line="623" w:lineRule="auto"/>
        <w:tabs>
          <w:tab w:leader="none" w:pos="1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sales of truck bodies, trailers and other new equipment.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0"/>
        </w:trPr>
        <w:tc>
          <w:tcPr>
            <w:tcW w:w="4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retail heavy-duty truck market is affected by a number of factors, including general economic conditions, fuel prices, other methods of transportation, environmental and other government regulation, interest rate fluctuations and customer business cycles. According to data published by A.C.T. Research, total U.S. retail sales of new Class 8 trucks in the last ten years have ranged from a low of approximately 187,600 in 2013 to a high of approximately 281,440 in 2019. Class 8 trucks are defined by the American Automobile Association as trucks with a minimum gross vehicle weight rating above 33,000 pounds.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Department of Transportation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and other aftermarket products and services;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A.C.T. Research currently estimates approximately 255,155 new Class 8 trucks will be sold in the United States in 2023, compared to approximately 259,220 new Class 8 trucks sold in 2022. A.C.T. Research currently forecasts sales of new Class 8 trucks in the U.S. to be approximately 212,000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Many of our Rush Truck Centers sell medium-duty commercial vehicles manufactured by Peterbilt, International, Hino, Ford or Isuzu, and provide parts and service for medium-duty commercial vehicles. Medium-duty commercial vehicles are principally used in short</w:t>
      </w:r>
      <w:r>
        <w:rPr>
          <w:rFonts w:ascii="MS PGothic" w:cs="MS PGothic" w:eastAsia="MS PGothic" w:hAnsi="MS PGothic"/>
          <w:sz w:val="18"/>
          <w:szCs w:val="18"/>
          <w:color w:val="auto"/>
        </w:rPr>
        <w:t>‑</w:t>
      </w:r>
      <w:r>
        <w:rPr>
          <w:rFonts w:ascii="Arial" w:cs="Arial" w:eastAsia="Arial" w:hAnsi="Arial"/>
          <w:sz w:val="18"/>
          <w:szCs w:val="18"/>
          <w:color w:val="auto"/>
        </w:rPr>
        <w:t>haul markets as delivery vehicles; they typically operate locally and generally do not leave their service areas overnight. We also sell light-duty vehicles (Class 3 and under) at several of our Ford dealerships.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A.C.T. Research currently forecasts sales of new Class 4 through 7 commercial vehicles in the U.S. to be approximately 253,600 units in 2023, compared to 233,679 units in 2022. A.C.T. Research currently forecasts sales of new Class 4 through 7 commercial vehicles in the U.S. to be approximately 252,750 in 2024.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$1,975.6 million, or 38.5%, in 2022, compared to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Aftermarket Products and Services revenues increased $579.1 million, or 32.3%, in 2022, compared to 2021. The increase in Aftermarket Parts and Services revenues was primarily a result of strong demand, inflation, the Summit acquisition and the consolidation of RTC Canada into our operating results.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revenues from sales of new and used commercial vehicles increased $1,311.4 million, or 43.1%, in 2022, compared to 2021. The increase in commercial vehicle revenues was primarily a result of strong demand, the Summit acquisition and the consolidation of RTC Canada into our operating results.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16,778 new heavy-duty trucks in 2022, a 51.8% increase compared to 11,052 new heavy-duty trucks in 2021. Our share of the new U.S. Class 8 commercial vehicle sales market increased to approximately 6.3% in 2022, from 4.9% in 2021. This increase in new Class 8 truck sales and market share was primarily a result of strong demand for new commercial vehicles, the Summit acquisition and the consolidation of RTC Canada into our operating results.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11,025 new medium-duty commercial vehicles, including 1,237 buses, in 2022, a 5.2% increase compared to 10,485 new medium-duty commercial vehicles, including 959 buses, in 2021. In 2022, we achieved a 4.6% share of the Class 4 through 7 commercial vehicle market in the U.S., compared to 4.2% in 2021. Our new Class 4 through 7 commercial vehicle sales increased due to strong demand for new commercial vehicles, the Summit acquisition and the consolidation of RTC Canada into our operating results.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2,039 new light-duty vehicles in 2022, an 18.4% increase compared to 1,722 new light-duty vehicles in 2021. Our light-duty vehicle sales benefited from the increased demand for light-duty vehicles in the 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7,078 used commercial vehicles in 2022, a 6.0% decrease compared to 7,527 used commercial vehicles in 2021. We believe used commercial vehicle demand and values will continue to decrease as new commercial vehicle production increases to a level adequate to meet customer demand.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Commercial vehicle lease and rental revenues increased $75.0 million, or 30.3%, in 2022, compared to 2021. This increase in commercial vehicle lease and rental revenues was primarily a result of strong demand for rental commercial vehicles, the Summit acquisition and the consolidation of RTC Canada into our operating results.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and insurance revenues increased $1.8 million, or 6.4%, in 2022, compared to 2021. Finance and insurance revenues have limited direct costs and, therefore, contribute a disproportionate share of our operating profits. We expect finance and insurance revenues to fluctuate proportionately with our new and used commercial vehicle sales in 2023.</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revenues increased $8.2 million, or 46.7% in 2022, compared to 2021. Other revenues consist primarily of document fees related to commercial vehicle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Gross profit increased $394.9 million, or 36.1%, in 2022, compared to 2021. Gross profit as a percentage of sales decreased to 20.9% in 2022, from 21.3% in 2021. This decrease in gross profit as a percentage of sales was a result of a change in our product sales mix. Commercial vehicle sales, a lower margin revenue item, increased as a percentage of total revenues to 61.3% in 2022, from 59.3% in 2021. Aftermarket Services revenues, a higher margin revenue item, decreased as a percentage of total revenues to 33.4% in 2022, from 35.0% in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Gross margins from our Aftermarket Products and Services operations increased to 38.6% in 2022, from 38.1% in 2021. This increase in gross margins was primarily due to increases in parts pricing, increases in parts rebates from our parts suppliers. Gross profit for Aftermarket Products and Services increased to $916.8 million in 2022, from $684.1 million in 2021. Historically, parts operations’ gross margins range from 28% to 30% and service and collision center operations range from 66% to 68%. Gross profits from parts sales represented 62.8% of total gross profit for Aftermarket Products and Services operations in 2022 and 61.4% in 2021. Service and collision center operations represented 37.2% of total gross profit for Aftermarket Products and Services operations in 2022 and 38.6% 2021. We expect blended gross margins on Aftermarket Products and Services operations to range from 37.5% to 38.5% in 2023.</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on new Class 8 truck sales increased to 9.9% in 2022, from 9.0% in 2021. This increase was primarily due to strong demand for new Class 8 trucks and the mix of purchasers during 2022. In 2023, we expect overall gross margins from new heavy-duty truck sales of approximately 8.8% to 9.9%.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on new Class 4 through 7 commercial vehicle sales increased to 8.1% in 2022, from 7.8% in 2021. This increase was primarily due to the mix of purchasers during 2022. For 2023, we expect overall gross margins from new medium-duty commercial vehicle sales of approximately 7.5% to 8.5%, but this will largely depend upon the mix of purchasers and types of vehicles sold.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Gross margins on used commercial vehicle sales decreased to 9.9% in 2022, from 18.7% in 2021. This decrease was primarily due to declining used commercial vehicle values as new Class 8 vehicle production increased during 2022. This margins in 2021 were primarily a result of the increase in used commercial vehicle values due to strong demand for used commercial vehicles due to production constraints experienced by manufacturers we represent. We expect margins on used commercial vehicles to return to our historical range of between 8.0% and 10.0% in 2023.</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Gross margins from commercial vehicle lease and rental sales increased to 31.2% in 2022, from 23.9% in 2021. This increase is primarily related to increased rental fleet utilization and changes initially made in the fall of 2021 with respect to how we finance commercial vehicles for our lease and rental fleet. The interest associated with the WF Credit Agreement, the PLC Agreement and the RTC Canada Revolving Credit Agreement is recorded in interest expense on the Consolidated Statements of Income. Prior to these credit agreements, interest expense associated with our lease and rental fleet purchases was recorded in cost of sales because each borrowing was directly related to each lease and rental vehicle purchased. This change in the structure of financing of our lease and rental fleet results in increased gross margins from our commercial vehicle lease and rental sales. We expect gross margins from lease and rental sales of approximately 28.0% to 31.0% during 2023.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revenues,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SG&amp;A expenses increased $196.5 million, or 26.9%, in 2022, compared to 2021. This increase primarily resulted from increased general and administrative expense associated with the Summit acquisition and consolidation of RTC Canada into our operating results. SG&amp;A expenses as a percentage of total revenues decreased to 13.1% in 2022, from 14.3% in 2021. Annual SG&amp;A expenses as a percentage of total revenues have ranged from approximately 12.4% to 14.3% over the last five years. In general, when new and used commercial vehicle revenues increase as a percentage of total revenues, SG&amp;A expenses as a percentage of total revenues will be at the lower end of this range. For 2023, we expect SG&amp;A expenses as a percentage of total revenues to range from 13.0% to 14.0%. For 2023, we expect the selling portion of SG&amp;A expenses to be approximately 25.0% to 30.0% of new and used commercial vehicle gross profit.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increased $2.3 million, or 4.3%, in 2022, compared to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increased $17.4 million, or 980.5%, in 2022, compared to 2021. This increase in interest expense is a result of the increase in inventory levels and rising interest rates on our variable rate debt compared to 2021. We expect net interest expense in 2023 to increase due to interest related to lease and rental borrowings and floor plan debt, but the amount of the increase will depend on inventory levels, interest rate fluctuations and the amount of cash available to make prepayments on our floor plan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$195.6 million, or 62.4%, in 2022, compared to 2021, as a result of the factors described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Income tax expense increased $45.0 million, or 62.2%, in 2022, compared to 2021, as a result of the factors described above. We provided for taxes at a 23.0% effective rate in 2022 and 2021. We expect our effective tax rate to be approximately 23.0% to 24.0% of pretax income in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29" w:lineRule="exact"/>
        <w:rPr>
          <w:sz w:val="20"/>
          <w:szCs w:val="20"/>
          <w:color w:val="auto"/>
        </w:rPr>
      </w:pPr>
    </w:p>
    <w:p>
      <w:pPr>
        <w:jc w:val="both"/>
        <w:ind w:right="20" w:firstLine="648"/>
        <w:spacing w:after="0" w:line="277" w:lineRule="auto"/>
        <w:rPr>
          <w:rFonts w:ascii="Arial" w:cs="Arial" w:eastAsia="Arial" w:hAnsi="Arial"/>
          <w:sz w:val="18"/>
          <w:szCs w:val="18"/>
          <w:u w:val="single" w:color="auto"/>
          <w:color w:val="0000EE"/>
        </w:rPr>
      </w:pPr>
      <w:hyperlink r:id="rId45">
        <w:r>
          <w:rPr>
            <w:rFonts w:ascii="Arial" w:cs="Arial" w:eastAsia="Arial" w:hAnsi="Arial"/>
            <w:sz w:val="18"/>
            <w:szCs w:val="18"/>
            <w:color w:val="auto"/>
          </w:rPr>
          <w:t xml:space="preserve">For a discussion of information on the year ended December 31, 2021, refer to Part II Item 7 in the 2021 Annual Report on Form 10-K. </w:t>
        </w:r>
        <w:r>
          <w:rPr>
            <w:rFonts w:ascii="Arial" w:cs="Arial" w:eastAsia="Arial" w:hAnsi="Arial"/>
            <w:sz w:val="18"/>
            <w:szCs w:val="18"/>
            <w:u w:val="single" w:color="auto"/>
            <w:color w:val="0000EE"/>
          </w:rPr>
          <w:t>Inline</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XBRL Viewer (sec.gov)</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2022, we had working capital of approximately $439.1 million, including $201.0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various credit agreements. The resulting interest earned on the Floor Plan Credit Agreement is recognized as an offset to our interest expense.</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line of credit that provides for a maximum borrowing of $20.0 million. There were no advances outstanding under this secured line of credit at December 31, 2022, however, $14.1 million was pledged to secure various letters of credit related to self-insurance products, leaving $5.9 million available for future borrowings as of December 31,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debt, floor plan financing agreements and the WF Credit Agreement require us to satisfy various financial ratios such as the leverage ratio, the asset coverage ratio and the fixed charge coverage ratio. As of December 31, 2022, we were in compliance with all debt covenants related to debt secured by lease and rental units, our floor plan credit agreements and the WF Credit Agreement. We do not anticipate any breach of the covenants in the foreseeable future.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to purchase or lease commercial vehicles worth approximately $170.0 million to $180.0 million for our leasing operations during 2023, depending on customer demand, most of which will be financed. We also expect to make capital expenditures for the purchase of recurring items such as computers, shop tools and equipment and company vehicles of approximately $35.0 million to $40.0 million during 2023.</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under contract to construct a new facility in Pontoon Beach, Illinois at an estimated cost of $13.9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2022, we paid a cash dividend of $11.4 million. Additionally, on February 14, 2023, our Board of Directors declared a cash dividend of $0.21 per share of Class A and Class B common stock, to be paid on March 16, 2023, to all shareholders of record as of February 27, 2023. The total dividend disbursement is estimated to be approximately $11.4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2, 2022,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2022.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2022, we had repurchased $5.8 million of our shares of common stock under the current stock repurchase program. The current stock repurchase program expires on December 31, 2023, and may be suspended or discontinued at any time.</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December 31, 2022.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294,400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422,346</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762,982</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(240,930)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(432,905)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(127,457)</w:t>
            </w: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(690)</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(153,343)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(505,097)</w:t>
            </w: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(decrease) in cash</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52,898</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(163,902)</w:t>
            </w:r>
          </w:p>
        </w:tc>
        <w:tc>
          <w:tcPr>
            <w:tcW w:w="3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130,428</w:t>
            </w:r>
          </w:p>
        </w:tc>
        <w:tc>
          <w:tcPr>
            <w:tcW w:w="100" w:type="dxa"/>
            <w:vAlign w:val="bottom"/>
            <w:tcBorders>
              <w:top w:val="single" w:sz="8" w:color="CCEEFF"/>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2022, operating activities resulted in net cash provided by operations of $294.4 million. Net cash provided by operating activities primarily consisted of $392.1 million in net income, as well as non-cash adjustments related to depreciation and amortization of $199.1 million, deferred income tax of $4.3 million and stock-based compensation of $25.3 million. Cash used in operating activities included an aggregate of $304.5 million net change in operating assets and liabilities. Included in the net change in operating assets and liabilities were primarily the result of $31.4 million from the increase in accounts payable, $34.1 million from the increase in customer deposits and $32.8 million from the increase in accrued liabilities which were offset primarily by cash outflows of $74.6 million from an increase in accounts receivable and $324.5 million from an increase in inventory. The majority of commercial vehicle inventory is financed through our floor plan credit agreements.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2021, operating activities resulted in net cash provided by operations of $422.3 million. Net cash provided by operating activities primarily consisted of $241.4 million in net income, as well as non-cash adjustments related to depreciation and amortization of $169.5 million, deferred income tax of $13.7 million and stock-based compensation of $22.2 million. Cash used in operating activities included an aggregate of $17.4 million net change in operating assets and liabilities. Included in the net change in operating assets and liabilities were cash inflows of $32.3 million from a decrease in accounts receivable, $12.1 million from the increase in accounts payable and $3.0 million from the increase in customer deposits, which were offset by cash outflows of $33.6 million from an increase in inventory and $31.0 million from the decrease in accrued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2022, cash used in investing activities totaled $240.9 million. Cash flows used in investing activities consist primarily of cash used for capital expenditures and business acquisitions. Cash used for business acquisitions was $20.8 million during the year ended December 31, 2022. See Note 15 of the Notes to Consolidated Financial Statements for a detailed discussion of the business acquisitions. Capital expenditures totaled $243.1 million during 2022 and consisted primarily of purchases of property and equipment, improvements to our existing dealership facilities and $168.5 million for purchases of rental and lease vehicles for the rental and leasing operations.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2021, cash used in investing activities totaled $432.9 million. Cash flows used in investing activities consist primarily of cash used for capital expenditures and business acquisitions. Cash used for business acquisitions was $269.3 million during the year ended December 31, 2021. See Note 15 of the Notes to Consolidated Financial Statements for a detailed discussion of the business acquisitions. Capital expenditures totaled $167.2 million during 2021 and consisted primarily of purchases of property and equipment, improvements to our existing dealership facilities and $164.6 million for purchases of rental and lease vehicles for the rental and leasing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Cash flows used in financing activities include borrowings and repayments of long-term debt and net payments of floor plan notes payable. During 2022, our financing activities resulted in net cash used in financing of $0.7 million. The cash outflows consisted primarily of $1,099.2 million used for principal repayments of long-term debt and capital lease obligations during 2022 and $8.7 million for taxes paid related to net share settlement of equity awards. Additionally, during 2022, we paid cash dividends of $44.6 million and used $93.7 million to repurchase shares of Rush Class A common stock and Rush Class B common stock. These cash outflows were partially offset by $273.9 million from net draws on floor plan notes payable (non-trade), borrowings of $958.3 million of long-term debt and $13.3 million from the issuance of shares related to equity compensation plans.</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2021, our financing activities resulted in net cash used in financing of $153.3 million. The cash outflows consisted primarily of $468.8 million used for principal repayments of long-term debt and capital lease obligations and $33.6 million used to purchase shares of Rush Class A common stock and Rush Class B common stock during. Additionally, during 2021, we paid cash dividends of $41.1 million. These cash outflows were partially offset by $118.9 million from net draws on floor plan notes payable (non-trade), borrowings of $260.3 million of long-term debt related to the lease and rental fleet and $10.9 million from the issuance of shares related to equity compensation plans.</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14, 2021, we entered into the WF Credit Agreement with the WF Lenders and the WF Agent which was amended effective November 30, 2022. Pursuant to the terms of the WF Credit Agreement,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SOFR plus (i) 1.25% or (ii) 1.5%, depending on our consolidated leverage ratio or (B) on or after the term SOFR transition date, the term SOFR plus (i) 1.25% or (ii) 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December 31, 2022, we had approximately $40.5 million outstanding under the WF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October 1, 2021, we entered into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December 31, 2022, we had approximately $185.0 million outstanding under the PLC Agreement.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days or less from the date the commercial vehicles are invoiced from the factory. On September 14, 2021, we entered into Floor Plan Credit Agreement with BMO Harris and the lenders signatory thereto.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December 31, 2022, we had approximately $762.9 million outstanding under the Floor Plan Credit Agreement. The average daily outstanding borrowings under the Floor Plan Credit Agreement were $638.6 million during the year ended December 31, 2022.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31, 2022, RTC Canada entered into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 Advances under the RTC Canada Revolving Credit Agreement bear interest per annum, payable on the first business day of each calendar month, at CDOR, plus 1.35%. The RTC Canada Revolving Credit Agreement expires September 14, 2026. On December 31, 2022, we had approximately $49.9 million outstanding under the RTC Canada Revolving Credit Agreement.</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15, 2022, RTC Canada entered into the RTC Canada Floor Plan Agreement with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Agreement bear interest per annum, payable on the first business day of each calendar month, at CDOR, plus 0.90% and in the case of an advance required to be made in USD dollars, at LIBOR, plus 1.10%. The RTC Canada Floor Plan Agreement expires September 14, 2026. On December 31, 2022, we had approximately $44.6 million outstanding under the RTC Canada Floor Plan Agreement.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exposed to market risk through interest rates related to our floor plan financing agreements, the WF Credit Agreement, the PLC Agreement, the RTC Canada Revolving Credit Agreement and discount rates related to finance sales. Our floor plan debt is based on LIBOR and CDOR, the WF Credit Agreement is based on SOFR, the RTC Canada Revolving Credit Agreement is based on CDOR and the PLC Agreement is based on the prime rate. As of December 31, 2022, we had outstanding floor plan borrowings and lease and rental fleet borrowings in the aggregate amount of $1,208.6 million. Assuming an increase or decrease in LIBOR, SOFR, CDOR or the prime rate of 100 basis points, annual interest expense could correspondingly increase or decrease by approximately $12.1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944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18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696"/>
        </w:trPr>
        <w:tc>
          <w:tcPr>
            <w:tcW w:w="94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0" w:type="dxa"/>
            <w:vAlign w:val="bottom"/>
          </w:tcPr>
          <w:p>
            <w:pPr>
              <w:spacing w:after="0"/>
              <w:rPr>
                <w:sz w:val="24"/>
                <w:szCs w:val="24"/>
                <w:color w:val="auto"/>
              </w:rPr>
            </w:pPr>
          </w:p>
        </w:tc>
      </w:tr>
      <w:tr>
        <w:trPr>
          <w:trHeight w:val="391"/>
        </w:trPr>
        <w:tc>
          <w:tcPr>
            <w:tcW w:w="5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Report of Independent Registered Public Accounting Firm (PCAOB ID: 42)</w:t>
            </w:r>
          </w:p>
        </w:tc>
        <w:tc>
          <w:tcPr>
            <w:tcW w:w="3940" w:type="dxa"/>
            <w:vAlign w:val="bottom"/>
            <w:gridSpan w:val="5"/>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46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Consolidated Balance Sheets as of December 31, 2022 and 2021</w:t>
            </w:r>
          </w:p>
        </w:tc>
        <w:tc>
          <w:tcPr>
            <w:tcW w:w="4780" w:type="dxa"/>
            <w:vAlign w:val="bottom"/>
            <w:gridSpan w:val="6"/>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9440" w:type="dxa"/>
            <w:vAlign w:val="bottom"/>
            <w:gridSpan w:val="9"/>
          </w:tcPr>
          <w:p>
            <w:pPr>
              <w:spacing w:after="0"/>
              <w:rPr>
                <w:sz w:val="20"/>
                <w:szCs w:val="20"/>
                <w:color w:val="auto"/>
              </w:rPr>
            </w:pPr>
            <w:r>
              <w:rPr>
                <w:rFonts w:ascii="Arial" w:cs="Arial" w:eastAsia="Arial" w:hAnsi="Arial"/>
                <w:sz w:val="18"/>
                <w:szCs w:val="18"/>
                <w:color w:val="0000EE"/>
              </w:rPr>
              <w:t>Consolidated Statements of Income for the Years Ended December 31, 2022, 2021 and 2020</w:t>
            </w: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2"/>
        </w:trPr>
        <w:tc>
          <w:tcPr>
            <w:tcW w:w="78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Consolidated Statements of Comprehensive Income for the Years Ended December 31, 2022, 2021 and 2020</w:t>
            </w: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7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Consolidated Statements of Shareholders’ Equity for the Years Ended December 31, 2022, 2021 and 2020</w:t>
            </w:r>
          </w:p>
        </w:tc>
        <w:tc>
          <w:tcPr>
            <w:tcW w:w="180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9440" w:type="dxa"/>
            <w:vAlign w:val="bottom"/>
            <w:gridSpan w:val="9"/>
          </w:tcPr>
          <w:p>
            <w:pPr>
              <w:spacing w:after="0"/>
              <w:rPr>
                <w:sz w:val="20"/>
                <w:szCs w:val="20"/>
                <w:color w:val="auto"/>
              </w:rPr>
            </w:pPr>
            <w:r>
              <w:rPr>
                <w:rFonts w:ascii="Arial" w:cs="Arial" w:eastAsia="Arial" w:hAnsi="Arial"/>
                <w:sz w:val="18"/>
                <w:szCs w:val="18"/>
                <w:color w:val="0000EE"/>
              </w:rPr>
              <w:t>Consolidated Statements of Cash Flows for the Years Ended December 31, 2022, 2021 and 2020</w:t>
            </w: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31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3800" w:type="dxa"/>
            <w:vAlign w:val="bottom"/>
            <w:tcBorders>
              <w:top w:val="single" w:sz="8" w:color="0000EE"/>
            </w:tcBorders>
            <w:gridSpan w:val="4"/>
          </w:tcPr>
          <w:p>
            <w:pPr>
              <w:spacing w:after="0"/>
              <w:rPr>
                <w:sz w:val="24"/>
                <w:szCs w:val="24"/>
                <w:color w:val="auto"/>
              </w:rPr>
            </w:pPr>
          </w:p>
        </w:tc>
        <w:tc>
          <w:tcPr>
            <w:tcW w:w="2480" w:type="dxa"/>
            <w:vAlign w:val="bottom"/>
            <w:gridSpan w:val="3"/>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53"/>
        </w:trPr>
        <w:tc>
          <w:tcPr>
            <w:tcW w:w="6660" w:type="dxa"/>
            <w:vAlign w:val="bottom"/>
            <w:gridSpan w:val="5"/>
          </w:tcPr>
          <w:p>
            <w:pPr>
              <w:ind w:left="55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Rush Enterprises,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Rush Enterprises, Inc. and subsidiaries (the Company) as of December 31, 2022 and 2021, and the related consolidated statements of income, comprehensive income,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23,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392" w:lineRule="exact"/>
        <w:rPr>
          <w:sz w:val="20"/>
          <w:szCs w:val="20"/>
          <w:color w:val="auto"/>
        </w:rPr>
      </w:pPr>
    </w:p>
    <w:p>
      <w:pPr>
        <w:ind w:left="2260"/>
        <w:spacing w:after="0"/>
        <w:rPr>
          <w:sz w:val="20"/>
          <w:szCs w:val="20"/>
          <w:color w:val="auto"/>
        </w:rPr>
      </w:pPr>
      <w:r>
        <w:rPr>
          <w:rFonts w:ascii="Arial" w:cs="Arial" w:eastAsia="Arial" w:hAnsi="Arial"/>
          <w:sz w:val="18"/>
          <w:szCs w:val="18"/>
          <w:b w:val="1"/>
          <w:bCs w:val="1"/>
          <w:i w:val="1"/>
          <w:iCs w:val="1"/>
          <w:color w:val="auto"/>
        </w:rPr>
        <w:t>Used Commercial Vehicle Inventory Reserves</w:t>
      </w:r>
    </w:p>
    <w:p>
      <w:pPr>
        <w:spacing w:after="0" w:line="225" w:lineRule="exact"/>
        <w:rPr>
          <w:sz w:val="20"/>
          <w:szCs w:val="20"/>
          <w:color w:val="auto"/>
        </w:rPr>
      </w:pPr>
    </w:p>
    <w:p>
      <w:pPr>
        <w:ind w:left="2260" w:right="20" w:hanging="2253"/>
        <w:spacing w:after="0" w:line="273"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At December 31, 2022, the Company’s used commercial vehicle inventory balance is approximately $80 million, which is net of management’s estimate of used commercial vehicle inventory reserves in the amount of approximately $7 million. As described in Note 6 to the consolidated financial statements, management adjusts the value of its inventory to net realizable value to the extent it determines inventory cost cannot be recovered. Management estimates future demand and sales prices to calculate the used commercial vehicle inventory reserves and to make corresponding adjustments to the carrying value of these inventories to reflect the lower of cost or net realizable value.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8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3"/>
              </w:rPr>
              <w:t>Auditing management’s estimate of the used commercial vehicle inventory reserves involved auditor subjective judgment</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0"/>
              </w:rPr>
              <w:t>because the estimate is sensitive to changes in management’s assumptions for forecasted product demand and future sales</w:t>
            </w:r>
          </w:p>
        </w:tc>
      </w:tr>
      <w:tr>
        <w:trPr>
          <w:trHeight w:val="230"/>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rPr>
              <w:t>prices.</w:t>
            </w: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How We Addressed the</w:t>
            </w:r>
          </w:p>
        </w:tc>
        <w:tc>
          <w:tcPr>
            <w:tcW w:w="9280" w:type="dxa"/>
            <w:vAlign w:val="bottom"/>
          </w:tcPr>
          <w:p>
            <w:pPr>
              <w:ind w:left="300"/>
              <w:spacing w:after="0"/>
              <w:rPr>
                <w:sz w:val="20"/>
                <w:szCs w:val="20"/>
                <w:color w:val="auto"/>
              </w:rPr>
            </w:pPr>
            <w:r>
              <w:rPr>
                <w:rFonts w:ascii="Arial" w:cs="Arial" w:eastAsia="Arial" w:hAnsi="Arial"/>
                <w:sz w:val="18"/>
                <w:szCs w:val="18"/>
                <w:color w:val="auto"/>
                <w:w w:val="91"/>
              </w:rPr>
              <w:t>We evaluated and tested the design and operating effectiveness of controls over the Company’s processes to estimate the</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Matter in Our Audit</w:t>
            </w:r>
          </w:p>
        </w:tc>
        <w:tc>
          <w:tcPr>
            <w:tcW w:w="9280" w:type="dxa"/>
            <w:vAlign w:val="bottom"/>
          </w:tcPr>
          <w:p>
            <w:pPr>
              <w:ind w:left="300"/>
              <w:spacing w:after="0"/>
              <w:rPr>
                <w:sz w:val="20"/>
                <w:szCs w:val="20"/>
                <w:color w:val="auto"/>
              </w:rPr>
            </w:pPr>
            <w:r>
              <w:rPr>
                <w:rFonts w:ascii="Arial" w:cs="Arial" w:eastAsia="Arial" w:hAnsi="Arial"/>
                <w:sz w:val="18"/>
                <w:szCs w:val="18"/>
                <w:color w:val="auto"/>
                <w:w w:val="91"/>
              </w:rPr>
              <w:t>used commercial vehicle inventory reserve, which included management’s review of the underlying significant assumptions.</w:t>
            </w:r>
          </w:p>
        </w:tc>
      </w:tr>
      <w:tr>
        <w:trPr>
          <w:trHeight w:val="418"/>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1"/>
              </w:rPr>
              <w:t>Our substantive audit procedures included, among others, evaluating the significant assumptions described above, and we</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5"/>
              </w:rPr>
              <w:t>tested the completeness and accuracy of underlying data used in the estimation calculations and evaluating significant</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89"/>
              </w:rPr>
              <w:t>assumptions. We also compared the cost of on-hand used commercial vehicle inventories to customer demand forecasts and</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4"/>
              </w:rPr>
              <w:t>historical sales. We assessed the historical accuracy of management’s estimates and performed sensitivity analyses of</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3"/>
              </w:rPr>
              <w:t>significant assumptions to evaluate the changes in the used commercial vehicle inventory reserves that would result from</w:t>
            </w:r>
          </w:p>
        </w:tc>
      </w:tr>
      <w:tr>
        <w:trPr>
          <w:trHeight w:val="230"/>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rPr>
              <w:t>changes in the assumptions.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Arial" w:cs="Arial" w:eastAsia="Arial" w:hAnsi="Arial"/>
                <w:sz w:val="18"/>
                <w:szCs w:val="18"/>
                <w:color w:val="auto"/>
                <w:w w:val="95"/>
              </w:rPr>
              <w:t>RUSH ENTERPRISES, INC.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Arial" w:cs="Arial" w:eastAsia="Arial" w:hAnsi="Arial"/>
                <w:sz w:val="18"/>
                <w:szCs w:val="18"/>
                <w:color w:val="auto"/>
                <w:w w:val="96"/>
              </w:rPr>
              <w:t>CONSOLIDATED BALANCE SHEETS</w:t>
            </w:r>
          </w:p>
        </w:tc>
        <w:tc>
          <w:tcPr>
            <w:tcW w:w="4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6720" w:type="dxa"/>
            <w:vAlign w:val="bottom"/>
            <w:gridSpan w:val="6"/>
          </w:tcPr>
          <w:p>
            <w:pPr>
              <w:jc w:val="center"/>
              <w:ind w:left="1870"/>
              <w:spacing w:after="0"/>
              <w:rPr>
                <w:sz w:val="20"/>
                <w:szCs w:val="20"/>
                <w:color w:val="auto"/>
              </w:rPr>
            </w:pPr>
            <w:r>
              <w:rPr>
                <w:rFonts w:ascii="Arial" w:cs="Arial" w:eastAsia="Arial" w:hAnsi="Arial"/>
                <w:sz w:val="18"/>
                <w:szCs w:val="18"/>
                <w:color w:val="auto"/>
                <w:w w:val="88"/>
              </w:rPr>
              <w:t>(In Thousands, Except Shares and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201,044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148,146</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220,651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140,186</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1,020,136</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100" w:type="dxa"/>
            <w:vAlign w:val="bottom"/>
          </w:tcPr>
          <w:p>
            <w:pPr>
              <w:spacing w:after="0"/>
              <w:rPr>
                <w:sz w:val="18"/>
                <w:szCs w:val="18"/>
                <w:color w:val="auto"/>
              </w:rPr>
            </w:pPr>
          </w:p>
        </w:tc>
      </w:tr>
      <w:tr>
        <w:trPr>
          <w:trHeight w:val="210"/>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1,324,454</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1,368,594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1,278,207</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69,008</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Goodwill,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416,363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370,331</w:t>
            </w:r>
          </w:p>
        </w:tc>
      </w:tr>
      <w:tr>
        <w:trPr>
          <w:trHeight w:val="216"/>
        </w:trPr>
        <w:tc>
          <w:tcPr>
            <w:tcW w:w="80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3,821,066</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3,119,977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Floor plan notes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933,203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630,731</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26,695</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12,096</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122,291</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116,240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80,561</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1,428,674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1,003,504</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334,926</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93,483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89,835</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57,976</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26,514</w:t>
            </w:r>
          </w:p>
        </w:tc>
      </w:tr>
      <w:tr>
        <w:trPr>
          <w:trHeight w:val="216"/>
        </w:trPr>
        <w:tc>
          <w:tcPr>
            <w:tcW w:w="8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140,473</w:t>
            </w:r>
          </w:p>
        </w:tc>
      </w:tr>
      <w:tr>
        <w:trPr>
          <w:trHeight w:val="216"/>
        </w:trPr>
        <w:tc>
          <w:tcPr>
            <w:tcW w:w="8000" w:type="dxa"/>
            <w:vAlign w:val="bottom"/>
            <w:gridSpan w:val="7"/>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7"/>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2022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2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7"/>
          </w:tcPr>
          <w:p>
            <w:pPr>
              <w:ind w:left="18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7"/>
          </w:tcPr>
          <w:p>
            <w:pPr>
              <w:ind w:left="340"/>
              <w:spacing w:after="0"/>
              <w:rPr>
                <w:sz w:val="20"/>
                <w:szCs w:val="20"/>
                <w:color w:val="auto"/>
              </w:rPr>
            </w:pPr>
            <w:r>
              <w:rPr>
                <w:rFonts w:ascii="Arial" w:cs="Arial" w:eastAsia="Arial" w:hAnsi="Arial"/>
                <w:sz w:val="18"/>
                <w:szCs w:val="18"/>
                <w:color w:val="auto"/>
                <w:w w:val="99"/>
              </w:rPr>
              <w:t>authorized; 42,345,361 Class A shares and 12,083,085 Class B shares outstanding in 2022; and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7"/>
          </w:tcPr>
          <w:p>
            <w:pPr>
              <w:ind w:left="340"/>
              <w:spacing w:after="0"/>
              <w:rPr>
                <w:sz w:val="20"/>
                <w:szCs w:val="20"/>
                <w:color w:val="auto"/>
              </w:rPr>
            </w:pPr>
            <w:r>
              <w:rPr>
                <w:rFonts w:ascii="Arial" w:cs="Arial" w:eastAsia="Arial" w:hAnsi="Arial"/>
                <w:sz w:val="18"/>
                <w:szCs w:val="18"/>
                <w:color w:val="auto"/>
              </w:rPr>
              <w:t>43,107,867 Class A shares and 12,398,606 Class B shares outstanding in 2021</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470,750</w:t>
            </w:r>
          </w:p>
        </w:tc>
      </w:tr>
      <w:tr>
        <w:trPr>
          <w:trHeight w:val="202"/>
        </w:trPr>
        <w:tc>
          <w:tcPr>
            <w:tcW w:w="8000" w:type="dxa"/>
            <w:vAlign w:val="bottom"/>
            <w:gridSpan w:val="7"/>
          </w:tcPr>
          <w:p>
            <w:pPr>
              <w:ind w:left="180"/>
              <w:spacing w:after="0" w:line="201" w:lineRule="exact"/>
              <w:rPr>
                <w:sz w:val="20"/>
                <w:szCs w:val="20"/>
                <w:color w:val="auto"/>
              </w:rPr>
            </w:pPr>
            <w:r>
              <w:rPr>
                <w:rFonts w:ascii="Arial" w:cs="Arial" w:eastAsia="Arial" w:hAnsi="Arial"/>
                <w:sz w:val="18"/>
                <w:szCs w:val="18"/>
                <w:color w:val="auto"/>
                <w:w w:val="89"/>
              </w:rPr>
              <w:t>Treasury stock, at cost: 1,626,777 Class A shares and 1,112,446 Class B shares in 2022; and 339,786 Class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7"/>
          </w:tcPr>
          <w:p>
            <w:pPr>
              <w:ind w:left="340"/>
              <w:spacing w:after="0"/>
              <w:rPr>
                <w:sz w:val="20"/>
                <w:szCs w:val="20"/>
                <w:color w:val="auto"/>
              </w:rPr>
            </w:pPr>
            <w:r>
              <w:rPr>
                <w:rFonts w:ascii="Arial" w:cs="Arial" w:eastAsia="Arial" w:hAnsi="Arial"/>
                <w:sz w:val="18"/>
                <w:szCs w:val="18"/>
                <w:color w:val="auto"/>
              </w:rPr>
              <w:t>A shares and 492,052 Class B shares in 2021</w:t>
            </w:r>
          </w:p>
        </w:tc>
        <w:tc>
          <w:tcPr>
            <w:tcW w:w="1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(130,930)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(36,933)</w:t>
            </w:r>
          </w:p>
        </w:tc>
      </w:tr>
      <w:tr>
        <w:trPr>
          <w:trHeight w:val="216"/>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1,031,582</w:t>
            </w: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09"/>
        </w:trPr>
        <w:tc>
          <w:tcPr>
            <w:tcW w:w="80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Total Rush Enterprises, Inc. shareholders’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1,744,491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1,466,749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7"/>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1,763,022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ind w:left="180"/>
              <w:spacing w:after="0"/>
              <w:rPr>
                <w:sz w:val="20"/>
                <w:szCs w:val="20"/>
                <w:color w:val="auto"/>
              </w:rPr>
            </w:pPr>
            <w:r>
              <w:rPr>
                <w:rFonts w:ascii="Arial" w:cs="Arial" w:eastAsia="Arial" w:hAnsi="Arial"/>
                <w:sz w:val="18"/>
                <w:szCs w:val="18"/>
                <w:b w:val="1"/>
                <w:bCs w:val="1"/>
                <w:color w:val="auto"/>
              </w:rPr>
              <w:t>Total 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3,821,066</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3,119,977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02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2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20" w:type="dxa"/>
            <w:vAlign w:val="bottom"/>
            <w:gridSpan w:val="8"/>
          </w:tcPr>
          <w:p>
            <w:pPr>
              <w:jc w:val="center"/>
              <w:ind w:right="480"/>
              <w:spacing w:after="0"/>
              <w:rPr>
                <w:sz w:val="20"/>
                <w:szCs w:val="20"/>
                <w:color w:val="auto"/>
              </w:rPr>
            </w:pPr>
            <w:r>
              <w:rPr>
                <w:rFonts w:ascii="Arial" w:cs="Arial" w:eastAsia="Arial" w:hAnsi="Arial"/>
                <w:sz w:val="18"/>
                <w:szCs w:val="18"/>
                <w:color w:val="auto"/>
                <w:w w:val="95"/>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6"/>
          </w:tcPr>
          <w:p>
            <w:pPr>
              <w:jc w:val="center"/>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89"/>
              </w:rPr>
              <w:t>(In Thousands, Except Per Share Amounts)</w:t>
            </w:r>
          </w:p>
        </w:tc>
        <w:tc>
          <w:tcPr>
            <w:tcW w:w="6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8"/>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New and used commercial vehicle sales</w:t>
            </w:r>
          </w:p>
        </w:tc>
        <w:tc>
          <w:tcPr>
            <w:tcW w:w="2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4,351,370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3,039,953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2,863,309</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2,372,439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1,793,363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1,600,445</w:t>
            </w: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Lease and rental sales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322,257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247,234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236,223</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29,741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21,949</w:t>
            </w: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25,863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14,014</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7,101,670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5,126,142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4,735,940</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Cost of products sold</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3,937,091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2,736,502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2,641,487</w:t>
            </w: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1,455,616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1,109,249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1,016,574</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Lease and rental sales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221,804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188,093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202,412</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Total cost of products sold</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5,614,511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4,033,844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3,860,473</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1,487,159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875,467</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Selling, general and administrative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927,836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731,340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665,258</w:t>
            </w: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55,665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57,456</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Gain on sale of assets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2,455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506,113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309,036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154,605</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Other income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22,338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6,417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6,132</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Interest income (expense):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Interest income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639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(19,763)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(9,727)</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spacing w:after="0"/>
              <w:rPr>
                <w:sz w:val="20"/>
                <w:szCs w:val="20"/>
                <w:color w:val="auto"/>
              </w:rPr>
            </w:pPr>
            <w:r>
              <w:rPr>
                <w:rFonts w:ascii="Arial" w:cs="Arial" w:eastAsia="Arial" w:hAnsi="Arial"/>
                <w:sz w:val="18"/>
                <w:szCs w:val="18"/>
                <w:color w:val="auto"/>
              </w:rPr>
              <w:t>Total interest expense, net</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(19,124)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(9,014)</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509,327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313,683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151,723</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Income tax provision</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117,242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72,268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36,836</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392,085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114,887</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w w:val="92"/>
              </w:rPr>
              <w:t>Less: Net income attributable to noncontrolling interest</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703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5"/>
              </w:rPr>
              <w:t>Net income attributable to Rush Enterprises, Inc.</w:t>
            </w:r>
          </w:p>
        </w:tc>
        <w:tc>
          <w:tcPr>
            <w:tcW w:w="2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391,382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241,415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114,887</w:t>
            </w: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gridSpan w:val="2"/>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6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9"/>
              </w:rPr>
              <w:t>Net income attributable to Rush Enterprises, Inc. per share of common stock:</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Basic</w:t>
            </w:r>
          </w:p>
        </w:tc>
        <w:tc>
          <w:tcPr>
            <w:tcW w:w="2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7.06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w:t>
            </w:r>
          </w:p>
        </w:tc>
        <w:tc>
          <w:tcPr>
            <w:tcW w:w="2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432"/>
        </w:trPr>
        <w:tc>
          <w:tcPr>
            <w:tcW w:w="1280" w:type="dxa"/>
            <w:vAlign w:val="bottom"/>
          </w:tcPr>
          <w:p>
            <w:pPr>
              <w:spacing w:after="0"/>
              <w:rPr>
                <w:sz w:val="24"/>
                <w:szCs w:val="24"/>
                <w:color w:val="auto"/>
              </w:rPr>
            </w:pPr>
          </w:p>
        </w:tc>
        <w:tc>
          <w:tcPr>
            <w:tcW w:w="8320" w:type="dxa"/>
            <w:vAlign w:val="bottom"/>
            <w:gridSpan w:val="12"/>
          </w:tcPr>
          <w:p>
            <w:pPr>
              <w:jc w:val="center"/>
              <w:ind w:left="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jc w:val="center"/>
              <w:ind w:left="830"/>
              <w:spacing w:after="0"/>
              <w:rPr>
                <w:sz w:val="20"/>
                <w:szCs w:val="20"/>
                <w:color w:val="auto"/>
              </w:rPr>
            </w:pPr>
            <w:r>
              <w:rPr>
                <w:rFonts w:ascii="Arial" w:cs="Arial" w:eastAsia="Arial" w:hAnsi="Arial"/>
                <w:sz w:val="18"/>
                <w:szCs w:val="18"/>
                <w:color w:val="auto"/>
                <w:w w:val="89"/>
              </w:rPr>
              <w:t>51</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gridSpan w:val="5"/>
          </w:tcPr>
          <w:p>
            <w:pPr>
              <w:jc w:val="center"/>
              <w:ind w:right="480"/>
              <w:spacing w:after="0"/>
              <w:rPr>
                <w:sz w:val="20"/>
                <w:szCs w:val="20"/>
                <w:color w:val="auto"/>
              </w:rPr>
            </w:pPr>
            <w:r>
              <w:rPr>
                <w:rFonts w:ascii="Arial" w:cs="Arial" w:eastAsia="Arial" w:hAnsi="Arial"/>
                <w:sz w:val="18"/>
                <w:szCs w:val="18"/>
                <w:color w:val="auto"/>
                <w:w w:val="95"/>
              </w:rPr>
              <w:t>RUSH ENTERPRISES,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gridSpan w:val="3"/>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320" w:type="dxa"/>
            <w:vAlign w:val="bottom"/>
            <w:gridSpan w:val="8"/>
          </w:tcPr>
          <w:p>
            <w:pPr>
              <w:jc w:val="center"/>
              <w:ind w:right="180"/>
              <w:spacing w:after="0" w:line="196" w:lineRule="exact"/>
              <w:rPr>
                <w:sz w:val="20"/>
                <w:szCs w:val="20"/>
                <w:color w:val="auto"/>
              </w:rPr>
            </w:pPr>
            <w:r>
              <w:rPr>
                <w:rFonts w:ascii="Arial" w:cs="Arial" w:eastAsia="Arial" w:hAnsi="Arial"/>
                <w:sz w:val="18"/>
                <w:szCs w:val="18"/>
                <w:color w:val="auto"/>
                <w:w w:val="95"/>
              </w:rPr>
              <w:t>CONSOLIDATED STATEMENTS OF COMPREHENSIVE INCOME</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0"/>
              </w:rPr>
              <w:t>(In Thousands)</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241,415</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114,887</w:t>
            </w:r>
          </w:p>
        </w:tc>
      </w:tr>
      <w:tr>
        <w:trPr>
          <w:trHeight w:val="216"/>
        </w:trPr>
        <w:tc>
          <w:tcPr>
            <w:tcW w:w="632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16"/>
        </w:trPr>
        <w:tc>
          <w:tcPr>
            <w:tcW w:w="6320" w:type="dxa"/>
            <w:vAlign w:val="bottom"/>
            <w:gridSpan w:val="4"/>
          </w:tcPr>
          <w:p>
            <w:pPr>
              <w:ind w:left="180"/>
              <w:spacing w:after="0"/>
              <w:rPr>
                <w:sz w:val="20"/>
                <w:szCs w:val="20"/>
                <w:color w:val="auto"/>
              </w:rPr>
            </w:pPr>
            <w:r>
              <w:rPr>
                <w:rFonts w:ascii="Arial" w:cs="Arial" w:eastAsia="Arial" w:hAnsi="Arial"/>
                <w:sz w:val="18"/>
                <w:szCs w:val="18"/>
                <w:color w:val="auto"/>
              </w:rPr>
              <w:t>Reclassification of currency translation related to equity method accounting</w:t>
            </w:r>
          </w:p>
        </w:tc>
        <w:tc>
          <w:tcPr>
            <w:tcW w:w="32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 attributable to Rush Enterprises, Inc.</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09"/>
        </w:trPr>
        <w:tc>
          <w:tcPr>
            <w:tcW w:w="632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387,168</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115,419</w:t>
            </w:r>
          </w:p>
        </w:tc>
        <w:tc>
          <w:tcPr>
            <w:tcW w:w="100" w:type="dxa"/>
            <w:vAlign w:val="bottom"/>
            <w:tcBorders>
              <w:top w:val="single" w:sz="8" w:color="CCEEFF"/>
            </w:tcBorders>
          </w:tcPr>
          <w:p>
            <w:pPr>
              <w:spacing w:after="0"/>
              <w:rPr>
                <w:sz w:val="18"/>
                <w:szCs w:val="18"/>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32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Comprehensive income attributable to Rush Enterprises, Inc.</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386,465</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115,419</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228"/>
              <w:spacing w:after="0"/>
              <w:rPr>
                <w:sz w:val="20"/>
                <w:szCs w:val="20"/>
                <w:color w:val="auto"/>
              </w:rPr>
            </w:pPr>
            <w:r>
              <w:rPr>
                <w:rFonts w:ascii="Arial" w:cs="Arial" w:eastAsia="Arial" w:hAnsi="Arial"/>
                <w:sz w:val="14"/>
                <w:szCs w:val="14"/>
                <w:color w:val="auto"/>
                <w:w w:val="96"/>
              </w:rPr>
              <w:t>Total</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4"/>
              </w:rPr>
              <w:t>Common Stock</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Rush</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6"/>
              </w:rPr>
              <w:t>Accumulated</w:t>
            </w:r>
          </w:p>
        </w:tc>
        <w:tc>
          <w:tcPr>
            <w:tcW w:w="104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0"/>
              </w:rPr>
              <w:t>Enterprises,</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Other</w:t>
            </w:r>
          </w:p>
        </w:tc>
        <w:tc>
          <w:tcPr>
            <w:tcW w:w="240" w:type="dxa"/>
            <w:vAlign w:val="bottom"/>
          </w:tcPr>
          <w:p>
            <w:pPr>
              <w:spacing w:after="0"/>
              <w:rPr>
                <w:sz w:val="12"/>
                <w:szCs w:val="12"/>
                <w:color w:val="auto"/>
              </w:rPr>
            </w:pPr>
          </w:p>
        </w:tc>
        <w:tc>
          <w:tcPr>
            <w:tcW w:w="80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7"/>
              </w:rPr>
              <w:t>Inc.</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Outstanding</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$0.01 Par</w:t>
            </w:r>
          </w:p>
        </w:tc>
        <w:tc>
          <w:tcPr>
            <w:tcW w:w="18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Arial" w:cs="Arial" w:eastAsia="Arial" w:hAnsi="Arial"/>
                <w:sz w:val="14"/>
                <w:szCs w:val="14"/>
                <w:color w:val="auto"/>
                <w:w w:val="95"/>
              </w:rPr>
              <w:t>Paid -In</w:t>
            </w:r>
          </w:p>
        </w:tc>
        <w:tc>
          <w:tcPr>
            <w:tcW w:w="16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w w:val="90"/>
              </w:rPr>
              <w:t>Treasury</w:t>
            </w:r>
          </w:p>
        </w:tc>
        <w:tc>
          <w:tcPr>
            <w:tcW w:w="16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w w:val="89"/>
              </w:rPr>
              <w:t>Retained</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Comprehensive</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2"/>
              </w:rPr>
              <w:t>Shareholders’</w:t>
            </w: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Noncontrolling</w:t>
            </w:r>
          </w:p>
        </w:tc>
        <w:tc>
          <w:tcPr>
            <w:tcW w:w="1020" w:type="dxa"/>
            <w:vAlign w:val="bottom"/>
            <w:gridSpan w:val="3"/>
          </w:tcPr>
          <w:p>
            <w:pPr>
              <w:ind w:left="10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78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Class A</w:t>
            </w:r>
          </w:p>
        </w:tc>
        <w:tc>
          <w:tcPr>
            <w:tcW w:w="6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color w:val="auto"/>
              </w:rPr>
              <w:t>Class B</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48"/>
              <w:spacing w:after="0" w:line="142" w:lineRule="exact"/>
              <w:rPr>
                <w:sz w:val="20"/>
                <w:szCs w:val="20"/>
                <w:color w:val="auto"/>
              </w:rPr>
            </w:pPr>
            <w:r>
              <w:rPr>
                <w:rFonts w:ascii="Arial" w:cs="Arial" w:eastAsia="Arial" w:hAnsi="Arial"/>
                <w:sz w:val="14"/>
                <w:szCs w:val="14"/>
                <w:color w:val="auto"/>
                <w:w w:val="94"/>
              </w:rPr>
              <w:t>Value</w:t>
            </w:r>
          </w:p>
        </w:tc>
        <w:tc>
          <w:tcPr>
            <w:tcW w:w="180" w:type="dxa"/>
            <w:vAlign w:val="bottom"/>
          </w:tcPr>
          <w:p>
            <w:pPr>
              <w:spacing w:after="0"/>
              <w:rPr>
                <w:sz w:val="12"/>
                <w:szCs w:val="12"/>
                <w:color w:val="auto"/>
              </w:rPr>
            </w:pPr>
          </w:p>
        </w:tc>
        <w:tc>
          <w:tcPr>
            <w:tcW w:w="700" w:type="dxa"/>
            <w:vAlign w:val="bottom"/>
          </w:tcPr>
          <w:p>
            <w:pPr>
              <w:jc w:val="center"/>
              <w:ind w:right="128"/>
              <w:spacing w:after="0" w:line="142"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2"/>
                <w:szCs w:val="12"/>
                <w:color w:val="auto"/>
              </w:rPr>
            </w:pPr>
          </w:p>
        </w:tc>
        <w:tc>
          <w:tcPr>
            <w:tcW w:w="72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Stock</w:t>
            </w:r>
          </w:p>
        </w:tc>
        <w:tc>
          <w:tcPr>
            <w:tcW w:w="160" w:type="dxa"/>
            <w:vAlign w:val="bottom"/>
          </w:tcPr>
          <w:p>
            <w:pPr>
              <w:spacing w:after="0"/>
              <w:rPr>
                <w:sz w:val="12"/>
                <w:szCs w:val="12"/>
                <w:color w:val="auto"/>
              </w:rPr>
            </w:pPr>
          </w:p>
        </w:tc>
        <w:tc>
          <w:tcPr>
            <w:tcW w:w="72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90"/>
              </w:rPr>
              <w:t>Earnings</w:t>
            </w: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2"/>
              </w:rPr>
              <w:t>Income (Loss)</w:t>
            </w:r>
          </w:p>
        </w:tc>
        <w:tc>
          <w:tcPr>
            <w:tcW w:w="240" w:type="dxa"/>
            <w:vAlign w:val="bottom"/>
          </w:tcPr>
          <w:p>
            <w:pPr>
              <w:spacing w:after="0"/>
              <w:rPr>
                <w:sz w:val="12"/>
                <w:szCs w:val="12"/>
                <w:color w:val="auto"/>
              </w:rPr>
            </w:pPr>
          </w:p>
        </w:tc>
        <w:tc>
          <w:tcPr>
            <w:tcW w:w="800" w:type="dxa"/>
            <w:vAlign w:val="bottom"/>
          </w:tcPr>
          <w:p>
            <w:pPr>
              <w:jc w:val="center"/>
              <w:ind w:right="228"/>
              <w:spacing w:after="0" w:line="142" w:lineRule="exact"/>
              <w:rPr>
                <w:sz w:val="20"/>
                <w:szCs w:val="20"/>
                <w:color w:val="auto"/>
              </w:rPr>
            </w:pPr>
            <w:r>
              <w:rPr>
                <w:rFonts w:ascii="Arial" w:cs="Arial" w:eastAsia="Arial" w:hAnsi="Arial"/>
                <w:sz w:val="14"/>
                <w:szCs w:val="14"/>
                <w:color w:val="auto"/>
                <w:w w:val="97"/>
              </w:rPr>
              <w:t>Equity</w:t>
            </w:r>
          </w:p>
        </w:tc>
        <w:tc>
          <w:tcPr>
            <w:tcW w:w="220" w:type="dxa"/>
            <w:vAlign w:val="bottom"/>
          </w:tcPr>
          <w:p>
            <w:pPr>
              <w:spacing w:after="0"/>
              <w:rPr>
                <w:sz w:val="12"/>
                <w:szCs w:val="12"/>
                <w:color w:val="auto"/>
              </w:rPr>
            </w:pPr>
          </w:p>
        </w:tc>
        <w:tc>
          <w:tcPr>
            <w:tcW w:w="860" w:type="dxa"/>
            <w:vAlign w:val="bottom"/>
          </w:tcPr>
          <w:p>
            <w:pPr>
              <w:jc w:val="right"/>
              <w:ind w:right="268"/>
              <w:spacing w:after="0" w:line="142" w:lineRule="exact"/>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2019</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41,930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12,360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465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397,267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(304,129</w:t>
            </w:r>
            <w:r>
              <w:rPr>
                <w:rFonts w:ascii="Arial" w:cs="Arial" w:eastAsia="Arial" w:hAnsi="Arial"/>
                <w:sz w:val="14"/>
                <w:szCs w:val="14"/>
                <w:b w:val="1"/>
                <w:bCs w:val="1"/>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3"/>
              </w:rPr>
              <w:t>1,065,553</w:t>
            </w:r>
          </w:p>
        </w:tc>
        <w:tc>
          <w:tcPr>
            <w:tcW w:w="2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337</w:t>
            </w: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1,159,493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1,159,493</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Stock options exercised and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stock awards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1,247</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19,582</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19,592</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19,592</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7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7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employee stock purchase plan</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19,356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19,356</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19,356</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Vesting of restricted share</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awards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339</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(2,459)</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(2,457)</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(2,457)</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under</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employee stock purchase plan</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3,902</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3,902</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(843)</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(225)</w:t>
            </w:r>
          </w:p>
        </w:tc>
        <w:tc>
          <w:tcPr>
            <w:tcW w:w="20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(24,807)</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(24,807)</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(24,807)</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326,057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(326,129)</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Cash dividends declared on</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(17,062)</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(17,062)</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(17,062)</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on</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common stock</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(5,399)</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(5,399)</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(5,399)</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532</w:t>
            </w:r>
          </w:p>
        </w:tc>
        <w:tc>
          <w:tcPr>
            <w:tcW w:w="24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532</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114,887</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114,887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114,887</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2020</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42,504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12,470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437,646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(2,879</w:t>
            </w:r>
            <w:r>
              <w:rPr>
                <w:rFonts w:ascii="Arial" w:cs="Arial" w:eastAsia="Arial" w:hAnsi="Arial"/>
                <w:sz w:val="14"/>
                <w:szCs w:val="14"/>
                <w:b w:val="1"/>
                <w:bCs w:val="1"/>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831,850</w:t>
            </w:r>
          </w:p>
        </w:tc>
        <w:tc>
          <w:tcPr>
            <w:tcW w:w="2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869</w:t>
            </w: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1,268,037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1,268,037</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Stock options exercised and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stock awards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784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14,157</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14,165</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14,165</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7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7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employee stock purchase plan</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22,246</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22,246</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Vesting of restricted share</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awards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347</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(7,447)</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(7,444)</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(7,444)</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under</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employee stock purchase plan</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4,149</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4,149</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(329)</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w:t>
            </w:r>
          </w:p>
        </w:tc>
        <w:tc>
          <w:tcPr>
            <w:tcW w:w="20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(34,054)</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(34,054)</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(34,054)</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on</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(31,816)</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(31,816)</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(31,816)</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Cash dividends declared on</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Class B common stock</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(9,867)</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(9,867)</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(9,867)</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241,415</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241,415</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241,415</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December 31, 2021</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43,108</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12,399</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563</w:t>
            </w: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470,750</w:t>
            </w:r>
          </w:p>
        </w:tc>
        <w:tc>
          <w:tcPr>
            <w:tcW w:w="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(36,933</w:t>
            </w:r>
            <w:r>
              <w:rPr>
                <w:rFonts w:ascii="Arial" w:cs="Arial" w:eastAsia="Arial" w:hAnsi="Arial"/>
                <w:sz w:val="14"/>
                <w:szCs w:val="14"/>
                <w:b w:val="1"/>
                <w:bCs w:val="1"/>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3"/>
              </w:rPr>
              <w:t>1,031,582</w:t>
            </w:r>
          </w:p>
        </w:tc>
        <w:tc>
          <w:tcPr>
            <w:tcW w:w="2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787</w:t>
            </w: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1,466,749</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1,466,749</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options exercised and</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awards</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8,029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8,033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8,033</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w w:val="97"/>
              </w:rPr>
              <w:t>employee stock purchase plan</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25,315</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25,315</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25,315</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304</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(8,666)</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under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w w:val="97"/>
              </w:rPr>
              <w:t>employee stock purchase plan</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5,217</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5,219</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5,219</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repurchases</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(1,287)</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(93,997)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(93,997)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(93,997)</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Cash dividends declared on</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(34,207)</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(34,207)</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(34,207)</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on</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common stock</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(10,420)</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(10,420)</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Reclassification of foreign</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Arial" w:cs="Arial" w:eastAsia="Arial" w:hAnsi="Arial"/>
                <w:sz w:val="14"/>
                <w:szCs w:val="14"/>
                <w:color w:val="auto"/>
                <w:w w:val="99"/>
              </w:rPr>
              <w:t>currency translation related to</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Arial" w:cs="Arial" w:eastAsia="Arial" w:hAnsi="Arial"/>
                <w:sz w:val="14"/>
                <w:szCs w:val="14"/>
                <w:color w:val="auto"/>
              </w:rPr>
              <w:t>equity method</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(601)</w:t>
            </w:r>
          </w:p>
        </w:tc>
        <w:tc>
          <w:tcPr>
            <w:tcW w:w="2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(4,316)</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(4,316)</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(4,316)</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Noncontrolling interest equity</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17,828</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391,382</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391,382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703</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392,085</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2022</w:t>
            </w:r>
          </w:p>
        </w:tc>
        <w:tc>
          <w:tcPr>
            <w:tcW w:w="78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rPr>
              <w:t>42,345</w:t>
            </w:r>
          </w:p>
        </w:tc>
        <w:tc>
          <w:tcPr>
            <w:tcW w:w="760" w:type="dxa"/>
            <w:vAlign w:val="bottom"/>
            <w:tcBorders>
              <w:bottom w:val="single" w:sz="8" w:color="auto"/>
            </w:tcBorders>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12,083</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572</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500,642</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(130,930</w:t>
            </w: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93"/>
              </w:rPr>
              <w:t>1,378,337</w:t>
            </w:r>
          </w:p>
        </w:tc>
        <w:tc>
          <w:tcPr>
            <w:tcW w:w="26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(4,130</w:t>
            </w: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1,744,491</w:t>
            </w:r>
          </w:p>
        </w:tc>
        <w:tc>
          <w:tcPr>
            <w:tcW w:w="22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18,531</w:t>
            </w: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1,763,022</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24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7"/>
          </w:tcPr>
          <w:p>
            <w:pPr>
              <w:jc w:val="center"/>
              <w:ind w:right="480"/>
              <w:spacing w:after="0"/>
              <w:rPr>
                <w:sz w:val="20"/>
                <w:szCs w:val="20"/>
                <w:color w:val="auto"/>
              </w:rPr>
            </w:pPr>
            <w:r>
              <w:rPr>
                <w:rFonts w:ascii="Arial" w:cs="Arial" w:eastAsia="Arial" w:hAnsi="Arial"/>
                <w:sz w:val="18"/>
                <w:szCs w:val="18"/>
                <w:color w:val="auto"/>
                <w:w w:val="95"/>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0" w:type="dxa"/>
            <w:vAlign w:val="bottom"/>
            <w:gridSpan w:val="8"/>
          </w:tcPr>
          <w:p>
            <w:pPr>
              <w:jc w:val="center"/>
              <w:ind w:right="400"/>
              <w:spacing w:after="0" w:line="196" w:lineRule="exact"/>
              <w:rPr>
                <w:sz w:val="20"/>
                <w:szCs w:val="20"/>
                <w:color w:val="auto"/>
              </w:rPr>
            </w:pPr>
            <w:r>
              <w:rPr>
                <w:rFonts w:ascii="Arial" w:cs="Arial" w:eastAsia="Arial" w:hAnsi="Arial"/>
                <w:sz w:val="18"/>
                <w:szCs w:val="18"/>
                <w:color w:val="auto"/>
                <w:w w:val="94"/>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center"/>
              <w:ind w:left="123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4"/>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392,085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241,415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114,887</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199,149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169,497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177,347</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Gain on sale of property and equipment,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(1,852)</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Gain on joint venture transaction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(12,500)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Gain on business acquisition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(6,958)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40" w:type="dxa"/>
            <w:vAlign w:val="bottom"/>
            <w:gridSpan w:val="4"/>
            <w:shd w:val="clear" w:color="auto" w:fill="CCEEFF"/>
          </w:tcPr>
          <w:p>
            <w:pPr>
              <w:ind w:left="500"/>
              <w:spacing w:after="0" w:line="201" w:lineRule="exact"/>
              <w:rPr>
                <w:sz w:val="20"/>
                <w:szCs w:val="20"/>
                <w:color w:val="auto"/>
              </w:rPr>
            </w:pPr>
            <w:r>
              <w:rPr>
                <w:rFonts w:ascii="Arial" w:cs="Arial" w:eastAsia="Arial" w:hAnsi="Arial"/>
                <w:sz w:val="18"/>
                <w:szCs w:val="18"/>
                <w:color w:val="auto"/>
                <w:w w:val="95"/>
              </w:rPr>
              <w:t>Stock-based compensation expense related to employee stock options and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4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employee stock purchases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25,315</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19,356</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Provision (benefit) for deferred income tax expense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4,261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(37,858)</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Change in accounts receivable,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(74,607)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11,223</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Change in inventories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(324,508)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(33,572)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536,682</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5,822</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Change in trade accounts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31,438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(23,336)</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Payments on floor plan notes payable – trade,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(114,958)</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Change in customer deposits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34,121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31,514</w:t>
            </w:r>
          </w:p>
        </w:tc>
      </w:tr>
      <w:tr>
        <w:trPr>
          <w:trHeight w:val="216"/>
        </w:trPr>
        <w:tc>
          <w:tcPr>
            <w:tcW w:w="62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Change in accrued expenses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32,789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48,974</w:t>
            </w:r>
          </w:p>
        </w:tc>
      </w:tr>
      <w:tr>
        <w:trPr>
          <w:trHeight w:val="216"/>
        </w:trPr>
        <w:tc>
          <w:tcPr>
            <w:tcW w:w="6240" w:type="dxa"/>
            <w:vAlign w:val="bottom"/>
            <w:gridSpan w:val="4"/>
          </w:tcPr>
          <w:p>
            <w:pPr>
              <w:ind w:left="50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(5,058)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(5,611)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(4,819)</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294,400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422,346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762,982</w:t>
            </w:r>
          </w:p>
        </w:tc>
      </w:tr>
      <w:tr>
        <w:trPr>
          <w:trHeight w:val="209"/>
        </w:trPr>
        <w:tc>
          <w:tcPr>
            <w:tcW w:w="624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(243,060)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(136,200)</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7,124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5,783</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Business disposition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27,500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Business acquisitions, net of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(20,762)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(269,332)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(11,732)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4"/>
          </w:tcPr>
          <w:p>
            <w:pPr>
              <w:ind w:left="8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(240,930)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(432,905)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(127,457)</w:t>
            </w:r>
          </w:p>
        </w:tc>
      </w:tr>
      <w:tr>
        <w:trPr>
          <w:trHeight w:val="210"/>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Draws (payments) on floor plan notes payable – non-trade,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273,906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118,945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(369,592)</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958,328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157,255</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(1,084,465)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(455,064)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(255,279)</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(14,780)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(11,192)</w:t>
            </w:r>
          </w:p>
        </w:tc>
      </w:tr>
      <w:tr>
        <w:trPr>
          <w:trHeight w:val="202"/>
        </w:trPr>
        <w:tc>
          <w:tcPr>
            <w:tcW w:w="624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0"/>
              </w:rPr>
              <w:t>Proceeds from issuance of shares relating to employee stock options and employee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40" w:type="dxa"/>
            <w:vAlign w:val="bottom"/>
            <w:gridSpan w:val="4"/>
          </w:tcPr>
          <w:p>
            <w:pPr>
              <w:ind w:left="340"/>
              <w:spacing w:after="0"/>
              <w:rPr>
                <w:sz w:val="20"/>
                <w:szCs w:val="20"/>
                <w:color w:val="auto"/>
              </w:rPr>
            </w:pPr>
            <w:r>
              <w:rPr>
                <w:rFonts w:ascii="Arial" w:cs="Arial" w:eastAsia="Arial" w:hAnsi="Arial"/>
                <w:sz w:val="18"/>
                <w:szCs w:val="18"/>
                <w:color w:val="auto"/>
              </w:rPr>
              <w:t>stock purchases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13,255</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18,313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23,498</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(8,669)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w:t>
            </w: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Payments of cash dividends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(44,556)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(22,461)</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(93,709)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(24,865)</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4"/>
          </w:tcPr>
          <w:p>
            <w:pPr>
              <w:ind w:left="8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(690)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(153,343)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(505,097)</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52,780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(163,902)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130,428</w:t>
            </w:r>
          </w:p>
        </w:tc>
      </w:tr>
      <w:tr>
        <w:trPr>
          <w:trHeight w:val="216"/>
        </w:trPr>
        <w:tc>
          <w:tcPr>
            <w:tcW w:w="6240" w:type="dxa"/>
            <w:vAlign w:val="bottom"/>
            <w:gridSpan w:val="4"/>
          </w:tcPr>
          <w:p>
            <w:pPr>
              <w:spacing w:after="0"/>
              <w:rPr>
                <w:sz w:val="20"/>
                <w:szCs w:val="20"/>
                <w:color w:val="auto"/>
              </w:rPr>
            </w:pPr>
            <w:r>
              <w:rPr>
                <w:rFonts w:ascii="Arial" w:cs="Arial" w:eastAsia="Arial" w:hAnsi="Arial"/>
                <w:sz w:val="18"/>
                <w:szCs w:val="18"/>
                <w:color w:val="auto"/>
              </w:rPr>
              <w:t>Effect of exchange rate on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148,146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312,048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181,620</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201,044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148,146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312,048</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gridSpan w:val="4"/>
          </w:tcPr>
          <w:p>
            <w:pPr>
              <w:ind w:left="180"/>
              <w:spacing w:after="0"/>
              <w:rPr>
                <w:sz w:val="20"/>
                <w:szCs w:val="20"/>
                <w:color w:val="auto"/>
              </w:rPr>
            </w:pPr>
            <w:r>
              <w:rPr>
                <w:rFonts w:ascii="Arial" w:cs="Arial" w:eastAsia="Arial" w:hAnsi="Arial"/>
                <w:sz w:val="18"/>
                <w:szCs w:val="18"/>
                <w:color w:val="auto"/>
              </w:rPr>
              <w:t>Cash paid during the year for: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21,694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22,224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38,806</w:t>
            </w:r>
          </w:p>
        </w:tc>
      </w:tr>
      <w:tr>
        <w:trPr>
          <w:trHeight w:val="216"/>
        </w:trPr>
        <w:tc>
          <w:tcPr>
            <w:tcW w:w="6240" w:type="dxa"/>
            <w:vAlign w:val="bottom"/>
            <w:gridSpan w:val="4"/>
          </w:tcPr>
          <w:p>
            <w:pPr>
              <w:ind w:left="340"/>
              <w:spacing w:after="0"/>
              <w:rPr>
                <w:sz w:val="20"/>
                <w:szCs w:val="20"/>
                <w:color w:val="auto"/>
              </w:rPr>
            </w:pPr>
            <w:r>
              <w:rPr>
                <w:rFonts w:ascii="Arial" w:cs="Arial" w:eastAsia="Arial" w:hAnsi="Arial"/>
                <w:sz w:val="18"/>
                <w:szCs w:val="18"/>
                <w:color w:val="auto"/>
              </w:rPr>
              <w:t>Income taxes paid, net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102,038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101,987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36,364</w:t>
            </w:r>
          </w:p>
        </w:tc>
      </w:tr>
      <w:tr>
        <w:trPr>
          <w:trHeight w:val="216"/>
        </w:trPr>
        <w:tc>
          <w:tcPr>
            <w:tcW w:w="6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40" w:type="dxa"/>
            <w:vAlign w:val="bottom"/>
            <w:gridSpan w:val="4"/>
          </w:tcPr>
          <w:p>
            <w:pPr>
              <w:ind w:left="340"/>
              <w:spacing w:after="0"/>
              <w:rPr>
                <w:sz w:val="20"/>
                <w:szCs w:val="20"/>
                <w:color w:val="auto"/>
              </w:rPr>
            </w:pPr>
            <w:r>
              <w:rPr>
                <w:rFonts w:ascii="Arial" w:cs="Arial" w:eastAsia="Arial" w:hAnsi="Arial"/>
                <w:sz w:val="18"/>
                <w:szCs w:val="18"/>
                <w:color w:val="auto"/>
              </w:rPr>
              <w:t>Assets acquired under finance leases</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33,654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29,044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97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2020, the Board of Directors of the Company declared a 3-for-2 stock split of the Company’s Class A common stock and Class B common stock, which was effected in the form of a stock dividend. On October 12, 2020, the Company distributed one additional share of stock for every two shares of Class A common stock, par value $0.01 per share, and Class B common stock, par value $0.01 per share, held by shareholders of record as of September 28, 2020. All share and per share data in this Form 10-K have been adjusted and restated to reflect the stock split as if it occurred on the first day of the earliest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business conditions have improved significantly since the onset of the COVID-19 pandemic in the second quarter of 2020, our industry continues to be impacted by supply chain issues generally attributable to the COVID-19 pandemic that are negatively affecting new commercial vehicle production and the availability of aftermarket parts. The Company is unable to predict the impact that the COVID-19 pandemic will have on its future business and operating results due to numerous uncertainties, including the duration of the COVID-19 pandemic and its effect on global economic trends and the various supply chains serving the commercial vehicle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functional currency of the Company’s foreign subsidiary, Rush Truck Centres of Canada Limited (“RTC Canada”), is the local currency.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 and the Consolidated Statement of Comprehensive Income.</w:t>
      </w:r>
    </w:p>
    <w:p>
      <w:pPr>
        <w:spacing w:after="0" w:line="200" w:lineRule="exact"/>
        <w:rPr>
          <w:sz w:val="20"/>
          <w:szCs w:val="20"/>
          <w:color w:val="auto"/>
        </w:rPr>
      </w:pPr>
    </w:p>
    <w:p>
      <w:pPr>
        <w:spacing w:after="0" w:line="231" w:lineRule="exact"/>
        <w:rPr>
          <w:sz w:val="20"/>
          <w:szCs w:val="20"/>
          <w:color w:val="auto"/>
        </w:rPr>
      </w:pPr>
    </w:p>
    <w:p>
      <w:pPr>
        <w:ind w:right="7020" w:firstLine="8"/>
        <w:spacing w:after="0" w:line="500" w:lineRule="auto"/>
        <w:tabs>
          <w:tab w:leader="none" w:pos="97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Company’s financial statements in conformity with U.S. generally accepted accounting principles (“GAAP”) requires management to make certain estimates and assumptions. These estimates and assumptions affect the reported amounts of assets and liabilities, the disclosures of contingent assets and liabilities at the balance sheet date and the amounts of revenues and expenses recognized during the reporting period. Management analyzes the Company’s estimates based on historical experience and other assumptions that are believed to be reasonable under the circumstances, however, actual results could differ materially from such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 and Repossession Losses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an allowance for credit losses based on the probability of default, its historical rate of losses, aging and current economic conditions. Accounts receivables consist primarily of commercial vehicle sales receivables, manufacturers’ receivables, leasing and parts and service receivables and other trade receivables.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provides an allowance for repossession losses after considering historical loss experience and other factors that might affect the ability of customers to meet their obligations on finance contracts sold by the Company when the Company has a potential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are stated at the lower of cost or net realizable value. Cost is determined by specific identification of new and used commercial vehicle inventory and by the first-in, first-out method for tires, parts and accessories. As the market value of the Company’s inventory typically declines over time, reserves are established based on historical loss experience and market trends. These reserves are charged to cost of sales and reduce the carrying value of the Company’s inventory on hand. An allowance is provided when it is anticipated that cost will exceed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the underlying assets and is amortized over the estimated useful life of such assets. The cost, accumulated depreciation and amortization and estimated useful lives of the Company’s property and equipment are summarized as follows (in thousands):</w:t>
      </w:r>
    </w:p>
    <w:p>
      <w:pPr>
        <w:spacing w:after="0" w:line="16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Estimated Life</w:t>
            </w:r>
          </w:p>
        </w:tc>
      </w:tr>
      <w:tr>
        <w:trPr>
          <w:trHeight w:val="230"/>
        </w:trPr>
        <w:tc>
          <w:tcPr>
            <w:tcW w:w="5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(Years)</w:t>
            </w:r>
          </w:p>
        </w:tc>
        <w:tc>
          <w:tcPr>
            <w:tcW w:w="100" w:type="dxa"/>
            <w:vAlign w:val="bottom"/>
          </w:tcPr>
          <w:p>
            <w:pPr>
              <w:spacing w:after="0"/>
              <w:rPr>
                <w:sz w:val="20"/>
                <w:szCs w:val="20"/>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162,641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156,169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570,595</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552,965</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42,236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96,584</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92,762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98,609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116,327</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103,611</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1,067,006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947,318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14,585</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6,664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(799,989)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(705,675)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1,368,594</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1,278,207</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depreciation expense of $177.1 million and amortization expense of $22.1 million for the year ended December 31, 2022, depreciation expense of $148.3 million and amortization expense of $21.2 million for the year ended December 31, 2021, and depreciation expense of $157.8 million and amortization expense of $19.5 million for the year ended December 31,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Company had $114.7 million in lease and rental vehicles under various finance leases included in property and equipment, net of accumulated amortization of $49.1 million. The Company recorded depreciation and amortization expense of $143.5 million related to lease and rental vehicles in lease and rental cost of products sold for the year ended December 31, 2022, $116.1 million for the year ended December 31, 2021 and $119.9 million for the year ended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Price Allocation, Intangible Assets and 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The Company determines whether substantially all the fair value of the gross assets acquired are concentrated in a single identifiable asset or a group of similar identifiable assets. If so, the single asset or group of assets, as applicable, is not a business. If not, the Company determines whether the single asset or group of assets, as applicable, meets the definition of a business.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Company’s business combinations, it records certain intangible assets, including franchise rights. The Company periodically reviews the estimated useful lives and fair values of its identifiable intangible assets, taking into consideration any events or circumstances that might result in a diminished fair value or revised useful life. See Note 15 – Acquisitions in the Notes to the Financial Statements for further discussion.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represents the excess, at the date of acquisition, of the purchase price of an acquired business over the fair value of the net tangible and intangible assets acquired. In addition to goodwill, the Company recognizes separately identifiable intangible assets for rights under franchise agreements with manufacturers.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intangible franchise right is determined at the acquisition date by discounting the projected cash flows specific to each acquisition. The carrying value of the Company’s manufacturer franchise rights was $12.3 million as of December 31, 2022 and $8.6 million as of December 31, 2021,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fact that manufacturer franchise rights are specific to a geographic region, the Company has determined that evaluating and including all locations acquired in the geographic region is the appropriate level for purposes of testing franchise rights for impairment. The Company is subject to financial statement risk to the extent that manufacturer franchise rights become impaired due to decreases in the fair market value of its individual franchises.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assesses goodwill and intangible franchise rights for impairment annually in the fourth quarter, or whenever events or changes in circumstances indicate an impairment may have occurred. If impaired, the carrying values of the assets are written down to fair value using Level 3 inputs. See Fair Value Measurements below for further discussion of Level 3 fair value inputs.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annual goodwill and intangible franchise rights impairment assessment conducted in the fourth quarter of 2022, the Company elected to perform a qualitative assessment and determined that it was not more-likely-than-not that the fair values of the Company’s reporting units were less than their carrying values.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of goodwill or intangible franchise rights were recorded during the years ended December 31, 2022,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change in the carrying amount of goodwill for the Company for the year ended December 31, 2022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370,331</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Acquisitions during 2022</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47,437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w:t>
            </w:r>
          </w:p>
        </w:tc>
      </w:tr>
      <w:tr>
        <w:trPr>
          <w:trHeight w:val="210"/>
        </w:trPr>
        <w:tc>
          <w:tcPr>
            <w:tcW w:w="7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December 31, 2022</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416,363</w:t>
            </w: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25, 2019, the Company acquired 50% of the equity interest in RTC Canada, which acquired the operating assets of Tallman Group, the largest International Truck dealer in Canada. Prior to acquiring an additional 30% equity interest on May 2, 2022, for approximately $20.0 million, the Company accounted for the equity interest in RTC Canada using the equity method of accounting. Subsequent to the Company’s acquisition of the additional 30% equity interest on May 2, 2022, operations of RTC Canada are included in the accompanying consolidated financial statements. Income (loss) related to the 20% equity owner of RTC Canada is reflected in the accompanying consolidated financial statements as a noncontrolling interest. See Note 15 – Acquisitions in the Notes to the Financial Statements for further discussion.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3, 2022, a subsidiary of Cummins, Inc. acquired a 50% equity interest in Natural Gas Fuel Systems, LLC (“NGFS”) from the Company for $27.5 million. NGFS previously conducted business as Momentum Fuel Technologies. The $12.5 million gain realized on the transaction is included in Other income on the Consolidated Statements of Income. The Company is accounting for the business as a joint venture and recognizes the investment using the equity method. The Company’s equity income in NGFS is included in the line item Other income on the Consolidated Statements of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the Company’s tax filing positions, including the timing and amount of deductions. In evaluating the exposures associated with its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would generally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assesses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17 – Revenue of the 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Rental and Lease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commercial vehicles that the Company owns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considered direct and incremental on the lease and rental fleet owned and leased by the Company. There are no costs of sales associated with the Company’s finance and insurance revenue or other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a lease asset and liability at the present value of lease payments over the term. Many of the Company’s leases include renewal options and termination options that are factored into its determination of lease payments when appropriate.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consist primarily of incentive based compensation for sales, finance and general management personnel, salaries for administrative personnel and expenses for rent, marketing, insurance, utilities and other general operating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applies the provisions of ASC topic 718-10,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Stock Compensation,</w:t>
      </w:r>
      <w:r>
        <w:rPr>
          <w:rFonts w:ascii="Arial" w:cs="Arial" w:eastAsia="Arial" w:hAnsi="Arial"/>
          <w:sz w:val="16"/>
          <w:szCs w:val="16"/>
          <w:color w:val="auto"/>
        </w:rPr>
        <w:t>”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an expense over the requisite service periods.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determines the fair value of share-based payment awards on the date of grant using an option-pricing model that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fair value and it may not be indicative of the fair value observed in a market transaction between a willing buyer and a willing seller.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stock volatility</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life (years)</w:t>
            </w:r>
          </w:p>
        </w:tc>
        <w:tc>
          <w:tcPr>
            <w:tcW w:w="10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stock options granted</w:t>
            </w: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Advertising and marketing expense was $8.7 million for 2022, $7.5 million for 2021 and $7.9 million for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expense is included in selling, general and administrative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accounting policy with respect to accounting for computer software developed or obtained for internal use is consistent with ASC topic 350-40 </w:t>
      </w:r>
      <w:r>
        <w:rPr>
          <w:rFonts w:ascii="Arial" w:cs="Arial" w:eastAsia="Arial" w:hAnsi="Arial"/>
          <w:sz w:val="18"/>
          <w:szCs w:val="18"/>
          <w:i w:val="1"/>
          <w:iCs w:val="1"/>
          <w:color w:val="auto"/>
        </w:rPr>
        <w:t>(Internal Use Software)</w:t>
      </w:r>
      <w:r>
        <w:rPr>
          <w:rFonts w:ascii="Arial" w:cs="Arial" w:eastAsia="Arial" w:hAnsi="Arial"/>
          <w:sz w:val="18"/>
          <w:szCs w:val="18"/>
          <w:color w:val="auto"/>
        </w:rPr>
        <w:t>, which provides guidance on accounting for the costs of computer software developed or obtained for internal use and identifies characteristics of internal-use software. The Company has capitalized software costs, including capitalized interest, of approximately $4.2 million as of December 31, 2022, net of accumulated amortization of $14.9 million, and had $5.5 million as of December 31, 2021, net of accumulated amortization of $13.6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the acquisition method of accounting for the recognition of assets acquired and liabilities assumed through acquisitions at their estimated fair values as of the date of acquisition. The 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in the Consolidated Statements of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In January 2021, the FASB clarified the scope of that guidance with the issuance of ASU 2021-01, “</w:t>
      </w:r>
      <w:r>
        <w:rPr>
          <w:rFonts w:ascii="Arial" w:cs="Arial" w:eastAsia="Arial" w:hAnsi="Arial"/>
          <w:sz w:val="18"/>
          <w:szCs w:val="18"/>
          <w:i w:val="1"/>
          <w:iCs w:val="1"/>
          <w:color w:val="auto"/>
        </w:rPr>
        <w:t>Reference Rate Reform: Scope</w:t>
      </w:r>
      <w:r>
        <w:rPr>
          <w:rFonts w:ascii="Arial" w:cs="Arial" w:eastAsia="Arial" w:hAnsi="Arial"/>
          <w:sz w:val="18"/>
          <w:szCs w:val="18"/>
          <w:color w:val="auto"/>
        </w:rPr>
        <w:t>.” The new accounting rules provide optional expedients and exceptions for applying GAAP to contracts, hedging relationships, and other transactions affected by reference rate reform. In December 2022, the FASB deferred the expiration date of Topic 848 with the issuance of ASU 2022-06, “</w:t>
      </w:r>
      <w:r>
        <w:rPr>
          <w:rFonts w:ascii="Arial" w:cs="Arial" w:eastAsia="Arial" w:hAnsi="Arial"/>
          <w:sz w:val="18"/>
          <w:szCs w:val="18"/>
          <w:i w:val="1"/>
          <w:iCs w:val="1"/>
          <w:color w:val="auto"/>
        </w:rPr>
        <w:t>Reference Rate Reform: Deferral of the Sunset Date of Topic 848</w:t>
      </w:r>
      <w:r>
        <w:rPr>
          <w:rFonts w:ascii="Arial" w:cs="Arial" w:eastAsia="Arial" w:hAnsi="Arial"/>
          <w:sz w:val="18"/>
          <w:szCs w:val="18"/>
          <w:color w:val="auto"/>
        </w:rPr>
        <w:t>.” The new accounting rules extend the relief in Topic 848 beyond the cessation date of USD LIBOR. The new accounting rules must be adopted by the fourth quarter of 2024. The Company is currently in the process of evaluating the impact of adoption of the new rules on the Company’s financial condition, results of operations, cash flows and disclosures.</w:t>
      </w:r>
    </w:p>
    <w:p>
      <w:pPr>
        <w:spacing w:after="0" w:line="200" w:lineRule="exact"/>
        <w:rPr>
          <w:sz w:val="20"/>
          <w:szCs w:val="20"/>
          <w:color w:val="auto"/>
        </w:rPr>
      </w:pPr>
    </w:p>
    <w:p>
      <w:pPr>
        <w:spacing w:after="0" w:line="238" w:lineRule="exact"/>
        <w:rPr>
          <w:sz w:val="20"/>
          <w:szCs w:val="20"/>
          <w:color w:val="auto"/>
        </w:rPr>
      </w:pPr>
    </w:p>
    <w:p>
      <w:pPr>
        <w:ind w:right="7820" w:firstLine="8"/>
        <w:spacing w:after="0" w:line="530" w:lineRule="auto"/>
        <w:tabs>
          <w:tab w:leader="none" w:pos="97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SUPPLIER CONCENTRATION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Suppliers and Dealership Agreements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area of responsibility. The agreements allow the Company to use the Manufacturers’ names, trade symbols and intellectual property and expire as follows:</w:t>
      </w:r>
    </w:p>
    <w:p>
      <w:pPr>
        <w:spacing w:after="0" w:line="187" w:lineRule="exact"/>
        <w:rPr>
          <w:sz w:val="20"/>
          <w:szCs w:val="20"/>
          <w:color w:val="auto"/>
        </w:rPr>
      </w:pPr>
    </w:p>
    <w:tbl>
      <w:tblPr>
        <w:tblLayout w:type="fixed"/>
        <w:tblInd w:w="2540" w:type="dxa"/>
        <w:tblCellMar>
          <w:top w:w="0" w:type="dxa"/>
          <w:left w:w="0" w:type="dxa"/>
          <w:bottom w:w="0" w:type="dxa"/>
          <w:right w:w="0" w:type="dxa"/>
        </w:tblCellMar>
      </w:tblPr>
      <w:tr>
        <w:trPr>
          <w:trHeight w:val="230"/>
        </w:trPr>
        <w:tc>
          <w:tcPr>
            <w:tcW w:w="26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Manufacturer</w:t>
            </w:r>
          </w:p>
        </w:tc>
        <w:tc>
          <w:tcPr>
            <w:tcW w:w="20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Dates</w:t>
            </w:r>
          </w:p>
        </w:tc>
      </w:tr>
      <w:tr>
        <w:trPr>
          <w:trHeight w:val="210"/>
        </w:trPr>
        <w:tc>
          <w:tcPr>
            <w:tcW w:w="26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Peterbilt</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2023</w:t>
            </w:r>
          </w:p>
        </w:tc>
      </w:tr>
      <w:tr>
        <w:trPr>
          <w:trHeight w:val="216"/>
        </w:trPr>
        <w:tc>
          <w:tcPr>
            <w:tcW w:w="2680" w:type="dxa"/>
            <w:vAlign w:val="bottom"/>
          </w:tcPr>
          <w:p>
            <w:pPr>
              <w:jc w:val="center"/>
              <w:ind w:left="50"/>
              <w:spacing w:after="0"/>
              <w:rPr>
                <w:sz w:val="20"/>
                <w:szCs w:val="20"/>
                <w:color w:val="auto"/>
              </w:rPr>
            </w:pPr>
            <w:r>
              <w:rPr>
                <w:rFonts w:ascii="Arial" w:cs="Arial" w:eastAsia="Arial" w:hAnsi="Arial"/>
                <w:sz w:val="18"/>
                <w:szCs w:val="18"/>
                <w:color w:val="auto"/>
                <w:w w:val="90"/>
              </w:rPr>
              <w:t>International</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May 2023 through December 2027</w:t>
            </w:r>
          </w:p>
        </w:tc>
      </w:tr>
      <w:tr>
        <w:trPr>
          <w:trHeight w:val="216"/>
        </w:trPr>
        <w:tc>
          <w:tcPr>
            <w:tcW w:w="26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Isuzu</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2680" w:type="dxa"/>
            <w:vAlign w:val="bottom"/>
          </w:tcPr>
          <w:p>
            <w:pPr>
              <w:jc w:val="center"/>
              <w:ind w:left="70"/>
              <w:spacing w:after="0"/>
              <w:rPr>
                <w:sz w:val="20"/>
                <w:szCs w:val="20"/>
                <w:color w:val="auto"/>
              </w:rPr>
            </w:pPr>
            <w:r>
              <w:rPr>
                <w:rFonts w:ascii="Arial" w:cs="Arial" w:eastAsia="Arial" w:hAnsi="Arial"/>
                <w:sz w:val="18"/>
                <w:szCs w:val="18"/>
                <w:color w:val="auto"/>
                <w:w w:val="97"/>
              </w:rPr>
              <w:t>Hino</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26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Ford</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2680" w:type="dxa"/>
            <w:vAlign w:val="bottom"/>
          </w:tcPr>
          <w:p>
            <w:pPr>
              <w:jc w:val="center"/>
              <w:ind w:left="50"/>
              <w:spacing w:after="0"/>
              <w:rPr>
                <w:sz w:val="20"/>
                <w:szCs w:val="20"/>
                <w:color w:val="auto"/>
              </w:rPr>
            </w:pPr>
            <w:r>
              <w:rPr>
                <w:rFonts w:ascii="Arial" w:cs="Arial" w:eastAsia="Arial" w:hAnsi="Arial"/>
                <w:sz w:val="18"/>
                <w:szCs w:val="18"/>
                <w:color w:val="auto"/>
                <w:w w:val="95"/>
              </w:rPr>
              <w:t>Blue Bird</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August 2024</w:t>
            </w:r>
          </w:p>
        </w:tc>
      </w:tr>
      <w:tr>
        <w:trPr>
          <w:trHeight w:val="216"/>
        </w:trPr>
        <w:tc>
          <w:tcPr>
            <w:tcW w:w="26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IC Bus</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2025 through December 2027</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purchases its new Peterbilt vehicles from Peterbilt and most of the parts sold at its Peterbilt dealerships from PACCAR, Inc, the parent company of Peterbilt, at prevailing prices charged to all franchised dealers. Sales of new Peterbilt commercial vehicles accounted for approximately 59.6% of the Company’s new vehicle sales revenue for the year ended December 31, 2022, 62.5% of the Company’s new vehicle sales revenue for the year ended December 31, 2021, and 59.0% of the Company’s new vehicle sales revenue for the year ended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purchases its new and used commercial vehicle inventories with the assistance of floor plan financing programs as described in Note 7 to these Notes to Consolidated Financial Statements. The Company finances the majority of all new commercial vehicle inventory and the loan value of its used commercial vehicle inventory under the Floor Plan Credit Agreement with BMO Harris. The Floor Plan Credit Agreement includes an aggregate loan commitment of $1.0 billion.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uses the WF Credit Agreement to finance its Idealease lease and rental fleet vehicles and for other working capital needs Pursuant to the terms of the WF Credit Agreement, the WF Lenders have agreed to make up to $175.0 million of revolving credit loans for certain of the Company’s capital expenditures, including commercial vehicle purchases for the Company’s Idealease lease and rental fleet, and general working capital needs. The Company expects to use the revolving credit loans available under the WF Credit Agreement primarily for the purpose of purchasing commercial vehicles for the Company’s Idealease lease and rental fleet.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PLC Agreement to finance its PacLease lease and rental fleet vehicles. Pursuant to the terms of the PLC Agreement, PLC agreed to make up to $300.0 million of revolving credit loans to finance commercial vehicle purchases and other equipment to be leased or rented through the Company’s PacLease franchises.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RTC Canada uses the RTC Canada Revolving Credit Agreement to finance its Idealease lease and rental fleet vehicles.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RTC Canada uses the RTC Canada Floor Plan Agreement to finance its new and used vehicle inventory. Pursuant to the terms of the RTC Canada Floor Plan Agreement, BMO agreed to make up to $116.7 million CAD of revolving credit loans to finance RTC Canada’s purchase of new and used vehicle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980" w:hanging="97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gridSpan w:val="9"/>
          </w:tcPr>
          <w:p>
            <w:pPr>
              <w:spacing w:after="0"/>
              <w:rPr>
                <w:sz w:val="20"/>
                <w:szCs w:val="20"/>
                <w:color w:val="auto"/>
              </w:rPr>
            </w:pPr>
            <w:r>
              <w:rPr>
                <w:rFonts w:ascii="Arial" w:cs="Arial" w:eastAsia="Arial" w:hAnsi="Arial"/>
                <w:sz w:val="18"/>
                <w:szCs w:val="18"/>
                <w:color w:val="auto"/>
              </w:rPr>
              <w:t>The Company’s accounts receivable, net, consisted of the following (in thousands):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83,158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37,599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Trade receivables other than vehicles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96,978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68,884</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Other accounts receivable</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29,776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26,003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220,651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140,186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80" w:type="dxa"/>
            <w:vAlign w:val="bottom"/>
            <w:gridSpan w:val="6"/>
          </w:tcPr>
          <w:p>
            <w:pPr>
              <w:spacing w:after="0"/>
              <w:rPr>
                <w:sz w:val="20"/>
                <w:szCs w:val="20"/>
                <w:color w:val="auto"/>
              </w:rPr>
            </w:pPr>
            <w:r>
              <w:rPr>
                <w:rFonts w:ascii="Arial" w:cs="Arial" w:eastAsia="Arial" w:hAnsi="Arial"/>
                <w:sz w:val="18"/>
                <w:szCs w:val="18"/>
                <w:color w:val="auto"/>
              </w:rPr>
              <w:t>Accounts receivable as of January 1, 2021 was $172.5 million.</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gridSpan w:val="3"/>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480" w:type="dxa"/>
            <w:vAlign w:val="bottom"/>
            <w:gridSpan w:val="6"/>
          </w:tcPr>
          <w:p>
            <w:pPr>
              <w:spacing w:after="0"/>
              <w:rPr>
                <w:sz w:val="20"/>
                <w:szCs w:val="20"/>
                <w:color w:val="auto"/>
              </w:rPr>
            </w:pPr>
            <w:r>
              <w:rPr>
                <w:rFonts w:ascii="Arial" w:cs="Arial" w:eastAsia="Arial" w:hAnsi="Arial"/>
                <w:sz w:val="18"/>
                <w:szCs w:val="18"/>
                <w:color w:val="auto"/>
                <w:w w:val="92"/>
              </w:rPr>
              <w:t>The Company’s inventories, net, consisted of the following (in thousands):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955,485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617,225</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Used commercial vehicles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86,306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95,051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369,562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290,007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34,564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26,232</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1,429,429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1,020,136</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15"/>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5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VALUATION ACCOUNTS:</w:t>
            </w:r>
          </w:p>
        </w:tc>
        <w:tc>
          <w:tcPr>
            <w:tcW w:w="2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gridSpan w:val="3"/>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480" w:type="dxa"/>
            <w:vAlign w:val="bottom"/>
            <w:gridSpan w:val="6"/>
          </w:tcPr>
          <w:p>
            <w:pPr>
              <w:spacing w:after="0"/>
              <w:rPr>
                <w:sz w:val="20"/>
                <w:szCs w:val="20"/>
                <w:color w:val="auto"/>
              </w:rPr>
            </w:pPr>
            <w:r>
              <w:rPr>
                <w:rFonts w:ascii="Arial" w:cs="Arial" w:eastAsia="Arial" w:hAnsi="Arial"/>
                <w:sz w:val="18"/>
                <w:szCs w:val="18"/>
                <w:color w:val="auto"/>
                <w:w w:val="96"/>
              </w:rPr>
              <w:t>Valuation and allowance accounts include the following (in thousands):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8"/>
                <w:szCs w:val="18"/>
                <w:color w:val="auto"/>
                <w:w w:val="89"/>
              </w:rPr>
              <w:t>Balance</w:t>
            </w:r>
          </w:p>
        </w:tc>
        <w:tc>
          <w:tcPr>
            <w:tcW w:w="2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8"/>
              </w:rPr>
              <w:t>Net Charged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8"/>
                <w:szCs w:val="18"/>
                <w:color w:val="auto"/>
                <w:w w:val="94"/>
              </w:rPr>
              <w:t>Beginning</w:t>
            </w:r>
          </w:p>
        </w:tc>
        <w:tc>
          <w:tcPr>
            <w:tcW w:w="2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to Costs and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Net Write-</w:t>
            </w: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End</w:t>
            </w:r>
          </w:p>
        </w:tc>
      </w:tr>
      <w:tr>
        <w:trPr>
          <w:trHeight w:val="230"/>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of Year</w:t>
            </w:r>
          </w:p>
        </w:tc>
        <w:tc>
          <w:tcPr>
            <w:tcW w:w="24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5"/>
              </w:rPr>
              <w:t>Expenses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Offs</w:t>
            </w:r>
          </w:p>
        </w:tc>
        <w:tc>
          <w:tcPr>
            <w:tcW w:w="3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of Year</w:t>
            </w:r>
          </w:p>
        </w:tc>
      </w:tr>
      <w:tr>
        <w:trPr>
          <w:trHeight w:val="210"/>
        </w:trPr>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Reserve for parts inventory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7,378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(5,415)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9,423</w:t>
            </w:r>
          </w:p>
        </w:tc>
      </w:tr>
      <w:tr>
        <w:trPr>
          <w:trHeight w:val="216"/>
        </w:trPr>
        <w:tc>
          <w:tcPr>
            <w:tcW w:w="340" w:type="dxa"/>
            <w:vAlign w:val="bottom"/>
          </w:tcPr>
          <w:p>
            <w:pPr>
              <w:spacing w:after="0"/>
              <w:rPr>
                <w:sz w:val="18"/>
                <w:szCs w:val="18"/>
                <w:color w:val="auto"/>
              </w:rPr>
            </w:pPr>
          </w:p>
        </w:tc>
        <w:tc>
          <w:tcPr>
            <w:tcW w:w="5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13,653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7,065</w:t>
            </w:r>
          </w:p>
        </w:tc>
      </w:tr>
      <w:tr>
        <w:trPr>
          <w:trHeight w:val="209"/>
        </w:trPr>
        <w:tc>
          <w:tcPr>
            <w:tcW w:w="340" w:type="dxa"/>
            <w:vAlign w:val="bottom"/>
          </w:tcPr>
          <w:p>
            <w:pPr>
              <w:spacing w:after="0"/>
              <w:rPr>
                <w:sz w:val="18"/>
                <w:szCs w:val="18"/>
                <w:color w:val="auto"/>
              </w:rPr>
            </w:pPr>
          </w:p>
        </w:tc>
        <w:tc>
          <w:tcPr>
            <w:tcW w:w="640" w:type="dxa"/>
            <w:vAlign w:val="bottom"/>
            <w:tcBorders>
              <w:top w:val="single" w:sz="8" w:color="auto"/>
            </w:tcBorders>
            <w:gridSpan w:val="2"/>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Reserve for parts inventory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3,520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r>
      <w:tr>
        <w:trPr>
          <w:trHeight w:val="216"/>
        </w:trPr>
        <w:tc>
          <w:tcPr>
            <w:tcW w:w="340" w:type="dxa"/>
            <w:vAlign w:val="bottom"/>
          </w:tcPr>
          <w:p>
            <w:pPr>
              <w:spacing w:after="0"/>
              <w:rPr>
                <w:sz w:val="18"/>
                <w:szCs w:val="18"/>
                <w:color w:val="auto"/>
              </w:rPr>
            </w:pPr>
          </w:p>
        </w:tc>
        <w:tc>
          <w:tcPr>
            <w:tcW w:w="5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r>
      <w:tr>
        <w:trPr>
          <w:trHeight w:val="209"/>
        </w:trPr>
        <w:tc>
          <w:tcPr>
            <w:tcW w:w="340" w:type="dxa"/>
            <w:vAlign w:val="bottom"/>
          </w:tcPr>
          <w:p>
            <w:pPr>
              <w:spacing w:after="0"/>
              <w:rPr>
                <w:sz w:val="18"/>
                <w:szCs w:val="18"/>
                <w:color w:val="auto"/>
              </w:rPr>
            </w:pPr>
          </w:p>
        </w:tc>
        <w:tc>
          <w:tcPr>
            <w:tcW w:w="640" w:type="dxa"/>
            <w:vAlign w:val="bottom"/>
            <w:tcBorders>
              <w:top w:val="single" w:sz="8" w:color="auto"/>
            </w:tcBorders>
            <w:gridSpan w:val="2"/>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Reserve for parts inventory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4,501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(2,847)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9,315</w:t>
            </w:r>
          </w:p>
        </w:tc>
      </w:tr>
      <w:tr>
        <w:trPr>
          <w:trHeight w:val="216"/>
        </w:trPr>
        <w:tc>
          <w:tcPr>
            <w:tcW w:w="340" w:type="dxa"/>
            <w:vAlign w:val="bottom"/>
          </w:tcPr>
          <w:p>
            <w:pPr>
              <w:spacing w:after="0"/>
              <w:rPr>
                <w:sz w:val="18"/>
                <w:szCs w:val="18"/>
                <w:color w:val="auto"/>
              </w:rPr>
            </w:pPr>
          </w:p>
        </w:tc>
        <w:tc>
          <w:tcPr>
            <w:tcW w:w="5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9,598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(13,125)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6,075</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establishes an allowance for credit losses to present the net amount of accounts receivable expected to be collected. Under Accounting Standards Topic 326, Financial Instruments Credit Losses, the Company is required to remeasure expected credit losses for financial instruments held on the reporting date based on historical experience, current conditions and reasonable forecasts.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Provision for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the Year</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Write offs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Against</w:t>
            </w: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Allowance, net</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30"/>
        </w:trPr>
        <w:tc>
          <w:tcPr>
            <w:tcW w:w="5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of Recoveries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(2,426)</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2,673</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r>
      <w:tr>
        <w:trPr>
          <w:trHeight w:val="20"/>
        </w:trPr>
        <w:tc>
          <w:tcPr>
            <w:tcW w:w="5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700" w:firstLine="8"/>
        <w:spacing w:after="0" w:line="500"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$1.0 billion and has the interest rate benchmarked to LIBOR, as defined in the agreement. The interest rate under the Company’s Floor Plan Credit Agreement is the one month LIBOR rate plus 1.10%. The effective interest rate applicable to the Company’s Floor Plan Credit Agreement was approximately 5.24% as of December 31, 2022. The Company utilizes its excess cash on hand to pay down its outstanding borrowings under its Floor Plan Credit Agreement, and the resulting interest earned is recognized as an offset to the Company’s gross interest expense under the Floor Plan Credit Agreement.</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RTC Canada Floor Plan Agreement provides for a loan commitment of up to $116.7 million CAD and has the interest benchmarked to CDOR, as defined in the agreement.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Agreement bear interest per annum, payable on the first business day of each calendar month, at CDOR, plus 0.90% and in the case of an advance required to be made in USD dollars, at LIBOR, plus 1.10%.</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finances substantially all of the purchase price of its new commercial vehicle inventory and the loan value of its used commercial vehicle inventory under its Floor Plan Credit Agreement and RTC Canada Floor Plan Agreement, under which BMO Harris and BMO pay the manufacturer directly with respect to new commercial vehicles. Amounts borrowed under the Company’s Floor Plan Credit Agreement and RTC Canada Floor Plan Agreement are due when the related commercial vehicle inventory (collateral) is sold. The Company’s Floor Plan Credit Agreement expires September 14, 2026, although BMO Harris has the right to terminate the Floor Plan Credit Agreement at any time upon 360 days written notice and the Company may terminate at any time, subject to specified limited exceptions. On December 31, 2022, the Company had approximately $762.9 million outstanding under its Floor Plan Credit Agreement. The Company’s RTC Canada Floor Plan Agreement expires September 14, 2026. On December 31, 2022, the Company had approximately $44.6 million outstanding under the RTC Canada Floor Plan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weighted average interest rate for floor plan notes payable was 1.56% for the year ended December 31, 2022, and 0.42% for the year ended December 31, 2021, which is net of interest related to prepayments of new and used inventory loans.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Assets pledged as collateral were as follows (in thousands):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Inventories, new and used vehicles at cost based on specific identification,</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allowance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1,034,727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711,358</w:t>
            </w: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Vehicle sale related accounts receivable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83,158</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37,599</w:t>
            </w:r>
          </w:p>
        </w:tc>
      </w:tr>
      <w:tr>
        <w:trPr>
          <w:trHeight w:val="20"/>
        </w:trPr>
        <w:tc>
          <w:tcPr>
            <w:tcW w:w="3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340" w:type="dxa"/>
            <w:vAlign w:val="bottom"/>
          </w:tcPr>
          <w:p>
            <w:pPr>
              <w:spacing w:after="0"/>
              <w:rPr>
                <w:sz w:val="21"/>
                <w:szCs w:val="21"/>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1,117,885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748,957</w:t>
            </w:r>
          </w:p>
        </w:tc>
      </w:tr>
      <w:tr>
        <w:trPr>
          <w:trHeight w:val="197"/>
        </w:trPr>
        <w:tc>
          <w:tcPr>
            <w:tcW w:w="340" w:type="dxa"/>
            <w:vAlign w:val="bottom"/>
          </w:tcPr>
          <w:p>
            <w:pPr>
              <w:spacing w:after="0"/>
              <w:rPr>
                <w:sz w:val="17"/>
                <w:szCs w:val="17"/>
                <w:color w:val="auto"/>
              </w:rPr>
            </w:pPr>
          </w:p>
        </w:tc>
        <w:tc>
          <w:tcPr>
            <w:tcW w:w="56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Floor plan notes payable related to vehicles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933,203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630,731</w:t>
            </w:r>
          </w:p>
        </w:tc>
      </w:tr>
      <w:tr>
        <w:trPr>
          <w:trHeight w:val="20"/>
        </w:trPr>
        <w:tc>
          <w:tcPr>
            <w:tcW w:w="34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line of credit that provides for a maximum borrowing of $20.0 million. There were no advances outstanding under this secured line of credit as of December 31, 2022; however, $14.1 million was pledged to secure various letters of credit related to self-insurance products, leaving $5.9 million available for future borrowings as of December 31, 2022.</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8.</w:t>
            </w:r>
          </w:p>
        </w:tc>
        <w:tc>
          <w:tcPr>
            <w:tcW w:w="58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gridSpan w:val="4"/>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interest rate term 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275,433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334,926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long-term debt, net of current maturities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275,433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334,926</w:t>
            </w:r>
          </w:p>
        </w:tc>
        <w:tc>
          <w:tcPr>
            <w:tcW w:w="0" w:type="dxa"/>
            <w:vAlign w:val="bottom"/>
          </w:tcPr>
          <w:p>
            <w:pPr>
              <w:spacing w:after="0"/>
              <w:rPr>
                <w:sz w:val="1"/>
                <w:szCs w:val="1"/>
                <w:color w:val="auto"/>
              </w:rPr>
            </w:pPr>
          </w:p>
        </w:tc>
      </w:tr>
      <w:tr>
        <w:trPr>
          <w:trHeight w:val="20"/>
        </w:trPr>
        <w:tc>
          <w:tcPr>
            <w:tcW w:w="6800" w:type="dxa"/>
            <w:vAlign w:val="bottom"/>
            <w:gridSpan w:val="4"/>
            <w:vMerge w:val="restart"/>
          </w:tcPr>
          <w:p>
            <w:pPr>
              <w:spacing w:after="0"/>
              <w:rPr>
                <w:sz w:val="20"/>
                <w:szCs w:val="20"/>
                <w:color w:val="auto"/>
              </w:rPr>
            </w:pPr>
            <w:r>
              <w:rPr>
                <w:rFonts w:ascii="Arial" w:cs="Arial" w:eastAsia="Arial" w:hAnsi="Arial"/>
                <w:sz w:val="18"/>
                <w:szCs w:val="18"/>
                <w:color w:val="auto"/>
              </w:rPr>
              <w:t>As of December 31, 2022, long-term debt maturities were as follows (in thousands):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2024</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40,475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185,024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2026</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49,934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275,433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14, 2021, the Company entered into the WF Credit Agreement with the WF Lenders and the WF Agent. The WF Credit Agreement was amended effective November 30, 2022. Pursuant to the terms of the WF Credit Agreement, the WF Lenders have agreed to make up to $175.0 million of revolving credit loans for certain of the Company’s capital expenditures, including commercial vehicle purchases for the Company’s Idealease lease and rental fleet, and general working capital needs. Borrowings under the WF Credit Agreement bear interest per annum, payable on each interest payment date, as defined in the WF Credit Agreement, at (A) SOFR plus (i) 1.25% or (ii) 1.5%, depending on the Company’s consolidated leverage ratio or (B) on or after the term SOFR transition date, the term SOFR plus (i) 1.25% or (ii) 1.5%, depending on the Company’s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The Company may terminate the commitments at any time. The Company expects to use the revolving credit loans available under the WF Credit Agreement primarily for the purpose of purchasing commercial vehicles for the Company’s Idealease lease and rental fleet.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1, 2021, the Company entered into the PLC Agreement. Pursuant to the terms of the PLC Agreement, PLC agreed to make up to $300.0 million of revolving credit loans to finance certain of the Company’s capital expenditures, including commercial vehicle purchases and other equipment to be leased or rented through the Company’s PacLease franchises. Advances under the PLC Agreement bear interest per annum, payable on the fifth day of the following month, at the Company’s option, at either (A) the prime rate, minus 1.55%, provided that the floating rate of interest is subject to a floor of 0%, or (B) a fixed rate, to be determined between the Company and PLC in each instance of borrowing at a fixed rate. The PLC Agreement expires on October 1, 2025, although either party has the right to terminate the PLC Agreement at any time upon 180 days written notice.</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2022, RTC Canada entered into the RTC Canada Revolving Credit Agreement.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 Advances under the RTC Canada Revolving Credit Agreement bear interest per annum, payable on the first business day of each calendar month, at CDOR, plus 1.35%. The RTC Canada Revolving Credit Agreement expires September 14, 2026.</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associated with the WF Credit Agreement, the PLC Agreement and the RTC Canada Revolving Credit Agreement is recorded in interest expense on the Consolidated Statement of Income. The WF Credit Agreement, PLC Agreement and RTC Canada Revolving Credit Agreement are general borrowing facilities, whereas prior to these credit agreements, interest expense associated with the Company’s lease and rental fleet was recorded in cost of sales as the borrowings were directly related to each lease and rental vehicle.</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Company’s floor plan financing agreements and the WF Credit Agreement require us to satisfy various financial ratios such as the leverage ratio, the asset coverage ratio and the fixed charge coverage ratio. As of December 31, 2022, the Company was in compliance with all debt covenants related to its floor plan credit agreements and the WF Credit Agreement. The Company does not anticipate any breach of the covenants in the foreseeable future.</w:t>
      </w:r>
    </w:p>
    <w:p>
      <w:pPr>
        <w:spacing w:after="0" w:line="392" w:lineRule="exact"/>
        <w:rPr>
          <w:sz w:val="20"/>
          <w:szCs w:val="20"/>
          <w:color w:val="auto"/>
        </w:rPr>
      </w:pPr>
    </w:p>
    <w:p>
      <w:pPr>
        <w:ind w:left="980" w:hanging="97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December 31, 2022, and 2021. The carrying value of current assets and current liabilities approximates the fair value due to the short maturity of these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200" w:lineRule="exact"/>
        <w:rPr>
          <w:sz w:val="20"/>
          <w:szCs w:val="20"/>
          <w:color w:val="auto"/>
        </w:rPr>
      </w:pPr>
    </w:p>
    <w:p>
      <w:pPr>
        <w:spacing w:after="0" w:line="231" w:lineRule="exact"/>
        <w:rPr>
          <w:sz w:val="20"/>
          <w:szCs w:val="20"/>
          <w:color w:val="auto"/>
        </w:rPr>
      </w:pPr>
    </w:p>
    <w:p>
      <w:pPr>
        <w:ind w:left="980" w:hanging="97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w:t>
      </w:r>
      <w:r>
        <w:rPr>
          <w:rFonts w:ascii="Arial" w:cs="Arial" w:eastAsia="Arial" w:hAnsi="Arial"/>
          <w:sz w:val="17"/>
          <w:szCs w:val="17"/>
          <w:color w:val="auto"/>
        </w:rPr>
        <w:t>“</w:t>
      </w:r>
      <w:r>
        <w:rPr>
          <w:rFonts w:ascii="Arial" w:cs="Arial" w:eastAsia="Arial" w:hAnsi="Arial"/>
          <w:sz w:val="17"/>
          <w:szCs w:val="17"/>
          <w:i w:val="1"/>
          <w:iCs w:val="1"/>
          <w:color w:val="auto"/>
        </w:rPr>
        <w:t>Topic 842</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which was intended to increase the transparency and comparability among organizations by recognizing lease assets and lease liabilities on the balance sheet and disclosing key information about leasing arrangements.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lease is classified as a finance lease if any of the following conditions exist on the date of lease commencement:</w:t>
      </w:r>
    </w:p>
    <w:p>
      <w:pPr>
        <w:spacing w:after="0" w:line="225" w:lineRule="exact"/>
        <w:rPr>
          <w:sz w:val="20"/>
          <w:szCs w:val="20"/>
          <w:color w:val="auto"/>
        </w:rPr>
      </w:pPr>
    </w:p>
    <w:p>
      <w:pPr>
        <w:ind w:left="1460" w:hanging="318"/>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lease transfers ownership of the underlying asset to the lessee by the end of the lease term.</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lease provides the lessee an option to purchase the underlying asset, and that option is reasonably certain to be exercised.</w:t>
      </w:r>
    </w:p>
    <w:p>
      <w:pPr>
        <w:spacing w:after="0" w:line="47" w:lineRule="exact"/>
        <w:rPr>
          <w:rFonts w:ascii="Arial" w:cs="Arial" w:eastAsia="Arial" w:hAnsi="Arial"/>
          <w:sz w:val="17"/>
          <w:szCs w:val="17"/>
          <w:color w:val="auto"/>
        </w:rPr>
      </w:pPr>
    </w:p>
    <w:p>
      <w:pPr>
        <w:ind w:left="1460" w:hanging="318"/>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lease term is for the major part of the remaining economic life of the underlying asset.</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present value of the lease payments equals or exceeds substantially all of the fair value of the underlying asset.</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underlying asset is of such a specialized nature that only the lessee can use it without major modifications.</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lessor expects to have no alternative use for the leased asset at the end of the lease.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adopted Topic 842 on January 1, 2019, and applied the practical expedients permitted, which among other things, allowed it to retain its existing assessment of whether an arrangement is, or contains, a lease and whether such lease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leases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 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commercial vehicles as the lessee under finance leases and operating leases. The lease terms vary from one year to ten years. Commercial vehicle finance leases have always been reported on the Consolidated Balance Sheet, while operating leases were added to the Consolidated Balance Sheet in 2019 with the adoption of Topic 842. These vehicles are then subleased or rented by the Company to customers under various agreements. The Company received sublease income under non-cancelable subleases of $41.7 million for the year ended December 31, 2022 and $33.0 million for the year ended December 31, 2021.</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usually guarantees the residual value of vehicles under operating lease and finance lease arrangements. As of December 31, 2022, the Company guaranteed commercial vehicle residual values of approximately $64.4 million under operating lease and finance lease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Facilities as Lessee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facility leases are classified as operating and finance leases and primarily reflect its use of dealership facilities and office space. The lease terms vary from one year to 83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facilities in Ontario, Canada from entities owned by the noncontrolling interest holder of RTC Canada. In 2022, the Company recorded approximately $2.8 million in operating lease expense related to these leases.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Lease Costs and Supplemental Information</w:t>
            </w: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Components of lease cost are as follows (in thousands):</w:t>
            </w: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4"/>
          </w:tcPr>
          <w:p>
            <w:pPr>
              <w:ind w:left="820"/>
              <w:spacing w:after="0"/>
              <w:rPr>
                <w:sz w:val="20"/>
                <w:szCs w:val="20"/>
                <w:color w:val="auto"/>
              </w:rPr>
            </w:pPr>
            <w:r>
              <w:rPr>
                <w:rFonts w:ascii="Arial" w:cs="Arial" w:eastAsia="Arial" w:hAnsi="Arial"/>
                <w:sz w:val="18"/>
                <w:szCs w:val="18"/>
                <w:color w:val="auto"/>
              </w:rPr>
              <w:t>Year Ended</w:t>
            </w:r>
          </w:p>
        </w:tc>
      </w:tr>
      <w:tr>
        <w:trPr>
          <w:trHeight w:val="195"/>
        </w:trPr>
        <w:tc>
          <w:tcPr>
            <w:tcW w:w="1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88"/>
              </w:rPr>
              <w:t>December 31,</w:t>
            </w: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6"/>
                <w:szCs w:val="16"/>
                <w:color w:val="auto"/>
              </w:rPr>
            </w:pPr>
          </w:p>
        </w:tc>
      </w:tr>
      <w:tr>
        <w:trPr>
          <w:trHeight w:val="230"/>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Component</w:t>
            </w:r>
          </w:p>
        </w:tc>
        <w:tc>
          <w:tcPr>
            <w:tcW w:w="12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9,826</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Lease and rental cost of products sold</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6,081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4,449</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cost – amortization of right-of-use assets</w:t>
            </w:r>
          </w:p>
        </w:tc>
        <w:tc>
          <w:tcPr>
            <w:tcW w:w="1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 cost of products sold</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20,135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Finance lease cost – interest on lease liabilities</w:t>
            </w:r>
          </w:p>
        </w:tc>
        <w:tc>
          <w:tcPr>
            <w:tcW w:w="1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Lease and rental cost of products sold</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4,783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5,749</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 expense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4"/>
          </w:tcPr>
          <w:p>
            <w:pPr>
              <w:jc w:val="right"/>
              <w:ind w:right="1300"/>
              <w:spacing w:after="0"/>
              <w:rPr>
                <w:sz w:val="20"/>
                <w:szCs w:val="20"/>
                <w:color w:val="auto"/>
              </w:rPr>
            </w:pPr>
            <w:r>
              <w:rPr>
                <w:rFonts w:ascii="Arial" w:cs="Arial" w:eastAsia="Arial" w:hAnsi="Arial"/>
                <w:sz w:val="18"/>
                <w:szCs w:val="18"/>
                <w:color w:val="auto"/>
              </w:rPr>
              <w:t>Year Ended</w:t>
            </w:r>
          </w:p>
        </w:tc>
      </w:tr>
      <w:tr>
        <w:trPr>
          <w:trHeight w:val="195"/>
        </w:trPr>
        <w:tc>
          <w:tcPr>
            <w:tcW w:w="6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5"/>
              </w:rPr>
              <w:t>December 31,</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6"/>
                <w:szCs w:val="16"/>
                <w:color w:val="auto"/>
              </w:rPr>
            </w:pPr>
          </w:p>
        </w:tc>
      </w:tr>
      <w:tr>
        <w:trPr>
          <w:trHeight w:val="230"/>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information:</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21,874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20,024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 information:</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14,780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13,774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54,385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24,802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and discount rate for operating and finance leases as of December 31, 2022 are as follows: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1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Finance Leases</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20"/>
                <w:szCs w:val="20"/>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months)</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by fiscal year for finance leases and operating leases as of December 31, 2022 are as follows (in thousands):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Finance</w:t>
            </w: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Operating</w:t>
            </w:r>
          </w:p>
        </w:tc>
      </w:tr>
      <w:tr>
        <w:trPr>
          <w:trHeight w:val="230"/>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Leases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2"/>
              </w:rPr>
              <w:t>Leases</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18,297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32,863</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18,274</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26,930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18,752</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13,149</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2028 and beyond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58,167</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133,055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(13,208)</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(29,023)</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104,032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as of December 31, 2022 in the amount of $6.0 million is reflected in Other Assets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Minimum rental payments to be received for non-cancelable leases and subleases in effect as of December 31, 2022, are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157,666</w:t>
            </w:r>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124,174</w:t>
            </w:r>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88,974</w:t>
            </w:r>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55,871</w:t>
            </w:r>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30,388</w:t>
            </w:r>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15,825</w:t>
            </w:r>
          </w:p>
        </w:tc>
        <w:tc>
          <w:tcPr>
            <w:tcW w:w="20" w:type="dxa"/>
            <w:vAlign w:val="bottom"/>
          </w:tcPr>
          <w:p>
            <w:pPr>
              <w:spacing w:after="0"/>
              <w:rPr>
                <w:sz w:val="18"/>
                <w:szCs w:val="18"/>
                <w:color w:val="auto"/>
              </w:rPr>
            </w:pPr>
          </w:p>
        </w:tc>
      </w:tr>
      <w:tr>
        <w:trPr>
          <w:trHeight w:val="250"/>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472,898</w:t>
            </w:r>
          </w:p>
        </w:tc>
        <w:tc>
          <w:tcPr>
            <w:tcW w:w="20" w:type="dxa"/>
            <w:vAlign w:val="bottom"/>
          </w:tcPr>
          <w:p>
            <w:pPr>
              <w:spacing w:after="0"/>
              <w:rPr>
                <w:sz w:val="21"/>
                <w:szCs w:val="21"/>
                <w:color w:val="auto"/>
              </w:rPr>
            </w:pPr>
          </w:p>
        </w:tc>
      </w:tr>
      <w:tr>
        <w:trPr>
          <w:trHeight w:val="413"/>
        </w:trPr>
        <w:tc>
          <w:tcPr>
            <w:tcW w:w="8500" w:type="dxa"/>
            <w:vAlign w:val="bottom"/>
            <w:gridSpan w:val="7"/>
          </w:tcPr>
          <w:p>
            <w:pPr>
              <w:spacing w:after="0"/>
              <w:rPr>
                <w:sz w:val="20"/>
                <w:szCs w:val="20"/>
                <w:color w:val="auto"/>
              </w:rPr>
            </w:pPr>
            <w:r>
              <w:rPr>
                <w:rFonts w:ascii="Arial" w:cs="Arial" w:eastAsia="Arial" w:hAnsi="Arial"/>
                <w:sz w:val="18"/>
                <w:szCs w:val="18"/>
                <w:color w:val="auto"/>
                <w:w w:val="96"/>
              </w:rPr>
              <w:t>Rental income during the year ended December 31, 2022, and 2021, consisted of the following (in thousands):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980" w:type="dxa"/>
            <w:vAlign w:val="bottom"/>
          </w:tcPr>
          <w:p>
            <w:pPr>
              <w:spacing w:after="0"/>
              <w:rPr>
                <w:sz w:val="18"/>
                <w:szCs w:val="18"/>
                <w:color w:val="auto"/>
              </w:rPr>
            </w:pPr>
          </w:p>
        </w:tc>
        <w:tc>
          <w:tcPr>
            <w:tcW w:w="160" w:type="dxa"/>
            <w:vAlign w:val="bottom"/>
            <w:tcBorders>
              <w:right w:val="single" w:sz="8" w:color="CCEEFF"/>
            </w:tcBorders>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278,330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214,400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Nonlease payments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43,927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32,834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160" w:type="dxa"/>
            <w:vAlign w:val="bottom"/>
            <w:tcBorders>
              <w:right w:val="single" w:sz="8" w:color="CCEEFF"/>
            </w:tcBorders>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322,257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247,234</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Borders>
              <w:right w:val="single" w:sz="8" w:color="CCEEFF"/>
            </w:tcBorders>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5820" w:type="dxa"/>
            <w:vAlign w:val="bottom"/>
            <w:gridSpan w:val="3"/>
          </w:tcPr>
          <w:p>
            <w:pPr>
              <w:spacing w:after="0"/>
              <w:rPr>
                <w:sz w:val="20"/>
                <w:szCs w:val="20"/>
                <w:color w:val="auto"/>
              </w:rPr>
            </w:pPr>
            <w:r>
              <w:rPr>
                <w:rFonts w:ascii="Arial" w:cs="Arial" w:eastAsia="Arial" w:hAnsi="Arial"/>
                <w:sz w:val="18"/>
                <w:szCs w:val="18"/>
                <w:color w:val="auto"/>
              </w:rPr>
              <w:t>SHARE BASED COMPENSATION AND EMPLOYEE BENEFIT PLANS: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Under the Employee Stock Purchase Plan, there are approximately 460,602 shares remaining of the 2,700,000 shares of the Company’s Class A common Stock that were reserved for issuance. The Company issued 134,115 shares under the Employee Stock Purchase Plan during the year ended December 31, 2022 and 148,999 shares during the year ended December 31, 2021. Of the 7,418 employees eligible to participate, approximately 2,104 elected to participate in the plan as of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Rush Enterprises, Inc. 2006 Non-Employee Director Stock Option Plan, as amended and restated (the “Director Plan”), reserved 750,000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equivalent to a compensation value of $145,000; provided however, that directors may elect to receive up to 40% of the value of such grant in cash. In 2022, three non-employee directors each received a grant of 2,757 shares of the Company’s Class A common stock, two non-employee directors each received a grant of 1,654 shares of the Company’s Class A common stock and $58,000 cash and one non-employee director received a grant of 1,930 shares of the Company’s Class A common stock and $43,500 cash, for total compensation equivalent to $145,000 each. In 2021, three non-employee directors each received a grant of 2,875 shares of the Company’s Class A common stock and two non-employee directors each received a grant of 2,013 shares of the Company’s Class A common stock and $43,500 cash and one non-employee director received a grant of 1,725 shares of the Company’s Class A common stock and $58,000 cash for total compensation equivalent to $145,000 each. One director who was appointed to the Company’s Board of Directors in October of 2021 received 1,350 shares of the Company’s Class A common stock, for total compensation equivalent to $72,500. Under the Director Plan, there are approximately 134,643 shares remaining for issuance of the 750,000 shares of the Company’s Class A common stock that were reserved for issuance. The Company granted 13,509 shares of Class A common stock under the Director Plan during the year ended December 31, 2022 and 15,726 shares of Class A common stock under the Director Plan during the year ended December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 Plans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May 16, 2017 and again on May 12, 2020, to increase the number of shares available for issuance under the plan to 13,200,000 shares of Class A common stock and 4,800,000 shares of Class B common stock and to make certain other changes intended to bring the 2007 Incentive Plan into conformance with current best practices.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aggregate number of shares of common stock subject to stock options or SARs that may be granted to any one participant in any year under the 2007 Incentive Plan is 150,000 shares of Class A common stock or 150,000 shares of Class B common stock. Each option granted pursuant to the 2007 Incentive Plan has a ten-year term from the grant date and vests in three equal annual installments beginning on the third anniversary of the grant date. The Company has 13,200,000 shares of Class A common stock and 4,800,000 shares of Class B common stock reserved for issuance under the Company’s 2007 Incentive Plan. As of December 31, 2022, approximately 1,756,629 shares of Class A common stock and 955,225 shares of Class B common stock are available for issuance under the Company’s 2007 Incentive Plan. The Company issues new shares of its Class A or Class B common stock upon the exercise of stock options or vesting of restricted stock awards. During the year ended December 31, 2022, the Company granted to employees 511,900 options to purchase Class A common stock and 354,600 restricted Class B common stock awards under the 2007 Incentive Plan. Restricted stock awards are issued when granted, but are subject to vesting requirements. During the year ended December 31, 2021, the Company granted to employees 498,700 options to purchase Class A common stock and 340,650 shares of restricted Class B common stock awards under the 2007 Incentive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Stock-based compensation expense related to stock options, restricted stock awards, restricted stock units and employee stock purchases was $25.3 million for the year ended December 31, 2022, $22.2 million for the year ended December 31, 2021, and $19.4 million for the year ended December 31, 2020. Cash received from options exercised and shares purchased under all share-based payment arrangements was $13.3 million for the year ended December 31, 2022, $18.3 million for the year ended December 31, 2021, and $23.5 million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Company’s stock option activity and related information for the year ended December 31, 2022:</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Aggregate</w:t>
            </w: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Intrinsic</w:t>
            </w:r>
          </w:p>
        </w:tc>
      </w:tr>
      <w:tr>
        <w:trPr>
          <w:trHeight w:val="230"/>
        </w:trPr>
        <w:tc>
          <w:tcPr>
            <w:tcW w:w="4680" w:type="dxa"/>
            <w:vAlign w:val="bottom"/>
          </w:tcPr>
          <w:p>
            <w:pPr>
              <w:ind w:left="206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Price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Life (in Years)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r>
      <w:tr>
        <w:trPr>
          <w:trHeight w:val="210"/>
        </w:trPr>
        <w:tc>
          <w:tcPr>
            <w:tcW w:w="4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2022</w:t>
            </w: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3,804,976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511,900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53.04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(376,860)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21.31</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(24,750)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39.20</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December 31, 2022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3,915,266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86,815,673</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80" w:type="dxa"/>
            <w:vAlign w:val="bottom"/>
          </w:tcPr>
          <w:p>
            <w:pPr>
              <w:spacing w:after="0" w:line="196" w:lineRule="exact"/>
              <w:rPr>
                <w:sz w:val="20"/>
                <w:szCs w:val="20"/>
                <w:color w:val="auto"/>
              </w:rPr>
            </w:pPr>
            <w:r>
              <w:rPr>
                <w:rFonts w:ascii="Arial" w:cs="Arial" w:eastAsia="Arial" w:hAnsi="Arial"/>
                <w:sz w:val="18"/>
                <w:szCs w:val="18"/>
                <w:color w:val="auto"/>
              </w:rPr>
              <w:t>Expected to vest after December 31, 2022</w:t>
            </w:r>
          </w:p>
        </w:tc>
        <w:tc>
          <w:tcPr>
            <w:tcW w:w="120" w:type="dxa"/>
            <w:vAlign w:val="bottom"/>
          </w:tcPr>
          <w:p>
            <w:pPr>
              <w:spacing w:after="0"/>
              <w:rPr>
                <w:sz w:val="17"/>
                <w:szCs w:val="17"/>
                <w:color w:val="auto"/>
              </w:rPr>
            </w:pPr>
          </w:p>
        </w:tc>
        <w:tc>
          <w:tcPr>
            <w:tcW w:w="14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2,375,412</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35.73</w:t>
            </w: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7.4</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39,675,140</w:t>
            </w: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at December 31, 2022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1,514,871</w:t>
            </w:r>
          </w:p>
        </w:tc>
        <w:tc>
          <w:tcPr>
            <w:tcW w:w="2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21.24</w:t>
            </w:r>
          </w:p>
        </w:tc>
        <w:tc>
          <w:tcPr>
            <w:tcW w:w="1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47,018,146</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closing price of the Company’s Class A common stock on December 31, 2022, which was $52.28. The total intrinsic value of options exercised was $11.6 million during the year ended December 31, 2022, $23.4 million during the year ended December 31, 2021, and $20.8 million during the year ended December 31,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the status of the number of shares underlying the Company’s non-vested stock options as of December 31, 2022, and changes during the year ended December 31, 2022:</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Grant Date</w:t>
            </w:r>
          </w:p>
        </w:tc>
      </w:tr>
      <w:tr>
        <w:trPr>
          <w:trHeight w:val="230"/>
        </w:trPr>
        <w:tc>
          <w:tcPr>
            <w:tcW w:w="5580" w:type="dxa"/>
            <w:vAlign w:val="bottom"/>
          </w:tcPr>
          <w:p>
            <w:pPr>
              <w:ind w:left="2120"/>
              <w:spacing w:after="0"/>
              <w:rPr>
                <w:sz w:val="20"/>
                <w:szCs w:val="20"/>
                <w:color w:val="auto"/>
              </w:rPr>
            </w:pPr>
            <w:r>
              <w:rPr>
                <w:rFonts w:ascii="Arial" w:cs="Arial" w:eastAsia="Arial" w:hAnsi="Arial"/>
                <w:sz w:val="18"/>
                <w:szCs w:val="18"/>
                <w:color w:val="auto"/>
              </w:rPr>
              <w:t>Non-vested Shares</w:t>
            </w:r>
          </w:p>
        </w:tc>
        <w:tc>
          <w:tcPr>
            <w:tcW w:w="100" w:type="dxa"/>
            <w:vAlign w:val="bottom"/>
          </w:tcPr>
          <w:p>
            <w:pPr>
              <w:spacing w:after="0"/>
              <w:rPr>
                <w:sz w:val="20"/>
                <w:szCs w:val="20"/>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r>
      <w:tr>
        <w:trPr>
          <w:trHeight w:val="209"/>
        </w:trPr>
        <w:tc>
          <w:tcPr>
            <w:tcW w:w="5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2,576,614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511,900</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16.81</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(663,369)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(24,750)</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12.05</w:t>
            </w:r>
          </w:p>
        </w:tc>
      </w:tr>
      <w:tr>
        <w:trPr>
          <w:trHeight w:val="24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2,400,395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total fair value of vested options was $5.9 million during the year ended December 31, 2022, $5.0 million during the year ended December 31, 2021, and $4.5 million during the year ended December 31, 2020. The weighted-average grant date fair value of options granted was $16.81 per share during the year ended December 31, 2022, $14.77 per share during the year ended December 31, 2021, and $6.36 per share during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granted restricted stock awards to certain of its employees under the 2007 Incentive Plan and unrestricted stock awards to its non-employee directors under the Director Plan during the year ended December 31, 2022. The restricted stock awards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awards granted to the Company’s employees is amortized to expense on a straight-line basis over the restricted stock’s vesting period. The shares granted to non-employee directors are expensed on the grant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non-vested restricted stock awards at December 31, 2022:</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Aggregate</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Intrinsic</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Grant Date</w:t>
            </w:r>
          </w:p>
        </w:tc>
      </w:tr>
      <w:tr>
        <w:trPr>
          <w:trHeight w:val="230"/>
        </w:trPr>
        <w:tc>
          <w:tcPr>
            <w:tcW w:w="4680" w:type="dxa"/>
            <w:vAlign w:val="bottom"/>
          </w:tcPr>
          <w:p>
            <w:pPr>
              <w:ind w:left="1480"/>
              <w:spacing w:after="0"/>
              <w:rPr>
                <w:sz w:val="20"/>
                <w:szCs w:val="20"/>
                <w:color w:val="auto"/>
              </w:rPr>
            </w:pPr>
            <w:r>
              <w:rPr>
                <w:rFonts w:ascii="Arial" w:cs="Arial" w:eastAsia="Arial" w:hAnsi="Arial"/>
                <w:sz w:val="18"/>
                <w:szCs w:val="18"/>
                <w:color w:val="auto"/>
              </w:rPr>
              <w:t>Stock Awards and Units</w:t>
            </w:r>
          </w:p>
        </w:tc>
        <w:tc>
          <w:tcPr>
            <w:tcW w:w="12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Shares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Life (in Years)</w:t>
            </w:r>
          </w:p>
        </w:tc>
        <w:tc>
          <w:tcPr>
            <w:tcW w:w="180" w:type="dxa"/>
            <w:vAlign w:val="bottom"/>
          </w:tcPr>
          <w:p>
            <w:pPr>
              <w:spacing w:after="0"/>
              <w:rPr>
                <w:sz w:val="20"/>
                <w:szCs w:val="20"/>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color w:val="auto"/>
                <w:w w:val="86"/>
              </w:rPr>
              <w:t>Value</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 Value</w:t>
            </w:r>
          </w:p>
        </w:tc>
      </w:tr>
      <w:tr>
        <w:trPr>
          <w:trHeight w:val="209"/>
        </w:trPr>
        <w:tc>
          <w:tcPr>
            <w:tcW w:w="4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shares at January 1, 2022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843,820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368,109</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(458,252)</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49.90</w:t>
            </w:r>
          </w:p>
        </w:tc>
      </w:tr>
      <w:tr>
        <w:trPr>
          <w:trHeight w:val="25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at December 31, 2022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752,677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42,353,135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Expected to vest after December 31, 2022</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751,079</w:t>
            </w:r>
          </w:p>
        </w:tc>
        <w:tc>
          <w:tcPr>
            <w:tcW w:w="220" w:type="dxa"/>
            <w:vAlign w:val="bottom"/>
          </w:tcPr>
          <w:p>
            <w:pPr>
              <w:spacing w:after="0"/>
              <w:rPr>
                <w:sz w:val="17"/>
                <w:szCs w:val="17"/>
                <w:color w:val="auto"/>
              </w:rPr>
            </w:pPr>
          </w:p>
        </w:tc>
        <w:tc>
          <w:tcPr>
            <w:tcW w:w="1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42,263,234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fair value of the shares issued upon the vesting of restricted and unrestricted stock awards during the year ended December 31, 2022 was $13.8 million. The weighted-average grant date fair value of stock awards granted was $50.00 per share during the year ended December 31, 2022, $44.86 per share during the year ended December 31, 2021 and $21.98 per share during the year ended December 31, 2020.</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2022, the Company had $10.6 million of unrecognized compensation expense related to non-vested employee stock options to be recognized over a weighted-average period of 2.2 years and $10.9 million of unrecognized compensation cost related to non-vested restricted stock awards to be recognized over a weighted-average period of 1.3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a defined contribution plan (the “Rush 401k Plan”) that is available to all employees. Each employee who has completed 30 days of continuous service is entitled to enter the Rush 401k Plan on the first day of the following month. Participating employees may contribute from 1% to 50% of their total gross compensation. However, certain highly compensated employees are limited to a maximum contribution of 15% of total gross compensation.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Effective June 16, 2020, as part of the Company’s expense reductions due to the Covid-19 pandemic, for the first 10% of an employee’s contribution, the Company contributed an amount equal to 5% of the employees’ contributions for those employees with less than five years of service and an amount equal to 10% of the employees’ contributions for those employees with more than five years of service. Effective March 15, 2021,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$12.1 million during the year ended December 31, 2022, $8.2 million during the year ended December 31, 2021 and $6.0 million during the year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6, 2010, the Board of Directors of the Company adopted the Rush Enterprises, Inc. Deferred Compensation Plan (the “Deferred Compensation Plan”) pursuant to which certain employees and directors may elect to defer a portion of their annual compensation. The Deferred Compensation Plan was amended and restated effective May 18, 2021 in order to bring the plan into conformance with current “best” practices.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$19.4 million on December 31, 2022 and $21.3 million on December 31, 2021. The related cash surrender value of the life insurance contracts was $13.0 million on December 31, 2022 and $12.7 million on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post-employment benefits.</w:t>
      </w:r>
    </w:p>
    <w:p>
      <w:pPr>
        <w:spacing w:after="0" w:line="200" w:lineRule="exact"/>
        <w:rPr>
          <w:sz w:val="20"/>
          <w:szCs w:val="20"/>
          <w:color w:val="auto"/>
        </w:rPr>
      </w:pPr>
    </w:p>
    <w:p>
      <w:pPr>
        <w:spacing w:after="0" w:line="268" w:lineRule="exact"/>
        <w:rPr>
          <w:sz w:val="20"/>
          <w:szCs w:val="20"/>
          <w:color w:val="auto"/>
        </w:rPr>
      </w:pPr>
    </w:p>
    <w:p>
      <w:pPr>
        <w:ind w:left="980" w:hanging="97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restricted shares awards and restricted stock unit awards that were outstanding during the period.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80" w:type="dxa"/>
            <w:vAlign w:val="bottom"/>
          </w:tcPr>
          <w:p>
            <w:pPr>
              <w:ind w:left="180"/>
              <w:spacing w:after="0" w:line="201" w:lineRule="exact"/>
              <w:rPr>
                <w:sz w:val="20"/>
                <w:szCs w:val="20"/>
                <w:color w:val="auto"/>
              </w:rPr>
            </w:pPr>
            <w:r>
              <w:rPr>
                <w:rFonts w:ascii="Arial" w:cs="Arial" w:eastAsia="Arial" w:hAnsi="Arial"/>
                <w:sz w:val="18"/>
                <w:szCs w:val="18"/>
                <w:color w:val="auto"/>
                <w:w w:val="98"/>
              </w:rPr>
              <w:t>Numerator for basic and diluted earnings per share − Net income available to common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391,382</w:t>
            </w:r>
          </w:p>
        </w:tc>
        <w:tc>
          <w:tcPr>
            <w:tcW w:w="220" w:type="dxa"/>
            <w:vAlign w:val="bottom"/>
          </w:tcPr>
          <w:p>
            <w:pPr>
              <w:spacing w:after="0"/>
              <w:rPr>
                <w:sz w:val="17"/>
                <w:szCs w:val="17"/>
                <w:color w:val="auto"/>
              </w:rPr>
            </w:pP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241,415</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114,887</w:t>
            </w:r>
          </w:p>
        </w:tc>
        <w:tc>
          <w:tcPr>
            <w:tcW w:w="0" w:type="dxa"/>
            <w:vAlign w:val="bottom"/>
          </w:tcPr>
          <w:p>
            <w:pPr>
              <w:spacing w:after="0"/>
              <w:rPr>
                <w:sz w:val="1"/>
                <w:szCs w:val="1"/>
                <w:color w:val="auto"/>
              </w:rPr>
            </w:pPr>
          </w:p>
        </w:tc>
      </w:tr>
      <w:tr>
        <w:trPr>
          <w:trHeight w:val="190"/>
        </w:trPr>
        <w:tc>
          <w:tcPr>
            <w:tcW w:w="6980" w:type="dxa"/>
            <w:vAlign w:val="bottom"/>
          </w:tcPr>
          <w:p>
            <w:pPr>
              <w:ind w:left="340"/>
              <w:spacing w:after="0" w:line="190" w:lineRule="exact"/>
              <w:rPr>
                <w:sz w:val="20"/>
                <w:szCs w:val="20"/>
                <w:color w:val="auto"/>
              </w:rPr>
            </w:pPr>
            <w:r>
              <w:rPr>
                <w:rFonts w:ascii="Arial" w:cs="Arial" w:eastAsia="Arial" w:hAnsi="Arial"/>
                <w:sz w:val="18"/>
                <w:szCs w:val="18"/>
                <w:color w:val="auto"/>
              </w:rPr>
              <w:t>shareholders</w:t>
            </w:r>
          </w:p>
        </w:tc>
        <w:tc>
          <w:tcPr>
            <w:tcW w:w="2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Denominator for basic earnings per share – weighted average shares outstanding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55,892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54,866</w:t>
            </w: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Effect of dilutive securities− Employee and director stock options and restricted share</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tcPr>
          <w:p>
            <w:pPr>
              <w:ind w:left="18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 outstanding</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57,151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57,878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56,242</w:t>
            </w:r>
          </w:p>
        </w:tc>
        <w:tc>
          <w:tcPr>
            <w:tcW w:w="0" w:type="dxa"/>
            <w:vAlign w:val="bottom"/>
          </w:tcPr>
          <w:p>
            <w:pPr>
              <w:spacing w:after="0"/>
              <w:rPr>
                <w:sz w:val="1"/>
                <w:szCs w:val="1"/>
                <w:color w:val="auto"/>
              </w:rPr>
            </w:pPr>
          </w:p>
        </w:tc>
      </w:tr>
      <w:tr>
        <w:trPr>
          <w:trHeight w:val="190"/>
        </w:trPr>
        <w:tc>
          <w:tcPr>
            <w:tcW w:w="6980" w:type="dxa"/>
            <w:vAlign w:val="bottom"/>
          </w:tcPr>
          <w:p>
            <w:pPr>
              <w:ind w:left="340"/>
              <w:spacing w:after="0" w:line="190" w:lineRule="exact"/>
              <w:rPr>
                <w:sz w:val="20"/>
                <w:szCs w:val="20"/>
                <w:color w:val="auto"/>
              </w:rPr>
            </w:pPr>
            <w:r>
              <w:rPr>
                <w:rFonts w:ascii="Arial" w:cs="Arial" w:eastAsia="Arial" w:hAnsi="Arial"/>
                <w:sz w:val="18"/>
                <w:szCs w:val="18"/>
                <w:color w:val="auto"/>
              </w:rPr>
              <w:t>and assumed conversions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4.32</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6.85</w:t>
            </w:r>
          </w:p>
        </w:tc>
        <w:tc>
          <w:tcPr>
            <w:tcW w:w="2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4.17</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2022, 2021 and 2020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Anti-dilutive options – weighted average</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34"/>
        </w:trPr>
        <w:tc>
          <w:tcPr>
            <w:tcW w:w="980" w:type="dxa"/>
            <w:vAlign w:val="bottom"/>
          </w:tcPr>
          <w:p>
            <w:pPr>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INCOME TAXES:</w:t>
            </w: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480" w:type="dxa"/>
            <w:vAlign w:val="bottom"/>
            <w:gridSpan w:val="4"/>
          </w:tcPr>
          <w:p>
            <w:pPr>
              <w:spacing w:after="0"/>
              <w:rPr>
                <w:sz w:val="20"/>
                <w:szCs w:val="20"/>
                <w:color w:val="auto"/>
              </w:rPr>
            </w:pPr>
            <w:r>
              <w:rPr>
                <w:rFonts w:ascii="Arial" w:cs="Arial" w:eastAsia="Arial" w:hAnsi="Arial"/>
                <w:sz w:val="18"/>
                <w:szCs w:val="18"/>
                <w:color w:val="auto"/>
              </w:rPr>
              <w:t>The tax provisions are summarized as follows (in thousands):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88"/>
              </w:rPr>
              <w:t>Year Ended December 31,</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Domestic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502,141</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307,260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146,055</w:t>
            </w:r>
          </w:p>
        </w:tc>
      </w:tr>
      <w:tr>
        <w:trPr>
          <w:trHeight w:val="216"/>
        </w:trPr>
        <w:tc>
          <w:tcPr>
            <w:tcW w:w="9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5,668</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509,327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313,683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151,723</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Current provision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47,475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67,988</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16,516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10,759</w:t>
            </w:r>
          </w:p>
        </w:tc>
        <w:tc>
          <w:tcPr>
            <w:tcW w:w="180" w:type="dxa"/>
            <w:vAlign w:val="bottom"/>
          </w:tcPr>
          <w:p>
            <w:pPr>
              <w:spacing w:after="0"/>
              <w:rPr>
                <w:sz w:val="18"/>
                <w:szCs w:val="18"/>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6,706</w:t>
            </w:r>
          </w:p>
        </w:tc>
      </w:tr>
      <w:tr>
        <w:trPr>
          <w:trHeight w:val="216"/>
        </w:trPr>
        <w:tc>
          <w:tcPr>
            <w:tcW w:w="9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112,981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58,234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74,694</w:t>
            </w:r>
          </w:p>
        </w:tc>
      </w:tr>
      <w:tr>
        <w:trPr>
          <w:trHeight w:val="210"/>
        </w:trPr>
        <w:tc>
          <w:tcPr>
            <w:tcW w:w="9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provision (benefit)</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7,975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13,809</w:t>
            </w:r>
          </w:p>
        </w:tc>
        <w:tc>
          <w:tcPr>
            <w:tcW w:w="180" w:type="dxa"/>
            <w:vAlign w:val="bottom"/>
          </w:tcPr>
          <w:p>
            <w:pPr>
              <w:spacing w:after="0"/>
              <w:rPr>
                <w:sz w:val="18"/>
                <w:szCs w:val="18"/>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rPr>
              <w:t>(37,683)</w:t>
            </w:r>
          </w:p>
        </w:tc>
      </w:tr>
      <w:tr>
        <w:trPr>
          <w:trHeight w:val="216"/>
        </w:trPr>
        <w:tc>
          <w:tcPr>
            <w:tcW w:w="9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3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(1,254)</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(3,149)</w:t>
            </w:r>
          </w:p>
        </w:tc>
        <w:tc>
          <w:tcPr>
            <w:tcW w:w="30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856</w:t>
            </w:r>
          </w:p>
        </w:tc>
        <w:tc>
          <w:tcPr>
            <w:tcW w:w="180" w:type="dxa"/>
            <w:vAlign w:val="bottom"/>
          </w:tcPr>
          <w:p>
            <w:pPr>
              <w:spacing w:after="0"/>
              <w:rPr>
                <w:sz w:val="18"/>
                <w:szCs w:val="18"/>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1,079</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(37,858)</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117,242</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72,268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36,836</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taxes based on the federal statutory rates and the provisions (benefits) for income taxes are summarized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106,959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65,694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31,862</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12,708</w:t>
            </w:r>
          </w:p>
        </w:tc>
        <w:tc>
          <w:tcPr>
            <w:tcW w:w="3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7,874</w:t>
            </w:r>
          </w:p>
        </w:tc>
        <w:tc>
          <w:tcPr>
            <w:tcW w:w="3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4,487</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(2,502)</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(2,134)</w:t>
            </w:r>
          </w:p>
        </w:tc>
        <w:tc>
          <w:tcPr>
            <w:tcW w:w="3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1,515</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117,242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72,268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36,836</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(4,710)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(2,704)</w:t>
            </w: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Finance lease obligations</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(28,514)</w:t>
            </w: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(27,242)</w:t>
            </w: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and operating leases</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(25,283)</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(16,379)</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(7,525)</w:t>
            </w: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(6,993)</w:t>
            </w: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(3,632)</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(5,768)</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State net operating loss carry forward</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(1,268)</w:t>
            </w: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(1,438)</w:t>
            </w: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tax credit</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(5,519)</w:t>
            </w: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(2,765)</w:t>
            </w: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Difference between book and tax basis- Operating lease assets</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24,989</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16,132</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Difference between book and tax basis- Depreciation and amortization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203,939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188,099</w:t>
            </w:r>
          </w:p>
        </w:tc>
      </w:tr>
      <w:tr>
        <w:trPr>
          <w:trHeight w:val="20"/>
        </w:trPr>
        <w:tc>
          <w:tcPr>
            <w:tcW w:w="6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151,970</w:t>
            </w: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140,473</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the net deferred income tax liability from December 31, 2021 to December 31, 2022 includes $7.2 million in deferred income tax liability related to the inclusion of RTC Canada in the Company’s consolidated financial statements subsequent to the acquisition of the additional 30% equity interest on May 2, 2022.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the Company had approximately $23.5 million in state net operating loss carry forwards that expire from 2022 to 2041, which result in a deferred tax asset of approximately $1.3 million. The Company has evaluated whether its state net operating losses are realizable and has not recorded a valuation allowance against them. The valuation allowance did not change over the prior year ending December 31, 2021.</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unrecognized income tax benefits totaling $5.3 million as a component of accrued liabilities as of December 31, 2022, and $4.3 million as of December 31, 2021,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2022, 2021 and 2020, the Company recognized approximately $22,800, $129,660, and $6,150 in interest expense. No amounts were accrued for penalties. The Company had approximately $302,000, $279,000 and $150,000 of interest accrued as of December 31, 2022, 2021 and 2020, respectively.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Undistributed earnings of certain of the Company’s foreign subsidiaries amounted to approximately $18.9 million at December 2022. Those earnings are considered to be indefinitely reinvested. Upon repatriation of those earnings in the form of dividends or otherwise, the Company may be subject to state and local taxes, and/or withholding taxes payable to the various foreign countries. The Company expects to be able to take a 100% dividends received deduction to offset any U.S. federal income tax liability on the distribution of untaxed earnings and profits.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2022, the tax years ended December 31, 2019 through 2022 remained subject to audit by federal tax authorities and the tax years ended December 31, 2018 through 2022, remained subject to audit by state tax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reconciliation of the change in the unrecognized tax benefits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period</w:t>
            </w:r>
          </w:p>
        </w:tc>
        <w:tc>
          <w:tcPr>
            <w:tcW w:w="15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3,007</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Gross increases – tax positions in current year</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1,512</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lapse of statute of limitations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3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Unrecognized tax benefits at end of period</w:t>
            </w:r>
          </w:p>
        </w:tc>
        <w:tc>
          <w:tcPr>
            <w:tcW w:w="15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5,377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4,309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3,306</w:t>
            </w:r>
          </w:p>
        </w:tc>
        <w:tc>
          <w:tcPr>
            <w:tcW w:w="720" w:type="dxa"/>
            <w:vAlign w:val="bottom"/>
          </w:tcPr>
          <w:p>
            <w:pPr>
              <w:spacing w:after="0"/>
              <w:rPr>
                <w:sz w:val="18"/>
                <w:szCs w:val="18"/>
                <w:color w:val="auto"/>
              </w:rPr>
            </w:pPr>
          </w:p>
        </w:tc>
      </w:tr>
      <w:tr>
        <w:trPr>
          <w:trHeight w:val="426"/>
        </w:trPr>
        <w:tc>
          <w:tcPr>
            <w:tcW w:w="9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74</w:t>
            </w: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980" w:hanging="97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December 31, 2022,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38" w:lineRule="exact"/>
        <w:rPr>
          <w:sz w:val="20"/>
          <w:szCs w:val="20"/>
          <w:color w:val="auto"/>
        </w:rPr>
      </w:pPr>
    </w:p>
    <w:p>
      <w:pPr>
        <w:ind w:left="980" w:hanging="97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7, 2022, the Company acquired certain assets of Scheppers International Truck Center, Inc., which included real estate and an International truck franchise in Jefferson City, Missouri, along with commercial vehicle and parts inventory. The transaction was valued at approximately $6.8 million, with the purchase price paid in cash.</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acquisition-date fair value of the previous 50% equity interest was $44.7 million, resulting in a gain of $7.0 million included in the line item Other income (expense) on the Consolidated Statements of Income. The Company also recognized a reversal of deferred tax liabilities of $2.2 million and $0.6 million related to reclassification of the foreign currency translation adjustment related to the remeasurement of the Company’s previous equity method investment in RTC Canada.</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preliminary purchase price was allocated based on the fair values of the assets and liabilities at the date of acquisition as follows (in thousands):</w:t>
      </w:r>
    </w:p>
    <w:p>
      <w:pPr>
        <w:spacing w:after="0" w:line="25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19,072</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56,255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Property and equipment, including real estate</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80,337</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Floor plan 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(30,501)</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(19,978)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(7,875)</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(69,545)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44,033</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rights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3,422</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in RTC Canada</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(37,309)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(17,828)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equity method investment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(6,958)</w:t>
            </w:r>
          </w:p>
        </w:tc>
      </w:tr>
      <w:tr>
        <w:trPr>
          <w:trHeight w:val="210"/>
        </w:trPr>
        <w:tc>
          <w:tcPr>
            <w:tcW w:w="73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19,361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allocation has not yet been finalized. The Company is currently working with RTC Canada to obtain additional information that existed at the time of the acquisition related to property and equipment, inventory and valuation of intangible assets. Management has recorded the purchase price allocations based upon currently available information about RTC Canada. The goodwill of $47.9 million for the RTC Canada acquisition is primarily attributable to the synergies expected to arise after obtaining a controlling interest in the entity.</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May 2, 2022, the Company accounted for its 50% equity interest in RTC Canada as an equity-method investment. Subsequent to the Company’s acquisition of the additional 30% equity interest on May 2, 2022, operations of RTC Canada are included in the accompanying consolidated financial statements.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13, 2021, the Company completed the acquisition of certain of the assets of Summit Truck Group, LLC and certain of its subsidiaries and affiliates (collectively, “Summit”) which included full-service commercial vehicle dealerships and Idealease franchises in Arkansas, Kansas, Missouri, Tennessee and Texas. The acquisition included Summit’s dealerships representing International, IC Bus, Idealease, Isuzu and other commercial vehicle manufacturers for a purchase price of approximately $205.3 million, excluding the real property associated with the transaction. The Company financed approximately $102.0 million of the purchase price under its floor plan and lease and rental truck financing arrangements and the remainder of the purchase price was paid in cash. In addition, the Company purchased certain real property owned by Summit for a purchase price of approximately $57.0 million, which was paid in cash.</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operations of Summit are included in the accompanying consolidated financial statements from the date of the acquisition. The purchase price was allocated based on the fair values of the assets and liabilities at the date of acquisition as follows (in thousands):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74,413</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Franchise rights</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72,070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Property and equipment, including real estate</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113,306</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w:t>
            </w:r>
          </w:p>
        </w:tc>
      </w:tr>
      <w:tr>
        <w:trPr>
          <w:trHeight w:val="210"/>
        </w:trPr>
        <w:tc>
          <w:tcPr>
            <w:tcW w:w="73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262,252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goodwill of $74.4 million for the Summit acquisition is primarily attributable to the synergies expected to arise after the acquisition. The goodwill acquired in the Summit acquisition will be amortized over 15 years for tax purposes.</w:t>
      </w:r>
    </w:p>
    <w:p>
      <w:pPr>
        <w:spacing w:after="0" w:line="200" w:lineRule="exact"/>
        <w:rPr>
          <w:sz w:val="20"/>
          <w:szCs w:val="20"/>
          <w:color w:val="auto"/>
        </w:rPr>
      </w:pPr>
    </w:p>
    <w:p>
      <w:pPr>
        <w:spacing w:after="0" w:line="213" w:lineRule="exact"/>
        <w:rPr>
          <w:sz w:val="20"/>
          <w:szCs w:val="20"/>
          <w:color w:val="auto"/>
        </w:rPr>
      </w:pPr>
    </w:p>
    <w:p>
      <w:pPr>
        <w:ind w:left="980" w:hanging="97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operating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2022, 2021 or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2022, 2021 and 2020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Truck</w:t>
            </w:r>
          </w:p>
        </w:tc>
        <w:tc>
          <w:tcPr>
            <w:tcW w:w="30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All</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Segment</w:t>
            </w:r>
          </w:p>
        </w:tc>
        <w:tc>
          <w:tcPr>
            <w:tcW w:w="30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Totals</w:t>
            </w:r>
          </w:p>
        </w:tc>
      </w:tr>
      <w:tr>
        <w:trPr>
          <w:trHeight w:val="209"/>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7,084,847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16,821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7,101,668</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19,763</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19,763</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55,354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55,665</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505,415</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698</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506,113</w:t>
            </w:r>
          </w:p>
        </w:tc>
      </w:tr>
      <w:tr>
        <w:trPr>
          <w:trHeight w:val="202"/>
        </w:trPr>
        <w:tc>
          <w:tcPr>
            <w:tcW w:w="39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Segment income from continuing operations before</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508,629</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509,327</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Segment assets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3,769,007</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52,059</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3,821,066</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413,803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416,363</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Expenditures for segment assets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242,503</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243,060</w:t>
            </w:r>
          </w:p>
        </w:tc>
      </w:tr>
      <w:tr>
        <w:trPr>
          <w:trHeight w:val="216"/>
        </w:trPr>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5,109,070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5,126,142</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2,119</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2,427</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53,096</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53,354</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307,394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309,036</w:t>
            </w:r>
          </w:p>
        </w:tc>
      </w:tr>
      <w:tr>
        <w:trPr>
          <w:trHeight w:val="202"/>
        </w:trPr>
        <w:tc>
          <w:tcPr>
            <w:tcW w:w="39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6"/>
              </w:rPr>
              <w:t>Segment income from continuing operations before</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312,350</w:t>
            </w:r>
          </w:p>
        </w:tc>
        <w:tc>
          <w:tcPr>
            <w:tcW w:w="3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1,333</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313,683</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3,068,365</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51,612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3,119,977</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367,771</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2,560</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370,331</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Expenditures for segment assets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163,624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167,177</w:t>
            </w:r>
          </w:p>
        </w:tc>
      </w:t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4,721,058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4,735,940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9,444</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9,727</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57,162</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57,456</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153,841</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154,605</w:t>
            </w:r>
          </w:p>
        </w:tc>
      </w:tr>
      <w:tr>
        <w:trPr>
          <w:trHeight w:val="202"/>
        </w:trPr>
        <w:tc>
          <w:tcPr>
            <w:tcW w:w="39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Segment income from continuing operations before</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151,222</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151,723</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Segment assets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2,939,390</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46,003</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2,985,393</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289,582</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292,142</w:t>
            </w: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Expenditures for segment assets</w:t>
            </w:r>
          </w:p>
        </w:tc>
        <w:tc>
          <w:tcPr>
            <w:tcW w:w="2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135,956</w:t>
            </w:r>
          </w:p>
        </w:tc>
        <w:tc>
          <w:tcPr>
            <w:tcW w:w="3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136,200</w:t>
            </w:r>
          </w:p>
        </w:tc>
      </w:tr>
    </w:tbl>
    <w:p>
      <w:pPr>
        <w:spacing w:after="0" w:line="200" w:lineRule="exact"/>
        <w:rPr>
          <w:sz w:val="20"/>
          <w:szCs w:val="20"/>
          <w:color w:val="auto"/>
        </w:rPr>
      </w:pPr>
    </w:p>
    <w:p>
      <w:pPr>
        <w:spacing w:after="0" w:line="230" w:lineRule="exact"/>
        <w:rPr>
          <w:sz w:val="20"/>
          <w:szCs w:val="20"/>
          <w:color w:val="auto"/>
        </w:rPr>
      </w:pPr>
    </w:p>
    <w:p>
      <w:pPr>
        <w:ind w:left="980" w:hanging="97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disaggregated revenue by revenue source, excluding lease and rental revenue,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December 31, 2021 and December 31, 2020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4,351,370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3,039,953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2,863,309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Parts revenue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1,436,981</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1,059,382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911,102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935,458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733,981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689,343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Finance revenue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16,992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12,047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revenue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25,863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14,014</w:t>
            </w:r>
          </w:p>
        </w:tc>
      </w:tr>
      <w:tr>
        <w:trPr>
          <w:trHeight w:val="20"/>
        </w:trPr>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6,779,413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4,878,908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4,499,717</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Company's performance obligations are generally transferred to customers at a point in time. The Company did not have any material contract assets or contract liabilities on the balance sheet as of December 31, 2022 or December 31, 2021. Revenues related to commercial vehicle sales, parts sales, commercial vehicle repair service, finance and the majority of other revenues are related to the Truck Segment.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 consists mostly of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980" w:hanging="97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 (LOSS)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accumulated other comprehensive income (loss) (in thousands):</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2021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Reclassification of currency translation related to equity method of RTC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Foreign currency translation adjustment</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hanging="125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869</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9683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2" w:lineRule="exact"/>
        <w:rPr>
          <w:sz w:val="20"/>
          <w:szCs w:val="20"/>
          <w:color w:val="auto"/>
        </w:rPr>
      </w:pPr>
    </w:p>
    <w:p>
      <w:pPr>
        <w:ind w:left="1260" w:hanging="1258"/>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787</w:t>
      </w:r>
    </w:p>
    <w:p>
      <w:pPr>
        <w:spacing w:after="0" w:line="22"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6"/>
          <w:szCs w:val="16"/>
          <w:color w:val="auto"/>
        </w:rPr>
        <w:t>(601)</w:t>
      </w:r>
    </w:p>
    <w:p>
      <w:pPr>
        <w:spacing w:after="0" w:line="32"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(4,316)</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(4,130)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7940" w:space="560"/>
            <w:col w:w="2740"/>
          </w:cols>
          <w:pgMar w:left="320" w:top="125" w:right="339" w:bottom="1440" w:gutter="0" w:footer="0" w:header="0"/>
          <w:type w:val="continuous"/>
        </w:sectPr>
      </w:pP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functional currency of the Company’s foreign subsidiary, RTC Canada, is its local currency. Results of operations of RTC Canada are translated in USD using the average exchange rates on a monthly basis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reclassified the foreign currency translation adjustment related to its previously held equity investment in RTC Canada into net income upon its acquisition of a majority equity interest according to ASC 830-30, </w:t>
      </w:r>
      <w:r>
        <w:rPr>
          <w:rFonts w:ascii="Arial" w:cs="Arial" w:eastAsia="Arial" w:hAnsi="Arial"/>
          <w:sz w:val="18"/>
          <w:szCs w:val="18"/>
          <w:i w:val="1"/>
          <w:iCs w:val="1"/>
          <w:color w:val="auto"/>
        </w:rPr>
        <w:t>Foreign Currency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2022,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2022, that have materially affected, or are reasonably likely to materially affect, the Company’s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Annual Report on Internal Control over Financial Reporting</w:t>
      </w:r>
    </w:p>
    <w:p>
      <w:pPr>
        <w:spacing w:after="0" w:line="225"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As of December 31, 2022,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w:t>
      </w:r>
    </w:p>
    <w:p>
      <w:pPr>
        <w:spacing w:after="0" w:line="184" w:lineRule="exact"/>
        <w:rPr>
          <w:sz w:val="20"/>
          <w:szCs w:val="20"/>
          <w:color w:val="auto"/>
        </w:rPr>
      </w:pPr>
    </w:p>
    <w:p>
      <w:pPr>
        <w:jc w:val="both"/>
        <w:ind w:left="180"/>
        <w:spacing w:after="0" w:line="301"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2022. The report, which expresses an unqualified opinion on the effectiveness of the Company’s internal control over financial reporting as of December 31, 2022, is included in this Item 9A under the heading “Attestation Report of Independent Registered Public Accounting Firm.”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Rush Enterprises,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Rush Enterprises,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2022,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shareholders’ equity, and cash flows for each of the three years in the period ended December 31, 2022, and the related notes and our report dated February 23,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2023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2023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12 of Form 10-K, other than the equity compensation plan information set forth herein, is incorporated herein by reference to such information included in the Company’s Proxy Statement for the 2023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2023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2023 Annual Meeting of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2022,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2022, 2021, and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(a)(3) Exhibits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Index to Exhibits: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700" w:type="dxa"/>
            <w:vAlign w:val="bottom"/>
            <w:gridSpan w:val="8"/>
          </w:tcPr>
          <w:p>
            <w:pPr>
              <w:spacing w:after="0"/>
              <w:rPr>
                <w:sz w:val="20"/>
                <w:szCs w:val="20"/>
                <w:color w:val="auto"/>
              </w:rPr>
            </w:pPr>
            <w:r>
              <w:rPr>
                <w:rFonts w:ascii="Arial" w:cs="Arial" w:eastAsia="Arial" w:hAnsi="Arial"/>
                <w:sz w:val="18"/>
                <w:szCs w:val="18"/>
                <w:b w:val="1"/>
                <w:bCs w:val="1"/>
                <w:color w:val="auto"/>
              </w:rPr>
              <w:t>Identification of Exhibit</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w w:val="82"/>
              </w:rPr>
              <w:t>No.</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700" w:type="dxa"/>
            <w:vAlign w:val="bottom"/>
            <w:gridSpan w:val="3"/>
          </w:tcPr>
          <w:p>
            <w:pPr>
              <w:ind w:left="340"/>
              <w:spacing w:after="0"/>
              <w:rPr>
                <w:sz w:val="20"/>
                <w:szCs w:val="20"/>
                <w:color w:val="auto"/>
              </w:rPr>
            </w:pPr>
            <w:r>
              <w:rPr>
                <w:rFonts w:ascii="Arial" w:cs="Arial" w:eastAsia="Arial" w:hAnsi="Arial"/>
                <w:sz w:val="18"/>
                <w:szCs w:val="18"/>
                <w:color w:val="auto"/>
              </w:rPr>
              <w:t>3.1</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Restated Articles of Incorporation of Rush Enterprises, Inc. (incorporated herein by reference to Exhibit 3.1 of the Company’s</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Quarterly Report on Form 10-Q (File No. 000-20797) for the quarter ended June 30, 2008)</w:t>
              </w:r>
            </w:hyperlink>
          </w:p>
        </w:tc>
        <w:tc>
          <w:tcPr>
            <w:tcW w:w="3000" w:type="dxa"/>
            <w:vAlign w:val="bottom"/>
            <w:gridSpan w:val="3"/>
          </w:tcPr>
          <w:p>
            <w:pPr>
              <w:spacing w:after="0"/>
              <w:rPr>
                <w:sz w:val="17"/>
                <w:szCs w:val="17"/>
                <w:color w:val="auto"/>
              </w:rPr>
            </w:pPr>
          </w:p>
        </w:tc>
      </w:tr>
      <w:tr>
        <w:trPr>
          <w:trHeight w:val="412"/>
        </w:trPr>
        <w:tc>
          <w:tcPr>
            <w:tcW w:w="1700" w:type="dxa"/>
            <w:vAlign w:val="bottom"/>
            <w:gridSpan w:val="3"/>
          </w:tcPr>
          <w:p>
            <w:pPr>
              <w:ind w:left="340"/>
              <w:spacing w:after="0"/>
              <w:rPr>
                <w:sz w:val="20"/>
                <w:szCs w:val="20"/>
                <w:color w:val="auto"/>
              </w:rPr>
            </w:pPr>
            <w:r>
              <w:rPr>
                <w:rFonts w:ascii="Arial" w:cs="Arial" w:eastAsia="Arial" w:hAnsi="Arial"/>
                <w:sz w:val="18"/>
                <w:szCs w:val="18"/>
                <w:color w:val="auto"/>
              </w:rPr>
              <w:t>3.2</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Rush Enterprises, Inc. Amended and Restated Bylaws (incorporated herein by reference to Exhibit 3.1 of the Company’s Current</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Report on Form 8-K (File No. 000-20797) filed May 21, 2013)</w:t>
              </w:r>
            </w:hyperlink>
          </w:p>
        </w:tc>
        <w:tc>
          <w:tcPr>
            <w:tcW w:w="5000" w:type="dxa"/>
            <w:vAlign w:val="bottom"/>
            <w:gridSpan w:val="7"/>
          </w:tcPr>
          <w:p>
            <w:pPr>
              <w:spacing w:after="0"/>
              <w:rPr>
                <w:sz w:val="17"/>
                <w:szCs w:val="17"/>
                <w:color w:val="auto"/>
              </w:rPr>
            </w:pPr>
          </w:p>
        </w:tc>
      </w:tr>
      <w:tr>
        <w:trPr>
          <w:trHeight w:val="412"/>
        </w:trPr>
        <w:tc>
          <w:tcPr>
            <w:tcW w:w="1700" w:type="dxa"/>
            <w:vAlign w:val="bottom"/>
            <w:gridSpan w:val="3"/>
          </w:tcPr>
          <w:p>
            <w:pPr>
              <w:ind w:left="340"/>
              <w:spacing w:after="0"/>
              <w:rPr>
                <w:sz w:val="20"/>
                <w:szCs w:val="20"/>
                <w:color w:val="auto"/>
              </w:rPr>
            </w:pPr>
            <w:r>
              <w:rPr>
                <w:rFonts w:ascii="Arial" w:cs="Arial" w:eastAsia="Arial" w:hAnsi="Arial"/>
                <w:sz w:val="18"/>
                <w:szCs w:val="18"/>
                <w:color w:val="auto"/>
              </w:rPr>
              <w:t>3.3</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First Amendment to Amended and Restated Bylaws of Rush Enterprises, Inc. (incorporated herein by reference to Exhibit 3.1 of the</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Company’s Current Report on Form 8-K (File No. 000-20797) filed May 24, 2021)</w:t>
              </w:r>
            </w:hyperlink>
          </w:p>
        </w:tc>
        <w:tc>
          <w:tcPr>
            <w:tcW w:w="3540" w:type="dxa"/>
            <w:vAlign w:val="bottom"/>
            <w:gridSpan w:val="5"/>
          </w:tcPr>
          <w:p>
            <w:pPr>
              <w:spacing w:after="0"/>
              <w:rPr>
                <w:sz w:val="17"/>
                <w:szCs w:val="17"/>
                <w:color w:val="auto"/>
              </w:rPr>
            </w:pPr>
          </w:p>
        </w:tc>
      </w:tr>
      <w:tr>
        <w:trPr>
          <w:trHeight w:val="412"/>
        </w:trPr>
        <w:tc>
          <w:tcPr>
            <w:tcW w:w="1700" w:type="dxa"/>
            <w:vAlign w:val="bottom"/>
            <w:gridSpan w:val="3"/>
          </w:tcPr>
          <w:p>
            <w:pPr>
              <w:ind w:left="340"/>
              <w:spacing w:after="0"/>
              <w:rPr>
                <w:sz w:val="20"/>
                <w:szCs w:val="20"/>
                <w:color w:val="auto"/>
              </w:rPr>
            </w:pPr>
            <w:r>
              <w:rPr>
                <w:rFonts w:ascii="Arial" w:cs="Arial" w:eastAsia="Arial" w:hAnsi="Arial"/>
                <w:sz w:val="18"/>
                <w:szCs w:val="18"/>
                <w:color w:val="auto"/>
              </w:rPr>
              <w:t>4.1</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6"/>
              </w:rPr>
            </w:pPr>
            <w:hyperlink r:id="rId92">
              <w:r>
                <w:rPr>
                  <w:rFonts w:ascii="Arial" w:cs="Arial" w:eastAsia="Arial" w:hAnsi="Arial"/>
                  <w:sz w:val="18"/>
                  <w:szCs w:val="18"/>
                  <w:color w:val="0000EE"/>
                  <w:w w:val="96"/>
                </w:rPr>
                <w:t>Specimen of certificate representing Common Stock (now Class B common stock), $.01 par value, of Rush Enterprises, Inc.</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(incorporated herein by reference to Exhibit 4.1 of the Company’s Registration Statement No. 333-03346 on Form S-1 filed April</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92">
              <w:r>
                <w:rPr>
                  <w:rFonts w:ascii="Arial" w:cs="Arial" w:eastAsia="Arial" w:hAnsi="Arial"/>
                  <w:sz w:val="18"/>
                  <w:szCs w:val="18"/>
                  <w:color w:val="0000EE"/>
                  <w:w w:val="86"/>
                </w:rPr>
                <w:t>10, 1996)</w:t>
              </w:r>
            </w:hyperlink>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700" w:type="dxa"/>
            <w:vAlign w:val="bottom"/>
            <w:gridSpan w:val="3"/>
          </w:tcPr>
          <w:p>
            <w:pPr>
              <w:ind w:left="340"/>
              <w:spacing w:after="0"/>
              <w:rPr>
                <w:sz w:val="20"/>
                <w:szCs w:val="20"/>
                <w:color w:val="auto"/>
              </w:rPr>
            </w:pPr>
            <w:r>
              <w:rPr>
                <w:rFonts w:ascii="Arial" w:cs="Arial" w:eastAsia="Arial" w:hAnsi="Arial"/>
                <w:sz w:val="18"/>
                <w:szCs w:val="18"/>
                <w:color w:val="auto"/>
              </w:rPr>
              <w:t>4.2</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Specimen of certificate representing Class A common stock, $.01 par value, of the Registrant (incorporated herein by reference to</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Exhibit 4.1 of the Company’s Registration Statement on Form 8-A filed July 9, 2002)</w:t>
              </w:r>
            </w:hyperlink>
          </w:p>
        </w:tc>
        <w:tc>
          <w:tcPr>
            <w:tcW w:w="3380" w:type="dxa"/>
            <w:vAlign w:val="bottom"/>
            <w:gridSpan w:val="4"/>
          </w:tcPr>
          <w:p>
            <w:pPr>
              <w:spacing w:after="0"/>
              <w:rPr>
                <w:sz w:val="17"/>
                <w:szCs w:val="17"/>
                <w:color w:val="auto"/>
              </w:rPr>
            </w:pPr>
          </w:p>
        </w:tc>
      </w:tr>
      <w:tr>
        <w:trPr>
          <w:trHeight w:val="412"/>
        </w:trPr>
        <w:tc>
          <w:tcPr>
            <w:tcW w:w="1700" w:type="dxa"/>
            <w:vAlign w:val="bottom"/>
            <w:gridSpan w:val="3"/>
          </w:tcPr>
          <w:p>
            <w:pPr>
              <w:ind w:left="340"/>
              <w:spacing w:after="0"/>
              <w:rPr>
                <w:sz w:val="20"/>
                <w:szCs w:val="20"/>
                <w:color w:val="auto"/>
              </w:rPr>
            </w:pPr>
            <w:r>
              <w:rPr>
                <w:rFonts w:ascii="Arial" w:cs="Arial" w:eastAsia="Arial" w:hAnsi="Arial"/>
                <w:sz w:val="18"/>
                <w:szCs w:val="18"/>
                <w:color w:val="auto"/>
              </w:rPr>
              <w:t>4.3</w:t>
            </w:r>
          </w:p>
        </w:tc>
        <w:tc>
          <w:tcPr>
            <w:tcW w:w="9540" w:type="dxa"/>
            <w:vAlign w:val="bottom"/>
            <w:gridSpan w:val="11"/>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Description of the Registrant’s Securities Registered Pursuant to Section 12 of the Securities Exchange Act of 1934 (incorporated</w:t>
              </w:r>
            </w:hyperlink>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40" w:type="dxa"/>
            <w:vAlign w:val="bottom"/>
            <w:gridSpan w:val="7"/>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herein by reference to Exhibit 4.3 of the Company’s Form 10-K filed February 26, 2020 (File No. 000-20797) for the year ended</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December 31, 2019)</w:t>
              </w:r>
            </w:hyperlink>
          </w:p>
        </w:tc>
        <w:tc>
          <w:tcPr>
            <w:tcW w:w="20" w:type="dxa"/>
            <w:vAlign w:val="bottom"/>
          </w:tcPr>
          <w:p>
            <w:pPr>
              <w:spacing w:after="0"/>
              <w:rPr>
                <w:sz w:val="17"/>
                <w:szCs w:val="17"/>
                <w:color w:val="auto"/>
              </w:rPr>
            </w:pPr>
          </w:p>
        </w:tc>
      </w:tr>
      <w:tr>
        <w:trPr>
          <w:trHeight w:val="20"/>
        </w:trPr>
        <w:tc>
          <w:tcPr>
            <w:tcW w:w="1700" w:type="dxa"/>
            <w:vAlign w:val="bottom"/>
            <w:gridSpan w:val="3"/>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12"/>
        </w:trPr>
        <w:tc>
          <w:tcPr>
            <w:tcW w:w="1700" w:type="dxa"/>
            <w:vAlign w:val="bottom"/>
            <w:gridSpan w:val="3"/>
          </w:tcPr>
          <w:p>
            <w:pPr>
              <w:ind w:left="340"/>
              <w:spacing w:after="0"/>
              <w:rPr>
                <w:sz w:val="20"/>
                <w:szCs w:val="20"/>
                <w:color w:val="auto"/>
              </w:rPr>
            </w:pPr>
            <w:r>
              <w:rPr>
                <w:rFonts w:ascii="Arial" w:cs="Arial" w:eastAsia="Arial" w:hAnsi="Arial"/>
                <w:sz w:val="18"/>
                <w:szCs w:val="18"/>
                <w:color w:val="auto"/>
              </w:rPr>
              <w:t>10.1</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Right of First Refusal dated December 19, 2012 between Peterbilt Motors Company and W. Marvin Rush (incorporated herein by</w:t>
              </w:r>
            </w:hyperlink>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reference to Exhibit 10.2 of the Company’s Current Report on Form 8-K (File No. 000-20797) filed December 20, 2012)</w:t>
              </w:r>
            </w:hyperlink>
          </w:p>
        </w:tc>
      </w:tr>
      <w:tr>
        <w:trPr>
          <w:trHeight w:val="45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40" w:type="dxa"/>
            <w:vAlign w:val="bottom"/>
            <w:tcBorders>
              <w:top w:val="single" w:sz="8" w:color="0000EE"/>
            </w:tcBorders>
            <w:gridSpan w:val="4"/>
          </w:tcPr>
          <w:p>
            <w:pPr>
              <w:ind w:left="3840"/>
              <w:spacing w:after="0"/>
              <w:rPr>
                <w:sz w:val="20"/>
                <w:szCs w:val="20"/>
                <w:color w:val="auto"/>
              </w:rPr>
            </w:pPr>
            <w:r>
              <w:rPr>
                <w:rFonts w:ascii="Arial" w:cs="Arial" w:eastAsia="Arial" w:hAnsi="Arial"/>
                <w:sz w:val="18"/>
                <w:szCs w:val="18"/>
                <w:color w:val="auto"/>
              </w:rPr>
              <w:t>83</w:t>
            </w: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34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Right of First Refusal dated December 19, 2012 between Peterbilt Motors Company and W.M. “Rusty” Rush (incorporated herein</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by reference to Exhibit 10.3 of the Company’s Current Report on Form 8-K (File No. 000-20797) filed December 20, 2012)</w:t>
              </w:r>
            </w:hyperlink>
          </w:p>
        </w:tc>
        <w:tc>
          <w:tcPr>
            <w:tcW w:w="600" w:type="dxa"/>
            <w:vAlign w:val="bottom"/>
            <w:gridSpan w:val="3"/>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Rush Enterprises, Inc. 2004 Employee Stock Purchase Plan (Amended and Restated on May 12, 2020) (incorporated herein by</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1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 10.2 of the Company’s Current Report on Form 8-K (File No. 000-20797) filed May 15, 2020)</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First Amendment to Rush Enterprises, Inc. Amended and Restated Employee Stock Purchase Plan (incorporated herein by reference</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to Exhibit 10.3 of the Company’s Current Report on Form 8-K (File No. 000-20797) filed February 22, 2021)</w:t>
              </w:r>
            </w:hyperlink>
          </w:p>
        </w:tc>
        <w:tc>
          <w:tcPr>
            <w:tcW w:w="1640" w:type="dxa"/>
            <w:vAlign w:val="bottom"/>
            <w:gridSpan w:val="7"/>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Rush Enterprises, Inc. Amended and Restated 2006 Non-Employee Director Stock Plan (incorporated herein by reference to Exhibit</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15"/>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10</w:t>
              </w:r>
              <w:r>
                <w:rPr>
                  <w:rFonts w:ascii="Arial" w:cs="Arial" w:eastAsia="Arial" w:hAnsi="Arial"/>
                  <w:sz w:val="18"/>
                  <w:szCs w:val="18"/>
                  <w:color w:val="0000EE"/>
                </w:rPr>
                <w:t xml:space="preserve"> of the Company’s Form 10-K (File No. 000-20797) for the year ended December 31, 2010)</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Form of Rush Enterprises, Inc. 2006 Non-Employee Director Stock Option Agreement (incorporated herein by reference to Exhibit</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4.</w:t>
              </w:r>
              <w:r>
                <w:rPr>
                  <w:rFonts w:ascii="Arial" w:cs="Arial" w:eastAsia="Arial" w:hAnsi="Arial"/>
                  <w:sz w:val="18"/>
                  <w:szCs w:val="18"/>
                  <w:u w:val="single" w:color="auto"/>
                  <w:color w:val="0000EE"/>
                  <w:w w:val="90"/>
                </w:rPr>
                <w:t>4</w:t>
              </w:r>
              <w:r>
                <w:rPr>
                  <w:rFonts w:ascii="Arial" w:cs="Arial" w:eastAsia="Arial" w:hAnsi="Arial"/>
                  <w:sz w:val="18"/>
                  <w:szCs w:val="18"/>
                  <w:color w:val="0000EE"/>
                  <w:w w:val="90"/>
                </w:rPr>
                <w:t xml:space="preserve"> of the Company’s Registration Statement No. 333-138556 on Form S-8 filed November 9, 2006)</w:t>
              </w:r>
            </w:hyperlink>
          </w:p>
        </w:tc>
        <w:tc>
          <w:tcPr>
            <w:tcW w:w="2300" w:type="dxa"/>
            <w:vAlign w:val="bottom"/>
            <w:gridSpan w:val="9"/>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Form of Rush Enterprises, Inc. 2006 Non-Employee Director Stock Plan Restricted Stock Unit Award Agreement (incorporated</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herein by reference to Exhibit 10.1 of the Company’s Form 10-Q (File No. 000-20797) for the quarter ended June 30, 2012)</w:t>
              </w:r>
            </w:hyperlink>
          </w:p>
        </w:tc>
        <w:tc>
          <w:tcPr>
            <w:tcW w:w="620" w:type="dxa"/>
            <w:vAlign w:val="bottom"/>
            <w:gridSpan w:val="4"/>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Rush Enterprises, Inc. Amended and Restated 2007 Long-Term Incentive Plan (incorporated herein by reference to Exhibit 10.1 of</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the Company’s Current Report on Form 8-K (File No. 000-20797) filed May 15, 2020)</w:t>
              </w:r>
            </w:hyperlink>
          </w:p>
        </w:tc>
        <w:tc>
          <w:tcPr>
            <w:tcW w:w="3280" w:type="dxa"/>
            <w:vAlign w:val="bottom"/>
            <w:gridSpan w:val="11"/>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7"/>
              </w:rPr>
            </w:pPr>
            <w:hyperlink r:id="rId98">
              <w:r>
                <w:rPr>
                  <w:rFonts w:ascii="Arial" w:cs="Arial" w:eastAsia="Arial" w:hAnsi="Arial"/>
                  <w:sz w:val="18"/>
                  <w:szCs w:val="18"/>
                  <w:color w:val="0000EE"/>
                  <w:w w:val="97"/>
                </w:rPr>
                <w:t>First Amendment to Rush Enterprises, Inc. Amended and Restated 2007 Long-Term Incentive Plan (incorporated herein by</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15"/>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reference to Exhibit 10.1 of the Company’s Current Report on Form 8-K (File No. 000-20797) filed February 22, 2021)</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Rush Enterprises, Inc. 2007 Long-Term Incentive Plan Restricted Stock Unit Agreement (incorporated herein by reference</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to Exhibit 10.1 of the Company’s Current Report on Form 8-K (File No. 000-20797) filed March 14, 2012)</w:t>
              </w:r>
            </w:hyperlink>
          </w:p>
        </w:tc>
        <w:tc>
          <w:tcPr>
            <w:tcW w:w="18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5"/>
              </w:rPr>
            </w:pPr>
            <w:hyperlink r:id="rId104">
              <w:r>
                <w:rPr>
                  <w:rFonts w:ascii="Arial" w:cs="Arial" w:eastAsia="Arial" w:hAnsi="Arial"/>
                  <w:sz w:val="18"/>
                  <w:szCs w:val="18"/>
                  <w:color w:val="0000EE"/>
                  <w:w w:val="95"/>
                </w:rPr>
                <w:t>Form of Rush Enterprises, Inc. 2007 Long-Term Incentive Plan Stock Option Agreement (incorporated herein by reference to</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Exhibit 4.4 of the Company’s Form S-8 (File No. 333-144821) filed July 24, 2007)</w:t>
              </w:r>
            </w:hyperlink>
          </w:p>
        </w:tc>
        <w:tc>
          <w:tcPr>
            <w:tcW w:w="3560" w:type="dxa"/>
            <w:vAlign w:val="bottom"/>
            <w:gridSpan w:val="12"/>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Form of Rush Enterprises, Inc. Amended and Restated 2007 Long-Term Incentive Plan Stock Option Agreement (incorporated</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herein by reference to Exhibit 10.1 of the Company’s Current Report on Form 8-K (File No. 000-20797) filed March 8, 2019)</w:t>
              </w:r>
            </w:hyperlink>
          </w:p>
        </w:tc>
        <w:tc>
          <w:tcPr>
            <w:tcW w:w="480" w:type="dxa"/>
            <w:vAlign w:val="bottom"/>
            <w:gridSpan w:val="2"/>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rPr>
            </w:pPr>
            <w:hyperlink r:id="rId98">
              <w:r>
                <w:rPr>
                  <w:rFonts w:ascii="Arial" w:cs="Arial" w:eastAsia="Arial" w:hAnsi="Arial"/>
                  <w:sz w:val="18"/>
                  <w:szCs w:val="18"/>
                  <w:color w:val="0000EE"/>
                </w:rPr>
                <w:t>Form of Rush Enterprises, Inc. Amended and Restated 2007 Long-Term Incentive Plan Stock Option Award Agreement</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14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r:id="rId98">
              <w:r>
                <w:rPr>
                  <w:rFonts w:ascii="Arial" w:cs="Arial" w:eastAsia="Arial" w:hAnsi="Arial"/>
                  <w:sz w:val="18"/>
                  <w:szCs w:val="18"/>
                  <w:color w:val="0000EE"/>
                  <w:w w:val="98"/>
                </w:rPr>
                <w:t>(incorporated herein by reference to Exhibit 10.4 of the Company’s Current Report on Form 8-K (File No. 000-20797) filed</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February 22, 2021)</w:t>
              </w:r>
            </w:hyperlink>
          </w:p>
        </w:tc>
        <w:tc>
          <w:tcPr>
            <w:tcW w:w="8160" w:type="dxa"/>
            <w:vAlign w:val="bottom"/>
            <w:gridSpan w:val="13"/>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97"/>
              </w:rPr>
            </w:pPr>
            <w:hyperlink r:id="rId106">
              <w:r>
                <w:rPr>
                  <w:rFonts w:ascii="Arial" w:cs="Arial" w:eastAsia="Arial" w:hAnsi="Arial"/>
                  <w:sz w:val="18"/>
                  <w:szCs w:val="18"/>
                  <w:color w:val="0000EE"/>
                  <w:w w:val="97"/>
                </w:rPr>
                <w:t>Form of Rush Enterprises, Inc. Amended and Restated 2007 Long-Term Incentive Plan Restricted Stock Award Agreement</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920" w:type="dxa"/>
            <w:vAlign w:val="bottom"/>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(incorporated herein by reference to Exhibit 10.2 of the Company’s Current Report on Form 8-K (File No. 000-20797) filed March</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06">
              <w:r>
                <w:rPr>
                  <w:rFonts w:ascii="Arial" w:cs="Arial" w:eastAsia="Arial" w:hAnsi="Arial"/>
                  <w:sz w:val="18"/>
                  <w:szCs w:val="18"/>
                  <w:color w:val="0000EE"/>
                  <w:w w:val="87"/>
                </w:rPr>
                <w:t>8, 2019)</w:t>
              </w:r>
            </w:hyperlink>
          </w:p>
        </w:tc>
        <w:tc>
          <w:tcPr>
            <w:tcW w:w="7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80" w:type="dxa"/>
            <w:vAlign w:val="bottom"/>
            <w:gridSpan w:val="3"/>
          </w:tcPr>
          <w:p>
            <w:pPr>
              <w:ind w:left="384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340"/>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7"/>
              </w:rPr>
            </w:pPr>
            <w:hyperlink r:id="rId98">
              <w:r>
                <w:rPr>
                  <w:rFonts w:ascii="Arial" w:cs="Arial" w:eastAsia="Arial" w:hAnsi="Arial"/>
                  <w:sz w:val="18"/>
                  <w:szCs w:val="18"/>
                  <w:color w:val="0000EE"/>
                  <w:w w:val="97"/>
                </w:rPr>
                <w:t>Form of Rush Enterprises, Inc. Amended and Restated 2007 Long-Term Incentive Plan Restricted Stock Award Agreement</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20"/>
          </w:tcPr>
          <w:p>
            <w:pPr>
              <w:spacing w:after="0" w:line="196" w:lineRule="exact"/>
              <w:rPr>
                <w:rFonts w:ascii="Arial" w:cs="Arial" w:eastAsia="Arial" w:hAnsi="Arial"/>
                <w:sz w:val="18"/>
                <w:szCs w:val="18"/>
                <w:color w:val="0000EE"/>
                <w:w w:val="98"/>
              </w:rPr>
            </w:pPr>
            <w:hyperlink r:id="rId98">
              <w:r>
                <w:rPr>
                  <w:rFonts w:ascii="Arial" w:cs="Arial" w:eastAsia="Arial" w:hAnsi="Arial"/>
                  <w:sz w:val="18"/>
                  <w:szCs w:val="18"/>
                  <w:color w:val="0000EE"/>
                  <w:w w:val="98"/>
                </w:rPr>
                <w:t>(incorporated herein by reference to Exhibit 10.5 of the Company’s Current Report on Form 8-K (File No. 000-20797) filed</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February 22, 2021)</w:t>
              </w:r>
            </w:hyperlink>
          </w:p>
        </w:tc>
        <w:tc>
          <w:tcPr>
            <w:tcW w:w="8160" w:type="dxa"/>
            <w:vAlign w:val="bottom"/>
            <w:gridSpan w:val="18"/>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Rush Enterprises, Inc. Deferred Compensation Plan (Amended and Restated Effective as of May 18, 2021) (incorporated herein by</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reference to Exhibit 10.1 of the Company’s Current Report on Form 8-K (File No. 000-20797) filed May 24, 2021)</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Form of Indemnity Agreement (incorporated herein by reference to Exhibit 10.1 of the Company’s Current Report on Form 8-K</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(File No. 000-20797) filed January 7, 2015)</w:t>
              </w:r>
            </w:hyperlink>
          </w:p>
        </w:tc>
        <w:tc>
          <w:tcPr>
            <w:tcW w:w="6380" w:type="dxa"/>
            <w:vAlign w:val="bottom"/>
            <w:gridSpan w:val="16"/>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Rush Enterprises, Inc. Executive Transition Plan (as Amended and Restated Effective as of February 20, 2018) (incorporated herein</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by reference to Exhibit 10.1 of the Company’s Current Report on Form 8-K (File No. 000-20797) filed February 26, 2018)</w:t>
              </w:r>
            </w:hyperlink>
          </w:p>
        </w:tc>
        <w:tc>
          <w:tcPr>
            <w:tcW w:w="700" w:type="dxa"/>
            <w:vAlign w:val="bottom"/>
            <w:gridSpan w:val="8"/>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First Amendment to Rush Enterprises, Inc. Amended and Restated Executive Transition Plan (incorporated herein by reference to</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Exhibit 10.2 of the Company’s Current Report on Form 8-K (File No. 000-20797) filed February 22, 2021)</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dealer agreement between Peterbilt Motors Company and Rush Truck Centers (incorporated herein by reference to Exhibit</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18</w:t>
              </w:r>
              <w:r>
                <w:rPr>
                  <w:rFonts w:ascii="Arial" w:cs="Arial" w:eastAsia="Arial" w:hAnsi="Arial"/>
                  <w:sz w:val="18"/>
                  <w:szCs w:val="18"/>
                  <w:color w:val="0000EE"/>
                </w:rPr>
                <w:t xml:space="preserve"> of the Company’s Form 10-K (File No. 000-20797) for the year ended December 31, 1999)</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Amended and Restated Amendment to Dealer Sales and Service Agreements, dated December 19, 2012, by and among Peterbilt</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Motors Company, a division of PACCAR, Inc., Rush Enterprises, Inc. and the subsidiaries of Rush Enterprises, Inc. named a party</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111">
              <w:r>
                <w:rPr>
                  <w:rFonts w:ascii="Arial" w:cs="Arial" w:eastAsia="Arial" w:hAnsi="Arial"/>
                  <w:sz w:val="18"/>
                  <w:szCs w:val="18"/>
                  <w:color w:val="0000EE"/>
                  <w:w w:val="95"/>
                </w:rPr>
                <w:t>therein (incorporated herein by reference to Exhibit 10.1 of the Company's Form 8-K (File No. 000-20797) filed December 20,</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2012)</w:t>
              </w:r>
            </w:hyperlink>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Guaranty Agreement, dated December 31, 2010, by Rush Enterprises, Inc. and each other Guarantor party thereto in favor of</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General Electric Capital Corporation. (incorporated herein by reference to Exhibit 10.2 of the Company’s Current Report on Form</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8-K (File No. 000-20797) filed January 6, 2011)</w:t>
              </w:r>
            </w:hyperlink>
          </w:p>
        </w:tc>
        <w:tc>
          <w:tcPr>
            <w:tcW w:w="6060" w:type="dxa"/>
            <w:vAlign w:val="bottom"/>
            <w:gridSpan w:val="15"/>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Guaranty Agreement, dated as of April 25, 2019 between Rush and the Bank of Montreal (incorporated herein by reference to</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Exhibit 10.3 of the Company’s Current Report on Form 8-K (File No. 000-20797) filed May 1, 2019)</w:t>
              </w:r>
            </w:hyperlink>
          </w:p>
        </w:tc>
        <w:tc>
          <w:tcPr>
            <w:tcW w:w="2240" w:type="dxa"/>
            <w:vAlign w:val="bottom"/>
            <w:gridSpan w:val="13"/>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97"/>
              </w:rPr>
            </w:pPr>
            <w:hyperlink r:id="rId114">
              <w:r>
                <w:rPr>
                  <w:rFonts w:ascii="Arial" w:cs="Arial" w:eastAsia="Arial" w:hAnsi="Arial"/>
                  <w:sz w:val="18"/>
                  <w:szCs w:val="18"/>
                  <w:color w:val="0000EE"/>
                  <w:w w:val="97"/>
                </w:rPr>
                <w:t>Fifth Amended and Restated Credit Agreement, dated as of September 14, 2021 by and among Rush Enterprises, Inc., the</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60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subsidiaries of Rush party thereto as borrowers, the Lenders signatory thereto and BMO Harris Bank N.A., as Administrative Agent</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and Collateral Agent (incorporated herein by reference to Exhibit 10.1 of the Company’s Current Report on Form 8-K (File No.</w:t>
              </w:r>
            </w:hyperlink>
          </w:p>
        </w:tc>
        <w:tc>
          <w:tcPr>
            <w:tcW w:w="3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000-20797) filed September 20, 2021)</w:t>
              </w:r>
            </w:hyperlink>
          </w:p>
        </w:tc>
        <w:tc>
          <w:tcPr>
            <w:tcW w:w="6780" w:type="dxa"/>
            <w:vAlign w:val="bottom"/>
            <w:gridSpan w:val="17"/>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24"/>
                <w:szCs w:val="24"/>
                <w:color w:val="auto"/>
              </w:rPr>
            </w:pPr>
          </w:p>
        </w:tc>
        <w:tc>
          <w:tcPr>
            <w:tcW w:w="9320" w:type="dxa"/>
            <w:vAlign w:val="bottom"/>
            <w:tcBorders>
              <w:bottom w:val="single" w:sz="8" w:color="0000EE"/>
            </w:tcBorders>
            <w:gridSpan w:val="16"/>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Credit Agreement, dated as of September 14, 2021 by and among Rush Enterprises, Inc., the subsidiaries of Rush party thereto as</w:t>
              </w:r>
            </w:hyperlink>
          </w:p>
        </w:tc>
        <w:tc>
          <w:tcPr>
            <w:tcW w:w="22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borrowers, the Lenders signatory thereto and Wells Fargo Bank, National Association, as Administrative Agent (incorporated herein</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by reference to Exhibit 10.2 of the Company’s Current Report on Form 8-K (File No. 000-20797) filed September 20, 2021)</w:t>
              </w:r>
            </w:hyperlink>
          </w:p>
        </w:tc>
        <w:tc>
          <w:tcPr>
            <w:tcW w:w="5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4"/>
                <w:szCs w:val="24"/>
                <w:color w:val="auto"/>
              </w:rPr>
            </w:pPr>
          </w:p>
        </w:tc>
        <w:tc>
          <w:tcPr>
            <w:tcW w:w="9080" w:type="dxa"/>
            <w:vAlign w:val="bottom"/>
            <w:tcBorders>
              <w:bottom w:val="single" w:sz="8" w:color="0000EE"/>
            </w:tcBorders>
            <w:gridSpan w:val="14"/>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First Amendment to Credit Agreement, dated as of November 30, 2022 by and among Rush Enterprises, Inc. and certain of its</w:t>
              </w:r>
            </w:hyperlink>
          </w:p>
        </w:tc>
        <w:tc>
          <w:tcPr>
            <w:tcW w:w="46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subsidiaries, the Lenders party thereto and Wells Fargo Bank, National Association, as Administrative Agent (incorporated herein</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4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r:id="rId116">
              <w:r>
                <w:rPr>
                  <w:rFonts w:ascii="Arial" w:cs="Arial" w:eastAsia="Arial" w:hAnsi="Arial"/>
                  <w:sz w:val="18"/>
                  <w:szCs w:val="18"/>
                  <w:color w:val="0000EE"/>
                  <w:w w:val="97"/>
                </w:rPr>
                <w:t>by reference to Exhibit 10.1 of the Company’s Current Report on Form 8-K (File No. 000-20797) filed December 2, 2022)</w:t>
              </w:r>
            </w:hyperlink>
          </w:p>
        </w:tc>
        <w:tc>
          <w:tcPr>
            <w:tcW w:w="200" w:type="dxa"/>
            <w:vAlign w:val="bottom"/>
            <w:gridSpan w:val="3"/>
          </w:tcPr>
          <w:p>
            <w:pPr>
              <w:spacing w:after="0"/>
              <w:rPr>
                <w:sz w:val="17"/>
                <w:szCs w:val="17"/>
                <w:color w:val="auto"/>
              </w:rPr>
            </w:pPr>
          </w:p>
        </w:tc>
      </w:tr>
      <w:tr>
        <w:trPr>
          <w:trHeight w:val="453"/>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20" w:type="dxa"/>
            <w:vAlign w:val="bottom"/>
            <w:tcBorders>
              <w:top w:val="single" w:sz="8" w:color="0000EE"/>
            </w:tcBorders>
            <w:gridSpan w:val="6"/>
          </w:tcPr>
          <w:p>
            <w:pPr>
              <w:ind w:left="3840"/>
              <w:spacing w:after="0"/>
              <w:rPr>
                <w:sz w:val="20"/>
                <w:szCs w:val="20"/>
                <w:color w:val="auto"/>
              </w:rPr>
            </w:pPr>
            <w:r>
              <w:rPr>
                <w:rFonts w:ascii="Arial" w:cs="Arial" w:eastAsia="Arial" w:hAnsi="Arial"/>
                <w:sz w:val="18"/>
                <w:szCs w:val="18"/>
                <w:color w:val="auto"/>
              </w:rPr>
              <w:t>85</w:t>
            </w: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ind w:left="340"/>
              <w:spacing w:after="0"/>
              <w:rPr>
                <w:sz w:val="20"/>
                <w:szCs w:val="20"/>
                <w:color w:val="auto"/>
              </w:rPr>
            </w:pPr>
            <w:r>
              <w:rPr>
                <w:rFonts w:ascii="Arial" w:cs="Arial" w:eastAsia="Arial" w:hAnsi="Arial"/>
                <w:sz w:val="18"/>
                <w:szCs w:val="18"/>
                <w:color w:val="auto"/>
              </w:rPr>
              <w:t>10.27</w:t>
            </w:r>
          </w:p>
        </w:tc>
        <w:tc>
          <w:tcPr>
            <w:tcW w:w="420" w:type="dxa"/>
            <w:vAlign w:val="bottom"/>
          </w:tcPr>
          <w:p>
            <w:pPr>
              <w:spacing w:after="0"/>
              <w:rPr>
                <w:sz w:val="24"/>
                <w:szCs w:val="24"/>
                <w:color w:val="auto"/>
              </w:rPr>
            </w:pPr>
          </w:p>
        </w:tc>
        <w:tc>
          <w:tcPr>
            <w:tcW w:w="9540" w:type="dxa"/>
            <w:vAlign w:val="bottom"/>
            <w:tcBorders>
              <w:bottom w:val="single" w:sz="8" w:color="0000EE"/>
            </w:tcBorders>
            <w:gridSpan w:val="25"/>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Collateral Agreement, dated as of September 14, 2021, executed by Rush Enterprises, Inc. and the subsidiaries of Rush party thereto</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as borrowers in favor of Wells Fargo Bank, National Association, as Administrative Agent (incorporated herein by reference to</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Exhibit 10.3 of the Company’s Current Report on Form 8-K (File No. 000-20797) filed September 20, 2021)</w:t>
              </w:r>
            </w:hyperlink>
          </w:p>
        </w:tc>
        <w:tc>
          <w:tcPr>
            <w:tcW w:w="40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10.28</w:t>
            </w:r>
          </w:p>
        </w:tc>
        <w:tc>
          <w:tcPr>
            <w:tcW w:w="420" w:type="dxa"/>
            <w:vAlign w:val="bottom"/>
          </w:tcPr>
          <w:p>
            <w:pPr>
              <w:spacing w:after="0"/>
              <w:rPr>
                <w:sz w:val="24"/>
                <w:szCs w:val="24"/>
                <w:color w:val="auto"/>
              </w:rPr>
            </w:pPr>
          </w:p>
        </w:tc>
        <w:tc>
          <w:tcPr>
            <w:tcW w:w="9540" w:type="dxa"/>
            <w:vAlign w:val="bottom"/>
            <w:gridSpan w:val="25"/>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Guaranty Agreement, dated as of September 14, 2021, executed by Rush Enterprises, Inc. in favor of Wells Fargo Bank, National</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Association, as Administrative Agent (incorporated herein by reference to Exhibit 10.4 of the Company’s Current Report on Form</w:t>
              </w:r>
            </w:hyperlink>
          </w:p>
        </w:tc>
        <w:tc>
          <w:tcPr>
            <w:tcW w:w="1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8-K (File No. 000-20797) filed September 20, 2021)</w:t>
              </w:r>
            </w:hyperlink>
          </w:p>
        </w:tc>
        <w:tc>
          <w:tcPr>
            <w:tcW w:w="5760" w:type="dxa"/>
            <w:vAlign w:val="bottom"/>
            <w:gridSpan w:val="17"/>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4"/>
                <w:szCs w:val="24"/>
                <w:color w:val="auto"/>
              </w:rPr>
            </w:pPr>
          </w:p>
        </w:tc>
        <w:tc>
          <w:tcPr>
            <w:tcW w:w="9540" w:type="dxa"/>
            <w:vAlign w:val="bottom"/>
            <w:gridSpan w:val="25"/>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Amended and Restated Inventory Financing and Purchase Money Security Agreement, dated as of October 1, 2021 by and between</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Rush Truck Leasing, Inc. and PACCAR Leasing Company (incorporated herein by reference to Exhibit 10.1 of the Company’s</w:t>
              </w:r>
            </w:hyperlink>
          </w:p>
        </w:tc>
        <w:tc>
          <w:tcPr>
            <w:tcW w:w="400" w:type="dxa"/>
            <w:vAlign w:val="bottom"/>
            <w:tcBorders>
              <w:top w:val="single" w:sz="8" w:color="0000EE"/>
            </w:tcBorders>
            <w:gridSpan w:val="8"/>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Current Report on Form 8-K (File No. 000-20797) filed October 7, 2021)</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10.30</w:t>
            </w:r>
          </w:p>
        </w:tc>
        <w:tc>
          <w:tcPr>
            <w:tcW w:w="420" w:type="dxa"/>
            <w:vAlign w:val="bottom"/>
          </w:tcPr>
          <w:p>
            <w:pPr>
              <w:spacing w:after="0"/>
              <w:rPr>
                <w:sz w:val="24"/>
                <w:szCs w:val="24"/>
                <w:color w:val="auto"/>
              </w:rPr>
            </w:pPr>
          </w:p>
        </w:tc>
        <w:tc>
          <w:tcPr>
            <w:tcW w:w="9540" w:type="dxa"/>
            <w:vAlign w:val="bottom"/>
            <w:gridSpan w:val="25"/>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Promissory Note dated October 1, 2021 issued by Rush Truck Leasing, Inc. in favor of PACCAR Leasing Company (incorporated</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6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herein by reference to Exhibit 10.2 of the Company’s Current Report on Form 8-K (File No. 000-20797) filed October 7, 2021)</w:t>
              </w:r>
            </w:hyperlink>
          </w:p>
        </w:tc>
        <w:tc>
          <w:tcPr>
            <w:tcW w:w="180" w:type="dxa"/>
            <w:vAlign w:val="bottom"/>
            <w:gridSpan w:val="4"/>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24"/>
                <w:szCs w:val="24"/>
                <w:color w:val="auto"/>
              </w:rPr>
            </w:pPr>
          </w:p>
        </w:tc>
        <w:tc>
          <w:tcPr>
            <w:tcW w:w="86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Corporate Guarantee dated November 1, 2002, issued by Rush Enterprises, Inc. in favor of PACCAR Leasing Company</w:t>
              </w:r>
            </w:hyperlink>
          </w:p>
        </w:tc>
        <w:tc>
          <w:tcPr>
            <w:tcW w:w="520" w:type="dxa"/>
            <w:vAlign w:val="bottom"/>
            <w:tcBorders>
              <w:top w:val="single" w:sz="8" w:color="0000EE"/>
            </w:tcBorders>
            <w:gridSpan w:val="5"/>
          </w:tcPr>
          <w:p>
            <w:pPr>
              <w:spacing w:after="0"/>
              <w:rPr>
                <w:sz w:val="24"/>
                <w:szCs w:val="24"/>
                <w:color w:val="auto"/>
              </w:rPr>
            </w:pPr>
          </w:p>
        </w:tc>
        <w:tc>
          <w:tcPr>
            <w:tcW w:w="38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(incorporated herein by reference to Exhibit 10.3 of the Company’s Current Report on Form 8-K (File No. 000-20797) filed October</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7, 2021)</w:t>
              </w:r>
            </w:hyperlink>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10.32</w:t>
            </w:r>
          </w:p>
        </w:tc>
        <w:tc>
          <w:tcPr>
            <w:tcW w:w="420" w:type="dxa"/>
            <w:vAlign w:val="bottom"/>
          </w:tcPr>
          <w:p>
            <w:pPr>
              <w:spacing w:after="0"/>
              <w:rPr>
                <w:sz w:val="24"/>
                <w:szCs w:val="24"/>
                <w:color w:val="auto"/>
              </w:rPr>
            </w:pPr>
          </w:p>
        </w:tc>
        <w:tc>
          <w:tcPr>
            <w:tcW w:w="9540" w:type="dxa"/>
            <w:vAlign w:val="bottom"/>
            <w:gridSpan w:val="25"/>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Bank of Montreal Revolving Lease and Rental Credit Agreement, dated May 31, 2022 between Rush Truck Centres of Canada</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Limited and Bank of Montreal (incorporated herein by reference to Exhibit 10.1 of the Company’s Current Report on Form 8-K</w:t>
              </w:r>
            </w:hyperlink>
          </w:p>
        </w:tc>
        <w:tc>
          <w:tcPr>
            <w:tcW w:w="34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(File No. 000-20797) filed June 6, 2022)</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24"/>
                <w:szCs w:val="24"/>
                <w:color w:val="auto"/>
              </w:rPr>
            </w:pPr>
          </w:p>
        </w:tc>
        <w:tc>
          <w:tcPr>
            <w:tcW w:w="9320" w:type="dxa"/>
            <w:vAlign w:val="bottom"/>
            <w:tcBorders>
              <w:bottom w:val="single" w:sz="8" w:color="0000EE"/>
            </w:tcBorders>
            <w:gridSpan w:val="20"/>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First Amended and Restated BMO Wholesale Financing and Security Agreement, dated as of July 15, 2022, between Rush Truck</w:t>
              </w:r>
            </w:hyperlink>
          </w:p>
        </w:tc>
        <w:tc>
          <w:tcPr>
            <w:tcW w:w="2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Centres of Canada Limited and Bank of Montreal (incorporated herein by reference to Exhibit 10.1 of the Company’s Current</w:t>
              </w:r>
            </w:hyperlink>
          </w:p>
        </w:tc>
        <w:tc>
          <w:tcPr>
            <w:tcW w:w="48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Report on Form 8-K (File No. 000-20797) filed July 21, 2022)</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24"/>
                <w:szCs w:val="24"/>
                <w:color w:val="auto"/>
              </w:rPr>
            </w:pPr>
          </w:p>
        </w:tc>
        <w:tc>
          <w:tcPr>
            <w:tcW w:w="9540" w:type="dxa"/>
            <w:vAlign w:val="bottom"/>
            <w:gridSpan w:val="25"/>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Amended and Restated Guaranty Agreement, dated as of July 15, 2022, between Rush Enterprises, Inc. and Bank of Montreal</w:t>
              </w:r>
            </w:hyperlink>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9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(incorporated herein by reference to Exhibit 10.2 of the Company’s Current Report on Form 8-K (File No. 000-20797) filed July 21,</w:t>
              </w:r>
            </w:hyperlink>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4">
              <w:r>
                <w:rPr>
                  <w:rFonts w:ascii="Arial" w:cs="Arial" w:eastAsia="Arial" w:hAnsi="Arial"/>
                  <w:sz w:val="18"/>
                  <w:szCs w:val="18"/>
                  <w:color w:val="0000EE"/>
                  <w:w w:val="86"/>
                </w:rPr>
                <w:t>2022)</w:t>
              </w:r>
            </w:hyperlink>
          </w:p>
        </w:tc>
        <w:tc>
          <w:tcPr>
            <w:tcW w:w="1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10.35*</w:t>
            </w:r>
          </w:p>
        </w:tc>
        <w:tc>
          <w:tcPr>
            <w:tcW w:w="420" w:type="dxa"/>
            <w:vAlign w:val="bottom"/>
          </w:tcPr>
          <w:p>
            <w:pPr>
              <w:spacing w:after="0"/>
              <w:rPr>
                <w:sz w:val="24"/>
                <w:szCs w:val="24"/>
                <w:color w:val="auto"/>
              </w:rPr>
            </w:pPr>
          </w:p>
        </w:tc>
        <w:tc>
          <w:tcPr>
            <w:tcW w:w="9540" w:type="dxa"/>
            <w:vAlign w:val="bottom"/>
            <w:gridSpan w:val="25"/>
          </w:tcPr>
          <w:p>
            <w:pPr>
              <w:spacing w:after="0"/>
              <w:rPr>
                <w:sz w:val="20"/>
                <w:szCs w:val="20"/>
                <w:color w:val="auto"/>
              </w:rPr>
            </w:pPr>
            <w:r>
              <w:rPr>
                <w:rFonts w:ascii="Arial" w:cs="Arial" w:eastAsia="Arial" w:hAnsi="Arial"/>
                <w:sz w:val="18"/>
                <w:szCs w:val="18"/>
                <w:color w:val="0000EE"/>
                <w:w w:val="99"/>
              </w:rPr>
              <w:t>Right of First Refusal Agreement entered into by and among Rush Enterprises, Inc., W.M. “Rusty” Rush and Frost Bank.</w:t>
            </w: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20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9"/>
              </w:rPr>
              <w:t>Subsidiaries of the Company</w:t>
            </w:r>
          </w:p>
        </w:tc>
        <w:tc>
          <w:tcPr>
            <w:tcW w:w="6640" w:type="dxa"/>
            <w:vAlign w:val="bottom"/>
            <w:tcBorders>
              <w:top w:val="single" w:sz="8" w:color="0000EE"/>
            </w:tcBorders>
            <w:gridSpan w:val="9"/>
          </w:tcPr>
          <w:p>
            <w:pPr>
              <w:spacing w:after="0"/>
              <w:rPr>
                <w:sz w:val="24"/>
                <w:szCs w:val="24"/>
                <w:color w:val="auto"/>
              </w:rPr>
            </w:pPr>
          </w:p>
        </w:tc>
        <w:tc>
          <w:tcPr>
            <w:tcW w:w="820" w:type="dxa"/>
            <w:vAlign w:val="bottom"/>
            <w:gridSpan w:val="12"/>
          </w:tcPr>
          <w:p>
            <w:pPr>
              <w:spacing w:after="0"/>
              <w:rPr>
                <w:sz w:val="24"/>
                <w:szCs w:val="24"/>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2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Consent of Ernst &amp; Young LLP</w:t>
            </w:r>
          </w:p>
        </w:tc>
        <w:tc>
          <w:tcPr>
            <w:tcW w:w="7260" w:type="dxa"/>
            <w:vAlign w:val="bottom"/>
            <w:gridSpan w:val="20"/>
          </w:tcPr>
          <w:p>
            <w:pPr>
              <w:spacing w:after="0"/>
              <w:rPr>
                <w:sz w:val="24"/>
                <w:szCs w:val="24"/>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9540" w:type="dxa"/>
            <w:vAlign w:val="bottom"/>
            <w:gridSpan w:val="25"/>
          </w:tcPr>
          <w:p>
            <w:pPr>
              <w:spacing w:after="0"/>
              <w:rPr>
                <w:sz w:val="20"/>
                <w:szCs w:val="20"/>
                <w:color w:val="auto"/>
              </w:rPr>
            </w:pPr>
            <w:r>
              <w:rPr>
                <w:rFonts w:ascii="Arial" w:cs="Arial" w:eastAsia="Arial" w:hAnsi="Arial"/>
                <w:sz w:val="18"/>
                <w:szCs w:val="18"/>
                <w:color w:val="0000EE"/>
                <w:w w:val="92"/>
              </w:rPr>
              <w:t>Certification of President and Chief Executive Officer pursuant to Rules 13a-14(a) and 15d-14(a), as adopted pursuant to Section</w:t>
            </w: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302 of the Sarbanes-Oxley Act of 2002</w:t>
            </w: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954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6"/>
              </w:rPr>
              <w:t>Certification of Chief Financial Officer pursuant to Rules 13a-14(a) and 15d-14(a), as adopted pursuant to Section 302 of the</w:t>
            </w:r>
          </w:p>
        </w:tc>
      </w:tr>
      <w:tr>
        <w:trPr>
          <w:trHeight w:val="196"/>
        </w:trPr>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25"/>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6700" w:type="dxa"/>
            <w:vAlign w:val="bottom"/>
            <w:gridSpan w:val="11"/>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c>
          <w:tcPr>
            <w:tcW w:w="800" w:type="dxa"/>
            <w:vAlign w:val="bottom"/>
            <w:gridSpan w:val="11"/>
          </w:tcPr>
          <w:p>
            <w:pPr>
              <w:spacing w:after="0"/>
              <w:rPr>
                <w:sz w:val="24"/>
                <w:szCs w:val="24"/>
                <w:color w:val="auto"/>
              </w:rPr>
            </w:pPr>
          </w:p>
        </w:tc>
      </w:tr>
      <w:tr>
        <w:trPr>
          <w:trHeight w:val="412"/>
        </w:trPr>
        <w:tc>
          <w:tcPr>
            <w:tcW w:w="1280" w:type="dxa"/>
            <w:vAlign w:val="bottom"/>
          </w:tcPr>
          <w:p>
            <w:pPr>
              <w:ind w:left="34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8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c>
          <w:tcPr>
            <w:tcW w:w="800" w:type="dxa"/>
            <w:vAlign w:val="bottom"/>
            <w:gridSpan w:val="11"/>
          </w:tcPr>
          <w:p>
            <w:pPr>
              <w:spacing w:after="0"/>
              <w:rPr>
                <w:sz w:val="24"/>
                <w:szCs w:val="24"/>
                <w:color w:val="auto"/>
              </w:rPr>
            </w:pPr>
          </w:p>
        </w:tc>
      </w:tr>
      <w:tr>
        <w:trPr>
          <w:trHeight w:val="438"/>
        </w:trPr>
        <w:tc>
          <w:tcPr>
            <w:tcW w:w="1700" w:type="dxa"/>
            <w:vAlign w:val="bottom"/>
            <w:gridSpan w:val="2"/>
          </w:tcPr>
          <w:p>
            <w:pPr>
              <w:ind w:left="340"/>
              <w:spacing w:after="0"/>
              <w:rPr>
                <w:sz w:val="20"/>
                <w:szCs w:val="20"/>
                <w:color w:val="auto"/>
              </w:rPr>
            </w:pPr>
            <w:r>
              <w:rPr>
                <w:rFonts w:ascii="Arial" w:cs="Arial" w:eastAsia="Arial" w:hAnsi="Arial"/>
                <w:sz w:val="18"/>
                <w:szCs w:val="18"/>
                <w:color w:val="auto"/>
              </w:rPr>
              <w:t>101.INS</w:t>
            </w:r>
          </w:p>
        </w:tc>
        <w:tc>
          <w:tcPr>
            <w:tcW w:w="9540" w:type="dxa"/>
            <w:vAlign w:val="bottom"/>
            <w:gridSpan w:val="25"/>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700" w:type="dxa"/>
            <w:vAlign w:val="bottom"/>
            <w:gridSpan w:val="2"/>
          </w:tcPr>
          <w:p>
            <w:pPr>
              <w:ind w:left="340"/>
              <w:spacing w:after="0"/>
              <w:rPr>
                <w:sz w:val="20"/>
                <w:szCs w:val="20"/>
                <w:color w:val="auto"/>
              </w:rPr>
            </w:pPr>
            <w:r>
              <w:rPr>
                <w:rFonts w:ascii="Arial" w:cs="Arial" w:eastAsia="Arial" w:hAnsi="Arial"/>
                <w:sz w:val="18"/>
                <w:szCs w:val="18"/>
                <w:color w:val="auto"/>
              </w:rPr>
              <w:t>101.SCH*</w:t>
            </w:r>
          </w:p>
        </w:tc>
        <w:tc>
          <w:tcPr>
            <w:tcW w:w="954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700" w:type="dxa"/>
            <w:vAlign w:val="bottom"/>
            <w:gridSpan w:val="2"/>
          </w:tcPr>
          <w:p>
            <w:pPr>
              <w:ind w:left="340"/>
              <w:spacing w:after="0"/>
              <w:rPr>
                <w:sz w:val="20"/>
                <w:szCs w:val="20"/>
                <w:color w:val="auto"/>
              </w:rPr>
            </w:pPr>
            <w:r>
              <w:rPr>
                <w:rFonts w:ascii="Arial" w:cs="Arial" w:eastAsia="Arial" w:hAnsi="Arial"/>
                <w:sz w:val="18"/>
                <w:szCs w:val="18"/>
                <w:color w:val="auto"/>
              </w:rPr>
              <w:t>101.CAL*</w:t>
            </w:r>
          </w:p>
        </w:tc>
        <w:tc>
          <w:tcPr>
            <w:tcW w:w="954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700" w:type="dxa"/>
            <w:vAlign w:val="bottom"/>
            <w:gridSpan w:val="2"/>
          </w:tcPr>
          <w:p>
            <w:pPr>
              <w:ind w:left="340"/>
              <w:spacing w:after="0"/>
              <w:rPr>
                <w:sz w:val="20"/>
                <w:szCs w:val="20"/>
                <w:color w:val="auto"/>
              </w:rPr>
            </w:pPr>
            <w:r>
              <w:rPr>
                <w:rFonts w:ascii="Arial" w:cs="Arial" w:eastAsia="Arial" w:hAnsi="Arial"/>
                <w:sz w:val="18"/>
                <w:szCs w:val="18"/>
                <w:color w:val="auto"/>
              </w:rPr>
              <w:t>101.DEF*</w:t>
            </w:r>
          </w:p>
        </w:tc>
        <w:tc>
          <w:tcPr>
            <w:tcW w:w="954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gridSpan w:val="9"/>
          </w:tcPr>
          <w:p>
            <w:pPr>
              <w:ind w:left="3840"/>
              <w:spacing w:after="0"/>
              <w:rPr>
                <w:sz w:val="20"/>
                <w:szCs w:val="20"/>
                <w:color w:val="auto"/>
              </w:rPr>
            </w:pPr>
            <w:r>
              <w:rPr>
                <w:rFonts w:ascii="Arial" w:cs="Arial" w:eastAsia="Arial" w:hAnsi="Arial"/>
                <w:sz w:val="18"/>
                <w:szCs w:val="18"/>
                <w:color w:val="auto"/>
              </w:rPr>
              <w:t>86</w:t>
            </w: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EE"/>
        </w:rPr>
        <w:t>Table of Contents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101.LAB*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Inline XBRL Taxonomy Extension Label Linkbase Document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Cover Page Interactive Data File (formatted as iXBRL and contained in Exhibit 101)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36" w:lineRule="exact"/>
        <w:rPr>
          <w:sz w:val="20"/>
          <w:szCs w:val="20"/>
          <w:color w:val="auto"/>
        </w:rPr>
      </w:pPr>
    </w:p>
    <w:p>
      <w:pPr>
        <w:sectPr>
          <w:pgSz w:w="11900" w:h="16838" w:orient="portrait"/>
          <w:cols w:equalWidth="0" w:num="2">
            <w:col w:w="1280" w:space="20"/>
            <w:col w:w="9680"/>
          </w:cols>
          <w:pgMar w:left="320" w:top="125" w:right="599" w:bottom="1440" w:gutter="0" w:footer="0" w:header="0"/>
        </w:sectPr>
      </w:pPr>
    </w:p>
    <w:p>
      <w:pPr>
        <w:jc w:val="both"/>
        <w:ind w:left="1300" w:hanging="644"/>
        <w:spacing w:after="0" w:line="263"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RUSH ENTERPRISES, INC.</w:t>
            </w:r>
          </w:p>
        </w:tc>
        <w:tc>
          <w:tcPr>
            <w:tcW w:w="2720" w:type="dxa"/>
            <w:vAlign w:val="bottom"/>
          </w:tcPr>
          <w:p>
            <w:pPr>
              <w:spacing w:after="0"/>
              <w:rPr>
                <w:sz w:val="20"/>
                <w:szCs w:val="20"/>
                <w:color w:val="auto"/>
              </w:rPr>
            </w:pPr>
          </w:p>
        </w:tc>
      </w:tr>
      <w:tr>
        <w:trPr>
          <w:trHeight w:val="608"/>
        </w:trPr>
        <w:tc>
          <w:tcPr>
            <w:tcW w:w="4180" w:type="dxa"/>
            <w:vAlign w:val="bottom"/>
            <w:gridSpan w:val="3"/>
          </w:tcPr>
          <w:p>
            <w:pPr>
              <w:spacing w:after="0"/>
              <w:rPr>
                <w:sz w:val="20"/>
                <w:szCs w:val="20"/>
                <w:color w:val="auto"/>
              </w:rPr>
            </w:pPr>
            <w:r>
              <w:rPr>
                <w:rFonts w:ascii="Arial" w:cs="Arial" w:eastAsia="Arial" w:hAnsi="Arial"/>
                <w:sz w:val="18"/>
                <w:szCs w:val="18"/>
                <w:color w:val="auto"/>
              </w:rPr>
              <w:t>By:   /s/ W. M.”RUSTY” RUSH</w:t>
            </w:r>
          </w:p>
        </w:tc>
        <w:tc>
          <w:tcPr>
            <w:tcW w:w="2720" w:type="dxa"/>
            <w:vAlign w:val="bottom"/>
          </w:tcPr>
          <w:p>
            <w:pPr>
              <w:ind w:left="880"/>
              <w:spacing w:after="0"/>
              <w:rPr>
                <w:sz w:val="20"/>
                <w:szCs w:val="20"/>
                <w:color w:val="auto"/>
              </w:rPr>
            </w:pPr>
            <w:r>
              <w:rPr>
                <w:rFonts w:ascii="Arial" w:cs="Arial" w:eastAsia="Arial" w:hAnsi="Arial"/>
                <w:sz w:val="18"/>
                <w:szCs w:val="18"/>
                <w:color w:val="auto"/>
                <w:w w:val="90"/>
              </w:rPr>
              <w:t>Date:  February 23, 2023</w:t>
            </w:r>
          </w:p>
        </w:tc>
      </w:tr>
      <w:tr>
        <w:trPr>
          <w:trHeight w:val="222"/>
        </w:trPr>
        <w:tc>
          <w:tcPr>
            <w:tcW w:w="340" w:type="dxa"/>
            <w:vAlign w:val="bottom"/>
          </w:tcPr>
          <w:p>
            <w:pPr>
              <w:spacing w:after="0"/>
              <w:rPr>
                <w:sz w:val="19"/>
                <w:szCs w:val="19"/>
                <w:color w:val="auto"/>
              </w:rPr>
            </w:pPr>
          </w:p>
        </w:tc>
        <w:tc>
          <w:tcPr>
            <w:tcW w:w="2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 M. “Rusty” Rush</w:t>
            </w:r>
          </w:p>
        </w:tc>
        <w:tc>
          <w:tcPr>
            <w:tcW w:w="16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President, Chief Executive Officer and</w:t>
            </w:r>
          </w:p>
        </w:tc>
        <w:tc>
          <w:tcPr>
            <w:tcW w:w="272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c>
          <w:tcPr>
            <w:tcW w:w="2720" w:type="dxa"/>
            <w:vAlign w:val="bottom"/>
          </w:tcPr>
          <w:p>
            <w:pPr>
              <w:spacing w:after="0"/>
              <w:rPr>
                <w:sz w:val="20"/>
                <w:szCs w:val="20"/>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500" w:type="dxa"/>
            <w:vAlign w:val="bottom"/>
            <w:gridSpan w:val="8"/>
          </w:tcPr>
          <w:p>
            <w:pPr>
              <w:spacing w:after="0"/>
              <w:rPr>
                <w:sz w:val="20"/>
                <w:szCs w:val="20"/>
                <w:color w:val="auto"/>
              </w:rPr>
            </w:pPr>
            <w:r>
              <w:rPr>
                <w:rFonts w:ascii="Arial" w:cs="Arial" w:eastAsia="Arial" w:hAnsi="Arial"/>
                <w:sz w:val="18"/>
                <w:szCs w:val="18"/>
                <w:color w:val="auto"/>
              </w:rPr>
              <w:t>Signature</w:t>
            </w:r>
          </w:p>
        </w:tc>
        <w:tc>
          <w:tcPr>
            <w:tcW w:w="4840" w:type="dxa"/>
            <w:vAlign w:val="bottom"/>
            <w:gridSpan w:val="3"/>
          </w:tcPr>
          <w:p>
            <w:pPr>
              <w:ind w:left="2400"/>
              <w:spacing w:after="0"/>
              <w:rPr>
                <w:sz w:val="20"/>
                <w:szCs w:val="20"/>
                <w:color w:val="auto"/>
              </w:rPr>
            </w:pPr>
            <w:r>
              <w:rPr>
                <w:rFonts w:ascii="Arial" w:cs="Arial" w:eastAsia="Arial" w:hAnsi="Arial"/>
                <w:sz w:val="18"/>
                <w:szCs w:val="18"/>
                <w:color w:val="auto"/>
              </w:rPr>
              <w:t>Capacity</w:t>
            </w:r>
          </w:p>
        </w:tc>
        <w:tc>
          <w:tcPr>
            <w:tcW w:w="218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Date</w:t>
            </w:r>
          </w:p>
        </w:tc>
      </w:tr>
      <w:tr>
        <w:trPr>
          <w:trHeight w:val="20"/>
        </w:trPr>
        <w:tc>
          <w:tcPr>
            <w:tcW w:w="1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28"/>
        </w:trPr>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6"/>
              </w:rPr>
              <w:t>/s/ W. M. “RUSTY” RUSH</w:t>
            </w:r>
          </w:p>
        </w:tc>
        <w:tc>
          <w:tcPr>
            <w:tcW w:w="1200" w:type="dxa"/>
            <w:vAlign w:val="bottom"/>
            <w:gridSpan w:val="3"/>
          </w:tcPr>
          <w:p>
            <w:pPr>
              <w:spacing w:after="0"/>
              <w:rPr>
                <w:sz w:val="24"/>
                <w:szCs w:val="24"/>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President, Chief Executive Officer and</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22"/>
        </w:trPr>
        <w:tc>
          <w:tcPr>
            <w:tcW w:w="3200" w:type="dxa"/>
            <w:vAlign w:val="bottom"/>
            <w:gridSpan w:val="9"/>
          </w:tcPr>
          <w:p>
            <w:pPr>
              <w:spacing w:after="0"/>
              <w:rPr>
                <w:sz w:val="20"/>
                <w:szCs w:val="20"/>
                <w:color w:val="auto"/>
              </w:rPr>
            </w:pPr>
            <w:r>
              <w:rPr>
                <w:rFonts w:ascii="Arial" w:cs="Arial" w:eastAsia="Arial" w:hAnsi="Arial"/>
                <w:sz w:val="18"/>
                <w:szCs w:val="18"/>
                <w:color w:val="auto"/>
              </w:rPr>
              <w:t>W. M. “Rusty” Rush</w:t>
            </w: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Chairman of the Board</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(Principal Executive Officer)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3200" w:type="dxa"/>
            <w:vAlign w:val="bottom"/>
            <w:gridSpan w:val="9"/>
          </w:tcPr>
          <w:p>
            <w:pPr>
              <w:spacing w:after="0"/>
              <w:rPr>
                <w:sz w:val="20"/>
                <w:szCs w:val="20"/>
                <w:color w:val="auto"/>
              </w:rPr>
            </w:pPr>
            <w:r>
              <w:rPr>
                <w:rFonts w:ascii="Arial" w:cs="Arial" w:eastAsia="Arial" w:hAnsi="Arial"/>
                <w:sz w:val="18"/>
                <w:szCs w:val="18"/>
                <w:color w:val="auto"/>
              </w:rPr>
              <w:t>/s/ STEVEN L. KELLER</w:t>
            </w: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Chief Financial Officer and Treasurer</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37"/>
        </w:trPr>
        <w:tc>
          <w:tcPr>
            <w:tcW w:w="18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Steven L. Keller</w:t>
            </w:r>
          </w:p>
        </w:tc>
        <w:tc>
          <w:tcPr>
            <w:tcW w:w="1360" w:type="dxa"/>
            <w:vAlign w:val="bottom"/>
            <w:gridSpan w:val="5"/>
          </w:tcPr>
          <w:p>
            <w:pPr>
              <w:spacing w:after="0"/>
              <w:rPr>
                <w:sz w:val="20"/>
                <w:szCs w:val="20"/>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(Principal Financial and Accounting Officer)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THOMAS A. AKIN</w:t>
            </w:r>
          </w:p>
        </w:tc>
        <w:tc>
          <w:tcPr>
            <w:tcW w:w="1500" w:type="dxa"/>
            <w:vAlign w:val="bottom"/>
            <w:gridSpan w:val="8"/>
          </w:tcPr>
          <w:p>
            <w:pPr>
              <w:spacing w:after="0"/>
              <w:rPr>
                <w:sz w:val="24"/>
                <w:szCs w:val="24"/>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36"/>
        </w:trPr>
        <w:tc>
          <w:tcPr>
            <w:tcW w:w="3200" w:type="dxa"/>
            <w:vAlign w:val="bottom"/>
            <w:gridSpan w:val="9"/>
          </w:tcPr>
          <w:p>
            <w:pPr>
              <w:spacing w:after="0"/>
              <w:rPr>
                <w:sz w:val="20"/>
                <w:szCs w:val="20"/>
                <w:color w:val="auto"/>
              </w:rPr>
            </w:pPr>
            <w:r>
              <w:rPr>
                <w:rFonts w:ascii="Arial" w:cs="Arial" w:eastAsia="Arial" w:hAnsi="Arial"/>
                <w:sz w:val="18"/>
                <w:szCs w:val="18"/>
                <w:color w:val="auto"/>
              </w:rPr>
              <w:t>Thomas A. Akin</w:t>
            </w:r>
          </w:p>
        </w:tc>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3200" w:type="dxa"/>
            <w:vAlign w:val="bottom"/>
            <w:gridSpan w:val="9"/>
          </w:tcPr>
          <w:p>
            <w:pPr>
              <w:spacing w:after="0"/>
              <w:rPr>
                <w:sz w:val="20"/>
                <w:szCs w:val="20"/>
                <w:color w:val="auto"/>
              </w:rPr>
            </w:pPr>
            <w:r>
              <w:rPr>
                <w:rFonts w:ascii="Arial" w:cs="Arial" w:eastAsia="Arial" w:hAnsi="Arial"/>
                <w:sz w:val="18"/>
                <w:szCs w:val="18"/>
                <w:color w:val="auto"/>
              </w:rPr>
              <w:t>/s/ RAYMOND J. CHESS</w:t>
            </w: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37"/>
        </w:trPr>
        <w:tc>
          <w:tcPr>
            <w:tcW w:w="19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Raymond J. Chess</w:t>
            </w:r>
          </w:p>
        </w:tc>
        <w:tc>
          <w:tcPr>
            <w:tcW w:w="1300" w:type="dxa"/>
            <w:vAlign w:val="bottom"/>
            <w:gridSpan w:val="4"/>
          </w:tcPr>
          <w:p>
            <w:pPr>
              <w:spacing w:after="0"/>
              <w:rPr>
                <w:sz w:val="20"/>
                <w:szCs w:val="20"/>
                <w:color w:val="auto"/>
              </w:rPr>
            </w:pPr>
          </w:p>
        </w:tc>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7"/>
        </w:trPr>
        <w:tc>
          <w:tcPr>
            <w:tcW w:w="2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7"/>
              </w:rPr>
              <w:t>/s/ DR. KENNON GUGLIELMO</w:t>
            </w:r>
          </w:p>
        </w:tc>
        <w:tc>
          <w:tcPr>
            <w:tcW w:w="760" w:type="dxa"/>
            <w:vAlign w:val="bottom"/>
          </w:tcPr>
          <w:p>
            <w:pPr>
              <w:spacing w:after="0"/>
              <w:rPr>
                <w:sz w:val="24"/>
                <w:szCs w:val="24"/>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37"/>
        </w:trPr>
        <w:tc>
          <w:tcPr>
            <w:tcW w:w="3200" w:type="dxa"/>
            <w:vAlign w:val="bottom"/>
            <w:gridSpan w:val="9"/>
          </w:tcPr>
          <w:p>
            <w:pPr>
              <w:spacing w:after="0"/>
              <w:rPr>
                <w:sz w:val="20"/>
                <w:szCs w:val="20"/>
                <w:color w:val="auto"/>
              </w:rPr>
            </w:pPr>
            <w:r>
              <w:rPr>
                <w:rFonts w:ascii="Arial" w:cs="Arial" w:eastAsia="Arial" w:hAnsi="Arial"/>
                <w:sz w:val="18"/>
                <w:szCs w:val="18"/>
                <w:color w:val="auto"/>
              </w:rPr>
              <w:t>Dr. Kennon Guglielmo</w:t>
            </w:r>
          </w:p>
        </w:tc>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WILLIAM H. CARY</w:t>
            </w:r>
          </w:p>
        </w:tc>
        <w:tc>
          <w:tcPr>
            <w:tcW w:w="1420" w:type="dxa"/>
            <w:vAlign w:val="bottom"/>
            <w:gridSpan w:val="7"/>
          </w:tcPr>
          <w:p>
            <w:pPr>
              <w:spacing w:after="0"/>
              <w:rPr>
                <w:sz w:val="24"/>
                <w:szCs w:val="24"/>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37"/>
        </w:trPr>
        <w:tc>
          <w:tcPr>
            <w:tcW w:w="3200" w:type="dxa"/>
            <w:vAlign w:val="bottom"/>
            <w:gridSpan w:val="9"/>
          </w:tcPr>
          <w:p>
            <w:pPr>
              <w:spacing w:after="0"/>
              <w:rPr>
                <w:sz w:val="20"/>
                <w:szCs w:val="20"/>
                <w:color w:val="auto"/>
              </w:rPr>
            </w:pPr>
            <w:r>
              <w:rPr>
                <w:rFonts w:ascii="Arial" w:cs="Arial" w:eastAsia="Arial" w:hAnsi="Arial"/>
                <w:sz w:val="18"/>
                <w:szCs w:val="18"/>
                <w:color w:val="auto"/>
              </w:rPr>
              <w:t>William H. Cary</w:t>
            </w:r>
          </w:p>
        </w:tc>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/s/ ELAINE MENDOZA</w:t>
            </w:r>
          </w:p>
        </w:tc>
        <w:tc>
          <w:tcPr>
            <w:tcW w:w="1380" w:type="dxa"/>
            <w:vAlign w:val="bottom"/>
            <w:gridSpan w:val="6"/>
          </w:tcPr>
          <w:p>
            <w:pPr>
              <w:spacing w:after="0"/>
              <w:rPr>
                <w:sz w:val="24"/>
                <w:szCs w:val="24"/>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37"/>
        </w:trPr>
        <w:tc>
          <w:tcPr>
            <w:tcW w:w="3200" w:type="dxa"/>
            <w:vAlign w:val="bottom"/>
            <w:gridSpan w:val="9"/>
          </w:tcPr>
          <w:p>
            <w:pPr>
              <w:spacing w:after="0"/>
              <w:rPr>
                <w:sz w:val="20"/>
                <w:szCs w:val="20"/>
                <w:color w:val="auto"/>
              </w:rPr>
            </w:pPr>
            <w:r>
              <w:rPr>
                <w:rFonts w:ascii="Arial" w:cs="Arial" w:eastAsia="Arial" w:hAnsi="Arial"/>
                <w:sz w:val="18"/>
                <w:szCs w:val="18"/>
                <w:color w:val="auto"/>
              </w:rPr>
              <w:t>Elaine Mendoza</w:t>
            </w:r>
          </w:p>
        </w:tc>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TROY A. CLARKE</w:t>
            </w:r>
          </w:p>
        </w:tc>
        <w:tc>
          <w:tcPr>
            <w:tcW w:w="1500" w:type="dxa"/>
            <w:vAlign w:val="bottom"/>
            <w:gridSpan w:val="8"/>
          </w:tcPr>
          <w:p>
            <w:pPr>
              <w:spacing w:after="0"/>
              <w:rPr>
                <w:sz w:val="24"/>
                <w:szCs w:val="24"/>
                <w:color w:val="auto"/>
              </w:rPr>
            </w:pPr>
          </w:p>
        </w:tc>
        <w:tc>
          <w:tcPr>
            <w:tcW w:w="484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February 23, 2023</w:t>
            </w:r>
          </w:p>
        </w:tc>
      </w:tr>
      <w:tr>
        <w:trPr>
          <w:trHeight w:val="237"/>
        </w:trPr>
        <w:tc>
          <w:tcPr>
            <w:tcW w:w="3200" w:type="dxa"/>
            <w:vAlign w:val="bottom"/>
            <w:gridSpan w:val="9"/>
          </w:tcPr>
          <w:p>
            <w:pPr>
              <w:spacing w:after="0"/>
              <w:rPr>
                <w:sz w:val="20"/>
                <w:szCs w:val="20"/>
                <w:color w:val="auto"/>
              </w:rPr>
            </w:pPr>
            <w:r>
              <w:rPr>
                <w:rFonts w:ascii="Arial" w:cs="Arial" w:eastAsia="Arial" w:hAnsi="Arial"/>
                <w:sz w:val="18"/>
                <w:szCs w:val="18"/>
                <w:color w:val="auto"/>
              </w:rPr>
              <w:t>Troy A. Clarke</w:t>
            </w:r>
          </w:p>
        </w:tc>
        <w:tc>
          <w:tcPr>
            <w:tcW w:w="2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gridSpan w:val="2"/>
          </w:tcPr>
          <w:p>
            <w:pPr>
              <w:ind w:left="2340"/>
              <w:spacing w:after="0"/>
              <w:rPr>
                <w:sz w:val="20"/>
                <w:szCs w:val="20"/>
                <w:color w:val="auto"/>
              </w:rPr>
            </w:pPr>
            <w:r>
              <w:rPr>
                <w:rFonts w:ascii="Arial" w:cs="Arial" w:eastAsia="Arial" w:hAnsi="Arial"/>
                <w:sz w:val="18"/>
                <w:szCs w:val="18"/>
                <w:color w:val="auto"/>
              </w:rPr>
              <w:t>88</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10.35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RIGHT OF FIRST REFUSAL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RIGHT OF FIRST REFUSAL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October 18, 2022, is entered into by and among Rush Enterprises, Inc., a Texas corporation (“</w:t>
      </w:r>
      <w:r>
        <w:rPr>
          <w:rFonts w:ascii="Arial" w:cs="Arial" w:eastAsia="Arial" w:hAnsi="Arial"/>
          <w:sz w:val="18"/>
          <w:szCs w:val="18"/>
          <w:u w:val="single" w:color="auto"/>
          <w:color w:val="auto"/>
        </w:rPr>
        <w:t>Rush</w:t>
      </w:r>
      <w:r>
        <w:rPr>
          <w:rFonts w:ascii="Arial" w:cs="Arial" w:eastAsia="Arial" w:hAnsi="Arial"/>
          <w:sz w:val="18"/>
          <w:szCs w:val="18"/>
          <w:color w:val="auto"/>
        </w:rPr>
        <w:t>”), W.M. “Rusty” Rush (“</w:t>
      </w:r>
      <w:r>
        <w:rPr>
          <w:rFonts w:ascii="Arial" w:cs="Arial" w:eastAsia="Arial" w:hAnsi="Arial"/>
          <w:sz w:val="18"/>
          <w:szCs w:val="18"/>
          <w:u w:val="single" w:color="auto"/>
          <w:color w:val="auto"/>
        </w:rPr>
        <w:t>Borrower</w:t>
      </w:r>
      <w:r>
        <w:rPr>
          <w:rFonts w:ascii="Arial" w:cs="Arial" w:eastAsia="Arial" w:hAnsi="Arial"/>
          <w:sz w:val="18"/>
          <w:szCs w:val="18"/>
          <w:color w:val="auto"/>
        </w:rPr>
        <w:t>”), and Frost Bank, a Texas state bank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Borrower intends to enter into a margin loan agreement (such margin loan agreement, together with the related promissory note, pledge and security agreement, account agreement, and all other documents, instruments, or agreements executed and delivered by Borrower in connection therewith, being the “</w:t>
      </w:r>
      <w:r>
        <w:rPr>
          <w:rFonts w:ascii="Arial" w:cs="Arial" w:eastAsia="Arial" w:hAnsi="Arial"/>
          <w:sz w:val="18"/>
          <w:szCs w:val="18"/>
          <w:u w:val="single" w:color="auto"/>
          <w:color w:val="auto"/>
        </w:rPr>
        <w:t>Loan Documents</w:t>
      </w:r>
      <w:r>
        <w:rPr>
          <w:rFonts w:ascii="Arial" w:cs="Arial" w:eastAsia="Arial" w:hAnsi="Arial"/>
          <w:sz w:val="18"/>
          <w:szCs w:val="18"/>
          <w:color w:val="auto"/>
        </w:rPr>
        <w:t>”) with Lender;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pursuant to the Loan Documents, to secure Borrower’s obligations thereunder, Borrower has granted Lender a security interest in, among other things, certain shares of his Rush Class B Common Stock (the “</w:t>
      </w:r>
      <w:r>
        <w:rPr>
          <w:rFonts w:ascii="Arial" w:cs="Arial" w:eastAsia="Arial" w:hAnsi="Arial"/>
          <w:sz w:val="18"/>
          <w:szCs w:val="18"/>
          <w:u w:val="single" w:color="auto"/>
          <w:color w:val="auto"/>
        </w:rPr>
        <w:t>Pledged Shares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Borrower has authorized Lender, on his behalf, to deliver notices to Rush in accordance with this Agreement pursuant to the ROFR Power of Attorney (as defined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Loan Documents permit Lender, under certain circumstances, to foreclose on its security interest in the Pledged Shares and to sell those shares to pay, in whole or in part, the obligations of Borrower under the Loan Documents;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in connection with the Loan Documents, the parties hereto are entering into this Agreement with respect to the Pledged Shares in the event that Lender ever forecloses its security interest in all or any portion of the Pledged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premises and for the mutual promises contained in this Agreement, and for other good and valuable consideration, the receipt and sufficiency of which are hereby acknowledged, and intending to be bound, the parties hereto hereby agree as follows:</w:t>
      </w:r>
    </w:p>
    <w:p>
      <w:pPr>
        <w:spacing w:after="0" w:line="124"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respective meanings set forth below: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Deadline</w:t>
      </w:r>
      <w:r>
        <w:rPr>
          <w:rFonts w:ascii="Arial" w:cs="Arial" w:eastAsia="Arial" w:hAnsi="Arial"/>
          <w:sz w:val="18"/>
          <w:szCs w:val="18"/>
          <w:color w:val="auto"/>
        </w:rPr>
        <w:t>” means 12:00 p.m., San Antonio, Texas, time, on that date which is three (3) Business Days after delivery by Lender of a ROFR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it in the first paragraph of this Right of First Refusal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it in the first paragraph of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San Antonio, Texas, are open for the general transaction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Delinquent Amount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it in the Loan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assigned to it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Payment Event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Call Price</w:t>
      </w:r>
      <w:r>
        <w:rPr>
          <w:rFonts w:ascii="Arial" w:cs="Arial" w:eastAsia="Arial" w:hAnsi="Arial"/>
          <w:sz w:val="18"/>
          <w:szCs w:val="18"/>
          <w:color w:val="auto"/>
        </w:rPr>
        <w:t>” means the average of the VWAPs for the two (2) full Trading Days most recently ended prior to the time of delivery by Lender of the ROFR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Call Shares</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Shares</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ROFR Notice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ROFR Power of Attorney</w:t>
      </w:r>
      <w:r>
        <w:rPr>
          <w:rFonts w:ascii="Arial" w:cs="Arial" w:eastAsia="Arial" w:hAnsi="Arial"/>
          <w:sz w:val="18"/>
          <w:szCs w:val="18"/>
          <w:color w:val="auto"/>
        </w:rPr>
        <w:t>” means a power of attorney granted to Lender pursuant to Section 9 of the Pledge and Security Agreement executed by Borrower, for the benefit of Lender, granting Lender the authority to deliver a ROFR Notice on behalf of Borrower upon the occurrence of a Loan Payment Event.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Rush</w:t>
      </w:r>
      <w:r>
        <w:rPr>
          <w:rFonts w:ascii="Arial" w:cs="Arial" w:eastAsia="Arial" w:hAnsi="Arial"/>
          <w:sz w:val="18"/>
          <w:szCs w:val="18"/>
          <w:color w:val="auto"/>
        </w:rPr>
        <w:t>” has the meaning assigned to it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Rush Notice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Stock Market is open for trading during its regular trading session (it being understood and agreed that any day on which The Nasdaq Stock Market is open for trading but is scheduled to close early in connection with a current or pending holiday shall constitute a regular trading session).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volume-weighted average price.</w:t>
      </w:r>
    </w:p>
    <w:p>
      <w:pPr>
        <w:spacing w:after="0" w:line="225" w:lineRule="exact"/>
        <w:rPr>
          <w:sz w:val="20"/>
          <w:szCs w:val="20"/>
          <w:color w:val="auto"/>
        </w:rPr>
      </w:pPr>
    </w:p>
    <w:p>
      <w:pPr>
        <w:jc w:val="both"/>
        <w:ind w:firstLine="8"/>
        <w:spacing w:after="0" w:line="257" w:lineRule="auto"/>
        <w:tabs>
          <w:tab w:leader="none" w:pos="78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Loan Payment Event</w:t>
      </w:r>
      <w:r>
        <w:rPr>
          <w:rFonts w:ascii="Arial" w:cs="Arial" w:eastAsia="Arial" w:hAnsi="Arial"/>
          <w:sz w:val="18"/>
          <w:szCs w:val="18"/>
          <w:color w:val="auto"/>
        </w:rPr>
        <w:t>. Upon an Event of Default, mandatory prepayment event, margin call, or any other event or circumstance that requires a payment to be made by Borrower under any Loan Document (any or all of the foregoing events or circumstances being herein collectively referred to as a “</w:t>
      </w:r>
      <w:r>
        <w:rPr>
          <w:rFonts w:ascii="Arial" w:cs="Arial" w:eastAsia="Arial" w:hAnsi="Arial"/>
          <w:sz w:val="18"/>
          <w:szCs w:val="18"/>
          <w:u w:val="single" w:color="auto"/>
          <w:color w:val="auto"/>
        </w:rPr>
        <w:t>Loan Payment Event</w:t>
      </w:r>
      <w:r>
        <w:rPr>
          <w:rFonts w:ascii="Arial" w:cs="Arial" w:eastAsia="Arial" w:hAnsi="Arial"/>
          <w:sz w:val="18"/>
          <w:szCs w:val="18"/>
          <w:color w:val="auto"/>
        </w:rPr>
        <w:t>”), and, as a result of any such Loan Payment Event, Lender is entitled to foreclose upon and sell all or any portion of the Pledged Shares in accordance with the terms of the Loan Documents, then Lender, pursuant to the ROFR Power of Attorney, will provide written notice of same to Rush (“</w:t>
      </w:r>
      <w:r>
        <w:rPr>
          <w:rFonts w:ascii="Arial" w:cs="Arial" w:eastAsia="Arial" w:hAnsi="Arial"/>
          <w:sz w:val="18"/>
          <w:szCs w:val="18"/>
          <w:u w:val="single" w:color="auto"/>
          <w:color w:val="auto"/>
        </w:rPr>
        <w:t>ROFR Notice</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jc w:val="both"/>
        <w:ind w:firstLine="8"/>
        <w:spacing w:after="0" w:line="273" w:lineRule="auto"/>
        <w:tabs>
          <w:tab w:leader="none" w:pos="81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ROFR Notice</w:t>
      </w:r>
      <w:r>
        <w:rPr>
          <w:rFonts w:ascii="Arial" w:cs="Arial" w:eastAsia="Arial" w:hAnsi="Arial"/>
          <w:sz w:val="17"/>
          <w:szCs w:val="17"/>
          <w:color w:val="auto"/>
        </w:rPr>
        <w:t>. The ROFR Notice will specify (a) the amount of any payment(s) due but unpaid by Borrower under the Loan Documents (the “</w:t>
      </w:r>
      <w:r>
        <w:rPr>
          <w:rFonts w:ascii="Arial" w:cs="Arial" w:eastAsia="Arial" w:hAnsi="Arial"/>
          <w:sz w:val="17"/>
          <w:szCs w:val="17"/>
          <w:u w:val="single" w:color="auto"/>
          <w:color w:val="auto"/>
        </w:rPr>
        <w:t>Delinquent Amount</w:t>
      </w:r>
      <w:r>
        <w:rPr>
          <w:rFonts w:ascii="Arial" w:cs="Arial" w:eastAsia="Arial" w:hAnsi="Arial"/>
          <w:sz w:val="17"/>
          <w:szCs w:val="17"/>
          <w:color w:val="auto"/>
        </w:rPr>
        <w:t>”), (b) the number of Pledged Shares determined by Lender in its reasonable judgment to be sufficient to pay the Delinquent Amount and to cause Borrower to come into full compliance with all of its obligations under the Loan Documents (the “</w:t>
      </w:r>
      <w:r>
        <w:rPr>
          <w:rFonts w:ascii="Arial" w:cs="Arial" w:eastAsia="Arial" w:hAnsi="Arial"/>
          <w:sz w:val="17"/>
          <w:szCs w:val="17"/>
          <w:u w:val="single" w:color="auto"/>
          <w:color w:val="auto"/>
        </w:rPr>
        <w:t>Margin Call Shares</w:t>
      </w:r>
      <w:r>
        <w:rPr>
          <w:rFonts w:ascii="Arial" w:cs="Arial" w:eastAsia="Arial" w:hAnsi="Arial"/>
          <w:sz w:val="17"/>
          <w:szCs w:val="17"/>
          <w:color w:val="auto"/>
        </w:rPr>
        <w:t xml:space="preserve">”), and (c) the Margin Call Price. The ROFR Notice will constitute a binding, irrevocable offer by Borrower to sell to Rush the Margin Call Shares at the Margin Call Price, and by its signature below Borrower hereby agrees and acknowledges that any Delinquent Amount to be paid by Rush in exchange for such Margin Call Shares shall be paid directly to Lender via Lender’s account identified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ind w:left="680" w:hanging="67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ROFR Process and 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 later than the Acceptance Deadline, Rush may agree, by written notice to Lender (the “</w:t>
      </w:r>
      <w:r>
        <w:rPr>
          <w:rFonts w:ascii="Arial" w:cs="Arial" w:eastAsia="Arial" w:hAnsi="Arial"/>
          <w:sz w:val="16"/>
          <w:szCs w:val="16"/>
          <w:u w:val="single" w:color="auto"/>
          <w:color w:val="auto"/>
        </w:rPr>
        <w:t>Rush Notice</w:t>
      </w:r>
      <w:r>
        <w:rPr>
          <w:rFonts w:ascii="Arial" w:cs="Arial" w:eastAsia="Arial" w:hAnsi="Arial"/>
          <w:sz w:val="16"/>
          <w:szCs w:val="16"/>
          <w:color w:val="auto"/>
        </w:rPr>
        <w:t>”), to acquire the number of Margin Call Shares offered under such ROFR Notice at the Margin Call Price. If a Rush Notice meeting the requirements specified herein is not delivered to Lender at or prior to the Acceptance Deadline, then Rush will be deemed to have rejected the opportunity to purchase the Margin Call Shares offered under such ROFR Notice, and such ROFR Notice shall terminate and be of no further force or effect.</w:t>
      </w:r>
    </w:p>
    <w:p>
      <w:pPr>
        <w:spacing w:after="0" w:line="157"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Upon delivery of a Rush Notice meeting the requirements specified above at or prior to the Acceptance Deadline, Borrower will be obligated to sell, and Rush will be obligated to purchase, all of the Margin Call Shares for the Margin Call Price, payable in cash by wire transfer of immediately available funds to Lender’s account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closing of such sale and purchase shall occur at such time and place as Lender and Rush may mutually agree, but in any event no later than 4:00 p.m., San Antonio, Texas, time, on that date which is two (2) Business Days after the Rush Notice is delivered to Lender.</w:t>
      </w:r>
    </w:p>
    <w:p>
      <w:pPr>
        <w:spacing w:after="0" w:line="187" w:lineRule="exact"/>
        <w:rPr>
          <w:rFonts w:ascii="Arial" w:cs="Arial" w:eastAsia="Arial" w:hAnsi="Arial"/>
          <w:sz w:val="18"/>
          <w:szCs w:val="18"/>
          <w:color w:val="auto"/>
        </w:rPr>
      </w:pPr>
    </w:p>
    <w:p>
      <w:pPr>
        <w:ind w:left="680" w:hanging="67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provisions of this Agreement may not be amended, modified, or supplemented, and waivers of or consents to departures from the provisions hereof may not be given, unless approved in writing by the parties hereto.</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This Agreement shall be binding upon, shall inure to the benefit of, and be enforceable by, the parties hereto and their respective successors and permitted assigns; </w:t>
      </w:r>
      <w:r>
        <w:rPr>
          <w:rFonts w:ascii="Arial" w:cs="Arial" w:eastAsia="Arial" w:hAnsi="Arial"/>
          <w:sz w:val="17"/>
          <w:szCs w:val="17"/>
          <w:u w:val="single" w:color="auto"/>
          <w:color w:val="auto"/>
        </w:rPr>
        <w:t>provided that</w:t>
      </w:r>
      <w:r>
        <w:rPr>
          <w:rFonts w:ascii="Arial" w:cs="Arial" w:eastAsia="Arial" w:hAnsi="Arial"/>
          <w:sz w:val="17"/>
          <w:szCs w:val="17"/>
          <w:color w:val="auto"/>
        </w:rPr>
        <w:t>, with respect to any successor and/or assign of Lender under this Agreement and the Loan Documents, such successor and/or assign must expressly assume all of Lender’s rights and obligations under this Agreement.</w:t>
      </w:r>
    </w:p>
    <w:p>
      <w:pPr>
        <w:spacing w:after="0" w:line="165"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notices and other communications required to be delivered pursuant to this Agreement in connection with a Loan Payment Event shall be in writing and shall be delivered by courier to the respective address specified for each Person party to this Agreement on the signature page(s) hereto. Notices or other communications shall be deemed to have been delivered when received by the party to whom such notice or other communication is addressed; provided that, if such notice or other communication is received after 5:00 p.m., San Antonio, Texas, time on any Business Day or is received on any day that is not a Business Day, such notice or other communication shall be deemed to have been delivered on the immediately succeeding Business Day.</w:t>
      </w:r>
    </w:p>
    <w:p>
      <w:pPr>
        <w:spacing w:after="0" w:line="177"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Texas, without regard to such state’s conflicts of laws principles.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Headings of sections and subsections of this Agreement are for the convenience of the parties only and shall be given no substantive or interpretive effect whatsoever.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jc w:val="both"/>
        <w:ind w:left="9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shall be deemed to be an original but all of which taken together shall constitute one and the same Agreement) and shall become effective when one or more counterparts have been signed by each of the parties hereto and delivered to the other parties hereto. Delivery of an executed counterpart of a signature page of this Agreement via e-mail shall be effective as delivery of a manually executed counterpart of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 above.</w:t>
      </w:r>
    </w:p>
    <w:p>
      <w:pPr>
        <w:spacing w:after="0" w:line="2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RUSH ENTERPRISES, INC.</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 Keller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Steve Keller</w:t>
      </w:r>
    </w:p>
    <w:p>
      <w:pPr>
        <w:spacing w:after="0" w:line="9"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Rush Enterprises, Inc.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555 IH 35 South, Suite 500</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Braunfels, TX</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Attn: Steve Keller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Rush Enterprises, Inc.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555 IH 35 South, Suite 500</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Braunfels, TX</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Attn: Michael Goldstone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W.M. “Rusty” Rush</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Rush Enterprises, Inc.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555 IH 35 South, Suite 500</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Braunfels, TX</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Attn: Rusty Rush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ind w:left="3960"/>
        <w:spacing w:after="0"/>
        <w:rPr>
          <w:sz w:val="20"/>
          <w:szCs w:val="20"/>
          <w:color w:val="auto"/>
        </w:rPr>
      </w:pPr>
      <w:r>
        <w:rPr>
          <w:rFonts w:ascii="Arial" w:cs="Arial" w:eastAsia="Arial" w:hAnsi="Arial"/>
          <w:sz w:val="16"/>
          <w:szCs w:val="16"/>
          <w:b w:val="1"/>
          <w:bCs w:val="1"/>
          <w:color w:val="auto"/>
        </w:rPr>
        <w:t>FROST BANK</w:t>
      </w:r>
      <w:r>
        <w:rPr>
          <w:rFonts w:ascii="Arial" w:cs="Arial" w:eastAsia="Arial" w:hAnsi="Arial"/>
          <w:sz w:val="16"/>
          <w:szCs w:val="16"/>
          <w:color w:val="auto"/>
        </w:rPr>
        <w:t>, a Texas state bank</w:t>
      </w:r>
    </w:p>
    <w:p>
      <w:pPr>
        <w:spacing w:after="0" w:line="200" w:lineRule="exact"/>
        <w:rPr>
          <w:sz w:val="20"/>
          <w:szCs w:val="20"/>
          <w:color w:val="auto"/>
        </w:rPr>
      </w:pPr>
    </w:p>
    <w:p>
      <w:pPr>
        <w:spacing w:after="0" w:line="26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Kendal Volz</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Kendal Volz</w:t>
      </w:r>
    </w:p>
    <w:p>
      <w:pPr>
        <w:spacing w:after="0" w:line="9" w:lineRule="exact"/>
        <w:rPr>
          <w:sz w:val="20"/>
          <w:szCs w:val="20"/>
          <w:color w:val="auto"/>
        </w:rPr>
      </w:pPr>
    </w:p>
    <w:p>
      <w:pPr>
        <w:ind w:left="3960"/>
        <w:spacing w:after="0"/>
        <w:tabs>
          <w:tab w:leader="none" w:pos="4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Frost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111 W. Houston Street, 9th Floor</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San Antonio, TX</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Attn: Kendal Volz</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Frost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111 W. Houston Street, 9th Floor</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San Antonio, TX</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Attn: Clay Jones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580"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60" w:type="dxa"/>
            <w:vAlign w:val="bottom"/>
            <w:gridSpan w:val="3"/>
          </w:tcPr>
          <w:p>
            <w:pPr>
              <w:ind w:left="3160"/>
              <w:spacing w:after="0"/>
              <w:rPr>
                <w:sz w:val="20"/>
                <w:szCs w:val="20"/>
                <w:color w:val="auto"/>
              </w:rPr>
            </w:pPr>
            <w:r>
              <w:rPr>
                <w:rFonts w:ascii="Arial" w:cs="Arial" w:eastAsia="Arial" w:hAnsi="Arial"/>
                <w:sz w:val="18"/>
                <w:szCs w:val="18"/>
                <w:color w:val="auto"/>
                <w:w w:val="98"/>
              </w:rPr>
              <w:t>EXHIBIT 21.1</w:t>
            </w:r>
          </w:p>
        </w:tc>
        <w:tc>
          <w:tcPr>
            <w:tcW w:w="0" w:type="dxa"/>
            <w:vAlign w:val="bottom"/>
          </w:tcPr>
          <w:p>
            <w:pPr>
              <w:spacing w:after="0"/>
              <w:rPr>
                <w:sz w:val="1"/>
                <w:szCs w:val="1"/>
                <w:color w:val="auto"/>
              </w:rPr>
            </w:pPr>
          </w:p>
        </w:tc>
      </w:tr>
      <w:tr>
        <w:trPr>
          <w:trHeight w:val="648"/>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40" w:type="dxa"/>
            <w:vAlign w:val="bottom"/>
            <w:gridSpan w:val="7"/>
          </w:tcPr>
          <w:p>
            <w:pPr>
              <w:ind w:left="20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418"/>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State of</w:t>
            </w:r>
          </w:p>
        </w:tc>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20" w:type="dxa"/>
            <w:vAlign w:val="bottom"/>
            <w:gridSpan w:val="3"/>
          </w:tcPr>
          <w:p>
            <w:pPr>
              <w:ind w:left="2040"/>
              <w:spacing w:after="0" w:line="190" w:lineRule="exact"/>
              <w:rPr>
                <w:sz w:val="20"/>
                <w:szCs w:val="20"/>
                <w:color w:val="auto"/>
              </w:rPr>
            </w:pPr>
            <w:r>
              <w:rPr>
                <w:rFonts w:ascii="Arial" w:cs="Arial" w:eastAsia="Arial" w:hAnsi="Arial"/>
                <w:sz w:val="18"/>
                <w:szCs w:val="18"/>
                <w:color w:val="auto"/>
              </w:rPr>
              <w:t>Name</w:t>
            </w:r>
          </w:p>
        </w:tc>
        <w:tc>
          <w:tcPr>
            <w:tcW w:w="2000" w:type="dxa"/>
            <w:vAlign w:val="bottom"/>
            <w:gridSpan w:val="3"/>
          </w:tcPr>
          <w:p>
            <w:pPr>
              <w:jc w:val="center"/>
              <w:ind w:left="570"/>
              <w:spacing w:after="0" w:line="190" w:lineRule="exact"/>
              <w:rPr>
                <w:sz w:val="20"/>
                <w:szCs w:val="20"/>
                <w:color w:val="auto"/>
              </w:rPr>
            </w:pPr>
            <w:r>
              <w:rPr>
                <w:rFonts w:ascii="Arial" w:cs="Arial" w:eastAsia="Arial" w:hAnsi="Arial"/>
                <w:sz w:val="18"/>
                <w:szCs w:val="18"/>
                <w:color w:val="auto"/>
                <w:w w:val="93"/>
              </w:rPr>
              <w:t>Incorporation</w:t>
            </w:r>
          </w:p>
        </w:tc>
        <w:tc>
          <w:tcPr>
            <w:tcW w:w="5240" w:type="dxa"/>
            <w:vAlign w:val="bottom"/>
            <w:gridSpan w:val="4"/>
          </w:tcPr>
          <w:p>
            <w:pPr>
              <w:ind w:left="980"/>
              <w:spacing w:after="0" w:line="190" w:lineRule="exact"/>
              <w:rPr>
                <w:sz w:val="20"/>
                <w:szCs w:val="20"/>
                <w:color w:val="auto"/>
              </w:rPr>
            </w:pPr>
            <w:r>
              <w:rPr>
                <w:rFonts w:ascii="Arial" w:cs="Arial" w:eastAsia="Arial" w:hAnsi="Arial"/>
                <w:sz w:val="18"/>
                <w:szCs w:val="18"/>
                <w:color w:val="auto"/>
              </w:rPr>
              <w:t>Names Under Which Subsidiary Does Business</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Alabama, Inc.</w:t>
            </w:r>
          </w:p>
        </w:tc>
        <w:tc>
          <w:tcPr>
            <w:tcW w:w="2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Mobile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Mobile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Arizona, Inc.</w:t>
            </w:r>
          </w:p>
        </w:tc>
        <w:tc>
          <w:tcPr>
            <w:tcW w:w="2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Flagstaff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Flagstaff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Phoenix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Phoenix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Phoenix East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Phoenix East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Tucson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Tucson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Yuma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Yuma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Arkansas, Inc.</w:t>
            </w:r>
          </w:p>
        </w:tc>
        <w:tc>
          <w:tcPr>
            <w:tcW w:w="2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Jonesboro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Lowell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Isuzu Trucks, Springdale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North Little Rock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Pine Bluff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Russellville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Rush Medium Duty Truck Centers of California, Inc.</w:t>
            </w:r>
          </w:p>
        </w:tc>
        <w:tc>
          <w:tcPr>
            <w:tcW w:w="2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Ceres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Rush Truck Centers of California, Inc.</w:t>
            </w:r>
          </w:p>
        </w:tc>
        <w:tc>
          <w:tcPr>
            <w:tcW w:w="2000" w:type="dxa"/>
            <w:vAlign w:val="bottom"/>
            <w:gridSpan w:val="3"/>
          </w:tcPr>
          <w:p>
            <w:pPr>
              <w:ind w:left="480"/>
              <w:spacing w:after="0"/>
              <w:rPr>
                <w:sz w:val="20"/>
                <w:szCs w:val="20"/>
                <w:color w:val="auto"/>
              </w:rPr>
            </w:pPr>
            <w:r>
              <w:rPr>
                <w:rFonts w:ascii="Arial" w:cs="Arial" w:eastAsia="Arial" w:hAnsi="Arial"/>
                <w:sz w:val="18"/>
                <w:szCs w:val="18"/>
                <w:color w:val="auto"/>
              </w:rPr>
              <w:t>Delaware</w:t>
            </w: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Peterbilt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Fontana Collision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Isuzu Trucks,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Towing Systems,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Fontana Used Trucks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Fontana Vocational Service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Long Beach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Peterbilt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Peterbilt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Truck Center, Los Angeles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San Diego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Sylmar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Peterbilt Truck Center, Victorville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Isuzu Trucks,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Peterbilt Truck Center, Whittier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ind w:left="60"/>
              <w:spacing w:after="0"/>
              <w:rPr>
                <w:sz w:val="20"/>
                <w:szCs w:val="20"/>
                <w:color w:val="auto"/>
              </w:rPr>
            </w:pPr>
            <w:r>
              <w:rPr>
                <w:rFonts w:ascii="Arial" w:cs="Arial" w:eastAsia="Arial" w:hAnsi="Arial"/>
                <w:sz w:val="18"/>
                <w:szCs w:val="18"/>
                <w:color w:val="auto"/>
                <w:w w:val="96"/>
              </w:rPr>
              <w:t>Rush Medium Duty Truck Centers of Colorado, Inc.</w:t>
            </w:r>
          </w:p>
        </w:tc>
        <w:tc>
          <w:tcPr>
            <w:tcW w:w="2000" w:type="dxa"/>
            <w:vAlign w:val="bottom"/>
            <w:gridSpan w:val="3"/>
          </w:tcPr>
          <w:p>
            <w:pPr>
              <w:ind w:left="480"/>
              <w:spacing w:after="0"/>
              <w:rPr>
                <w:sz w:val="20"/>
                <w:szCs w:val="20"/>
                <w:color w:val="auto"/>
              </w:rPr>
            </w:pPr>
            <w:r>
              <w:rPr>
                <w:rFonts w:ascii="Arial" w:cs="Arial" w:eastAsia="Arial" w:hAnsi="Arial"/>
                <w:sz w:val="18"/>
                <w:szCs w:val="18"/>
                <w:color w:val="auto"/>
              </w:rPr>
              <w:t>Delaware</w:t>
            </w: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Medium Duty Truck Center, Denver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Medium Duty Ford Trucks, Denver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Rush Towing Systems, Denver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Colorado, Inc.</w:t>
            </w:r>
          </w:p>
        </w:tc>
        <w:tc>
          <w:tcPr>
            <w:tcW w:w="2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Colorado Springs</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Colorado Springs</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Denver</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Denver</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Isuzu Trucks, Denver</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Greeley</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Greeley</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Pueblo</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Pueblo</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Rush Truck Centers of Florida, Inc.</w:t>
            </w:r>
          </w:p>
        </w:tc>
        <w:tc>
          <w:tcPr>
            <w:tcW w:w="2100" w:type="dxa"/>
            <w:vAlign w:val="bottom"/>
          </w:tcPr>
          <w:p>
            <w:pPr>
              <w:ind w:left="900"/>
              <w:spacing w:after="0"/>
              <w:rPr>
                <w:sz w:val="20"/>
                <w:szCs w:val="20"/>
                <w:color w:val="auto"/>
              </w:rPr>
            </w:pPr>
            <w:r>
              <w:rPr>
                <w:rFonts w:ascii="Arial" w:cs="Arial" w:eastAsia="Arial" w:hAnsi="Arial"/>
                <w:sz w:val="18"/>
                <w:szCs w:val="18"/>
                <w:color w:val="auto"/>
              </w:rPr>
              <w:t>Delaware</w:t>
            </w: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Haines City</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Haines City</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Jacksonville</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Jacksonville</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Jacksonville East</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Jacksonville East</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Lake City</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Lake City</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Miami</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Miami Northwest</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Orlando</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Orlando</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Orlando</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Isuzu Truck Center, Orlando</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Orlando Light &amp; Medium Duty</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Orlando North</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Orlando North</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Orlando South</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Orlando South</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Orlando Used Trucks</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Tampa</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Tampa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Rush Truck Centers of Georgia, Inc.</w:t>
            </w:r>
          </w:p>
        </w:tc>
        <w:tc>
          <w:tcPr>
            <w:tcW w:w="2100" w:type="dxa"/>
            <w:vAlign w:val="bottom"/>
          </w:tcPr>
          <w:p>
            <w:pPr>
              <w:ind w:left="900"/>
              <w:spacing w:after="0"/>
              <w:rPr>
                <w:sz w:val="20"/>
                <w:szCs w:val="20"/>
                <w:color w:val="auto"/>
              </w:rPr>
            </w:pPr>
            <w:r>
              <w:rPr>
                <w:rFonts w:ascii="Arial" w:cs="Arial" w:eastAsia="Arial" w:hAnsi="Arial"/>
                <w:sz w:val="18"/>
                <w:szCs w:val="18"/>
                <w:color w:val="auto"/>
              </w:rPr>
              <w:t>Delaware</w:t>
            </w: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Atlanta</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Atlanta Collision Center</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Atlanta</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Isuzu Trucks, Atlanta</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Medium Duty Truck Center, Atlanta</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Augusta</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Doraville</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Doraville</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Gainesville</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Macon</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Smyrna</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Tifton</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Tifton</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Valdosta</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Idaho, Inc.</w:t>
            </w:r>
          </w:p>
        </w:tc>
        <w:tc>
          <w:tcPr>
            <w:tcW w:w="2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International Truck Center, Boise</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Boise</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International Truck Center, Idaho Falls</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Idaho Falls</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International Truck Center, Lewiston</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Lewiston</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International Truck Center, Twin Falls</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Twin Falls</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Illinois, Inc.</w:t>
            </w:r>
          </w:p>
        </w:tc>
        <w:tc>
          <w:tcPr>
            <w:tcW w:w="2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House of Trucks, Willowbrook</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Bloomington</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Carol Stream</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Champaign</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Chicago</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Effingham</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Elk Grove</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Huntley</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Joliet</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Pontoon Beach</w:t>
            </w:r>
          </w:p>
        </w:tc>
      </w:tr>
      <w:tr>
        <w:trPr>
          <w:trHeight w:val="216"/>
        </w:trPr>
        <w:tc>
          <w:tcPr>
            <w:tcW w:w="3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Quincy</w:t>
            </w:r>
          </w:p>
        </w:tc>
      </w:tr>
      <w:tr>
        <w:trPr>
          <w:trHeight w:val="230"/>
        </w:trPr>
        <w:tc>
          <w:tcPr>
            <w:tcW w:w="3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Springfield</w:t>
            </w:r>
          </w:p>
        </w:tc>
      </w:tr>
      <w:tr>
        <w:trPr>
          <w:trHeight w:val="560"/>
        </w:trPr>
        <w:tc>
          <w:tcPr>
            <w:tcW w:w="3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825"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Indiana, Inc.</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Gary</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Indianapolis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Kansas, Inc.</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Olathe</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Salina</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Topeka</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Wichita</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Kentucky, Inc.</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Bowling Green</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Centers of Missouri, Inc.</w:t>
            </w:r>
          </w:p>
        </w:tc>
        <w:tc>
          <w:tcPr>
            <w:tcW w:w="1880" w:type="dxa"/>
            <w:vAlign w:val="bottom"/>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Cape Girardeau</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Jefferson City</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Joplin</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Kansas City</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Kansas City Used Truck</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St. Joseph</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St. Louis</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St. Peters</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Springfield</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West Plains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Rush Truck Centers of Nebraska, Inc.</w:t>
            </w:r>
          </w:p>
        </w:tc>
        <w:tc>
          <w:tcPr>
            <w:tcW w:w="1880" w:type="dxa"/>
            <w:vAlign w:val="bottom"/>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Omaha</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Nevada, Inc.</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Las Vegas</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Las Vegas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New Mexico, Inc.</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Albuquerque</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Albuquerque</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Farmington</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Farmington</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Las Cruces</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Las Cruces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North Carolina, Inc.</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Asheville</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Charlotte</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International Truck Center, Charlotte</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Charlotte</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Charlotte Collision Center</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Hickory</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Ohio, Inc.</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Akron</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Akron</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Cincinnati</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Cincinnati</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Isuzu Trucks, Cincinnati</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Cleveland</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Cleveland</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Columbus</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Dayton</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Dayton</w:t>
            </w:r>
          </w:p>
        </w:tc>
      </w:tr>
      <w:tr>
        <w:trPr>
          <w:trHeight w:val="216"/>
        </w:trPr>
        <w:tc>
          <w:tcPr>
            <w:tcW w:w="3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Dayton</w:t>
            </w:r>
          </w:p>
        </w:tc>
      </w:tr>
      <w:tr>
        <w:trPr>
          <w:trHeight w:val="216"/>
        </w:trPr>
        <w:tc>
          <w:tcPr>
            <w:tcW w:w="38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Lima</w:t>
            </w:r>
          </w:p>
        </w:tc>
      </w:tr>
      <w:tr>
        <w:trPr>
          <w:trHeight w:val="230"/>
        </w:trPr>
        <w:tc>
          <w:tcPr>
            <w:tcW w:w="3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Lima</w:t>
            </w:r>
          </w:p>
        </w:tc>
      </w:tr>
      <w:tr>
        <w:trPr>
          <w:trHeight w:val="560"/>
        </w:trPr>
        <w:tc>
          <w:tcPr>
            <w:tcW w:w="38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Oklahoma, Inc.</w:t>
            </w:r>
          </w:p>
        </w:tc>
        <w:tc>
          <w:tcPr>
            <w:tcW w:w="1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Perfection Equipment</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Perfection Truck Parts &amp; Equipment, Oklahoma City</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Perfection Crane Repair</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Ardmore</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Ardmore</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Oklahoma City</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Oklahoma City</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Oklahoma City</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Tulsa</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Tulsa</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Rigging</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Used Truck Center, Tulsa</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Pennsylvania, Inc.</w:t>
            </w:r>
          </w:p>
        </w:tc>
        <w:tc>
          <w:tcPr>
            <w:tcW w:w="1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Custom Vehicle Solutions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Greencastle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Tennessee, Inc.</w:t>
            </w:r>
          </w:p>
        </w:tc>
        <w:tc>
          <w:tcPr>
            <w:tcW w:w="1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Memphis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Memphis Collision Center</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Memphis Used Trucks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Nashville</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Nashville</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Towing Systems, Nashville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Texas, L.P.</w:t>
            </w:r>
          </w:p>
        </w:tc>
        <w:tc>
          <w:tcPr>
            <w:tcW w:w="1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Texas</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Custom Vehicle Solutions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Rig Tough Used Trucks, Dallas</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House of Trucks, Dallas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Crane and Refuse Systems International</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Abilene</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Abilene</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Amarillo</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Amarillo</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Arlington</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Arlington</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Arlington</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Austin</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Austin</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Austin</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Austin</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Austin North</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Beaumont</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Beaumont</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Brownsville</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Brownsville</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Bryan</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College Station</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College Station</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College Station</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Corpus Christi</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Corpus Christi</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Isuzu Trucks, Corpus Christi</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Corpus Christi</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Cotulla</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Cotulla</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Dalhart</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Dalhart</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Dallas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Dallas</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Medium Duty Truck Center, Dallas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Dallas</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Dallas</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Dallas Light and Medium Duty</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Dallas Medium Duty</w:t>
            </w: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Dallas South</w:t>
            </w:r>
          </w:p>
        </w:tc>
      </w:tr>
      <w:tr>
        <w:trPr>
          <w:trHeight w:val="216"/>
        </w:trPr>
        <w:tc>
          <w:tcPr>
            <w:tcW w:w="3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Dallas South</w:t>
            </w:r>
          </w:p>
        </w:tc>
      </w:tr>
      <w:tr>
        <w:trPr>
          <w:trHeight w:val="230"/>
        </w:trPr>
        <w:tc>
          <w:tcPr>
            <w:tcW w:w="3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Dallas TRP</w:t>
            </w:r>
          </w:p>
        </w:tc>
      </w:tr>
      <w:tr>
        <w:trPr>
          <w:trHeight w:val="560"/>
        </w:trPr>
        <w:tc>
          <w:tcPr>
            <w:tcW w:w="3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8"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Denton</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El Paso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El Paso</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El Paso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Fort Worth</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Fort Worth</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Fort Worth</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Houston</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Houston</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Houston</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Towing Systems, Houston</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Houston Used Trucks</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Houston Medium Duty</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Houston Northwest</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Houston Northwest</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Laredo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Laredo</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Laredo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Lubbock</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Lubbock</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Lufkin</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Lufkin</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Lufkin</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Odessa</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Odessa</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Pharr</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Pharr</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Pharr</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San Antonio</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San Antonio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San Antonio</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Refuse Systems</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Towing Systems, San Antonio</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Sealy</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Sealy</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Isuzu Trucks, Sealy</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Sealy</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Texarkana</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Texarkana</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Texarkana</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Tyler</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Tyler</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Bus Center, Tyler</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Victoria</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Victoria</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Waco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Medium Duty Truck Center, Waco</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Peterbilt Truck Center, Waco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Isuzu Trucks, Waco</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Waco</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Wichita Falls</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Bus Center, Wichita Falls</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Peterbilt Truck Center, Wichita Falls</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World Wide Tires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Utah, Inc.</w:t>
            </w:r>
          </w:p>
        </w:tc>
        <w:tc>
          <w:tcPr>
            <w:tcW w:w="2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International Truck Center, Ogden</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Truck Center, Ogden</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Farr West</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International Truck Center, Salt Lake City</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Salt Lake City</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International Truck Center, Springville</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Springville</w:t>
            </w: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40" w:type="dxa"/>
            <w:vAlign w:val="bottom"/>
          </w:tcPr>
          <w:p>
            <w:pPr>
              <w:ind w:left="500"/>
              <w:spacing w:after="0"/>
              <w:rPr>
                <w:sz w:val="20"/>
                <w:szCs w:val="20"/>
                <w:color w:val="auto"/>
              </w:rPr>
            </w:pPr>
            <w:r>
              <w:rPr>
                <w:rFonts w:ascii="Arial" w:cs="Arial" w:eastAsia="Arial" w:hAnsi="Arial"/>
                <w:sz w:val="18"/>
                <w:szCs w:val="18"/>
                <w:color w:val="auto"/>
              </w:rPr>
              <w:t>Rush International Truck Center, St. George</w:t>
            </w:r>
          </w:p>
        </w:tc>
      </w:tr>
      <w:tr>
        <w:trPr>
          <w:trHeight w:val="216"/>
        </w:trPr>
        <w:tc>
          <w:tcPr>
            <w:tcW w:w="34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St. George</w:t>
            </w:r>
          </w:p>
        </w:tc>
      </w:tr>
      <w:tr>
        <w:trPr>
          <w:trHeight w:val="574"/>
        </w:trPr>
        <w:tc>
          <w:tcPr>
            <w:tcW w:w="3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8"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Virginia, Inc.</w:t>
            </w:r>
          </w:p>
        </w:tc>
        <w:tc>
          <w:tcPr>
            <w:tcW w:w="2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Delaware</w:t>
            </w: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Center, Chester</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Center, Richmond</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 Truck Leasing, Inc.</w:t>
            </w:r>
          </w:p>
        </w:tc>
        <w:tc>
          <w:tcPr>
            <w:tcW w:w="2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Delaware</w:t>
            </w: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Crane Systems</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Idealease, Charlotte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Refuse Systems</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Augusta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Asheville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Boise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Champaign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Charlotte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Chicago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Cincinnati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Cleveland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Columbus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Dayton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Effingham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Hickory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Indianapolis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Indy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Joplin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Kansas City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Lima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Lowell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Macon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Memphis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Norfolk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North Little Rock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Quincy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Richmond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Salina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Salt Lake City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Springfield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 Louis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Wichita Idealease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Centres of Canada Limited</w:t>
            </w:r>
          </w:p>
        </w:tc>
        <w:tc>
          <w:tcPr>
            <w:tcW w:w="2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Ontario, Canada</w:t>
            </w: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Centres, Belleville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Cornwall</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Centres, Kemptville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Kemptville Collision Centre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Centres, Kingston</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Markham</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Isuzu Truck, Markham</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Mississauga</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Centres, Oshawa</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Ottawa East</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Centres, Ottawa West</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Pembroke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Centres, Sault Ste. Marie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St. Catharines</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Centres, Sudbury</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Centres, Timmins</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Leasing, Belleville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Leasing, Kemptville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Leasing, Kingston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Leasing, Markham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Leasing, Mississauga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Leasing, Oshawa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Leasing, Ottawa Idealease</w:t>
            </w:r>
          </w:p>
        </w:tc>
      </w:tr>
      <w:tr>
        <w:trPr>
          <w:trHeight w:val="216"/>
        </w:trPr>
        <w:tc>
          <w:tcPr>
            <w:tcW w:w="3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Leasing, St. Catharines Idealease</w:t>
            </w:r>
          </w:p>
        </w:tc>
      </w:tr>
      <w:tr>
        <w:trPr>
          <w:trHeight w:val="216"/>
        </w:trPr>
        <w:tc>
          <w:tcPr>
            <w:tcW w:w="3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Rush Truck Leasing, Sudbury Idealease</w:t>
            </w:r>
          </w:p>
        </w:tc>
      </w:tr>
      <w:tr>
        <w:trPr>
          <w:trHeight w:val="230"/>
        </w:trPr>
        <w:tc>
          <w:tcPr>
            <w:tcW w:w="3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Rush Truck Leasing, Timmins Idealease</w:t>
            </w:r>
          </w:p>
        </w:tc>
      </w:tr>
      <w:tr>
        <w:trPr>
          <w:trHeight w:val="560"/>
        </w:trPr>
        <w:tc>
          <w:tcPr>
            <w:tcW w:w="3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8"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Advance Premium Finance,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California</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AiRush,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Texas</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Automotive Industry Insurance</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Associated Truck Insurance Services</w:t>
            </w:r>
          </w:p>
        </w:tc>
      </w:tr>
      <w:tr>
        <w:trPr>
          <w:trHeight w:val="216"/>
        </w:trPr>
        <w:tc>
          <w:tcPr>
            <w:tcW w:w="37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Insurance Services</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Associated Acceptance of Florida,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Georgia,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Associated Acceptance of Illinois,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Oklahoma,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Brauntex Indemnity Company</w:t>
            </w:r>
          </w:p>
        </w:tc>
        <w:tc>
          <w:tcPr>
            <w:tcW w:w="1960" w:type="dxa"/>
            <w:vAlign w:val="bottom"/>
          </w:tcPr>
          <w:p>
            <w:pPr>
              <w:ind w:left="740"/>
              <w:spacing w:after="0"/>
              <w:rPr>
                <w:sz w:val="20"/>
                <w:szCs w:val="20"/>
                <w:color w:val="auto"/>
              </w:rPr>
            </w:pPr>
            <w:r>
              <w:rPr>
                <w:rFonts w:ascii="Arial" w:cs="Arial" w:eastAsia="Arial" w:hAnsi="Arial"/>
                <w:sz w:val="18"/>
                <w:szCs w:val="18"/>
                <w:color w:val="auto"/>
              </w:rPr>
              <w:t>Texas</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Fleet Technologies,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Partsriver, Inc.</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Idealease of Chicago LLC</w:t>
            </w:r>
          </w:p>
        </w:tc>
        <w:tc>
          <w:tcPr>
            <w:tcW w:w="1960" w:type="dxa"/>
            <w:vAlign w:val="bottom"/>
          </w:tcPr>
          <w:p>
            <w:pPr>
              <w:ind w:left="740"/>
              <w:spacing w:after="0"/>
              <w:rPr>
                <w:sz w:val="20"/>
                <w:szCs w:val="20"/>
                <w:color w:val="auto"/>
              </w:rPr>
            </w:pPr>
            <w:r>
              <w:rPr>
                <w:rFonts w:ascii="Arial" w:cs="Arial" w:eastAsia="Arial" w:hAnsi="Arial"/>
                <w:sz w:val="18"/>
                <w:szCs w:val="18"/>
                <w:color w:val="auto"/>
              </w:rPr>
              <w:t>Illinois</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General Agency,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Texas</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Los Cuernos,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Los Cuernos Ranch</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Rig Tough,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Birmingham</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RTC Nevada, LLC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Accessories Corporation</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Chrome Country</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Rush Administrative Services,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Momentum Holdings,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Rushcare,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Rushco,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Rush Logistics,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Real Estate Holdings,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Rushtex,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Truck &amp; Trailer Finance, Inc.</w:t>
            </w:r>
          </w:p>
        </w:tc>
        <w:tc>
          <w:tcPr>
            <w:tcW w:w="196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52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1187394B.C. Ltd.</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Canada</w:t>
            </w: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240"/>
          </w:cols>
          <w:pgMar w:left="320" w:top="59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line="25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333-242488 pertaining to the Rush Enterprises, Inc. Amended and Restated 2007 Long-Term Incentive Plan and Rush Enterprises, Inc. Amended and Restated 2004 Employee Stock Purchase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333-219878 pertaining to the Rush Enterprises, Inc. Amended and Restated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333-198080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333-170732 pertaining to the Rush Enterprises, Inc. Deferred Compensation Plan,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333-138556 pertaining to the Rush Enterprises, Inc. 2006 Non-Employee Director Stock Plan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23, 2023,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2022.</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125" w:right="339" w:bottom="1440" w:gutter="0" w:footer="0" w:header="0"/>
        </w:sectPr>
      </w:pPr>
    </w:p>
    <w:bookmarkStart w:id="101" w:name="page102"/>
    <w:bookmarkEnd w:id="101"/>
    <w:p>
      <w:pPr>
        <w:ind w:left="10160"/>
        <w:spacing w:after="0"/>
        <w:rPr>
          <w:sz w:val="20"/>
          <w:szCs w:val="20"/>
          <w:color w:val="auto"/>
        </w:rPr>
      </w:pPr>
      <w:r>
        <w:rPr>
          <w:rFonts w:ascii="Arial" w:cs="Arial" w:eastAsia="Arial" w:hAnsi="Arial"/>
          <w:sz w:val="17"/>
          <w:szCs w:val="17"/>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14"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3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2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8"/>
                <w:szCs w:val="18"/>
                <w:color w:val="auto"/>
              </w:rPr>
              <w:t>Date: February 23, 2023</w:t>
            </w:r>
          </w:p>
        </w:tc>
        <w:tc>
          <w:tcPr>
            <w:tcW w:w="4740" w:type="dxa"/>
            <w:vAlign w:val="bottom"/>
            <w:gridSpan w:val="3"/>
          </w:tcPr>
          <w:p>
            <w:pPr>
              <w:ind w:left="1620"/>
              <w:spacing w:after="0"/>
              <w:rPr>
                <w:sz w:val="20"/>
                <w:szCs w:val="20"/>
                <w:color w:val="auto"/>
              </w:rPr>
            </w:pPr>
            <w:r>
              <w:rPr>
                <w:rFonts w:ascii="Arial" w:cs="Arial" w:eastAsia="Arial" w:hAnsi="Arial"/>
                <w:sz w:val="18"/>
                <w:szCs w:val="18"/>
                <w:color w:val="auto"/>
              </w:rPr>
              <w:t>By: /S/ W. M. “RUSTY” RUSH</w:t>
            </w:r>
          </w:p>
        </w:tc>
      </w:tr>
      <w:tr>
        <w:trPr>
          <w:trHeight w:val="237"/>
        </w:trPr>
        <w:tc>
          <w:tcPr>
            <w:tcW w:w="3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 M. “Rusty” Rush</w:t>
            </w:r>
          </w:p>
        </w:tc>
        <w:tc>
          <w:tcPr>
            <w:tcW w:w="780" w:type="dxa"/>
            <w:vAlign w:val="bottom"/>
          </w:tcPr>
          <w:p>
            <w:pPr>
              <w:spacing w:after="0"/>
              <w:rPr>
                <w:sz w:val="20"/>
                <w:szCs w:val="20"/>
                <w:color w:val="auto"/>
              </w:rPr>
            </w:pPr>
          </w:p>
        </w:tc>
      </w:tr>
      <w:tr>
        <w:trPr>
          <w:trHeight w:val="418"/>
        </w:trPr>
        <w:tc>
          <w:tcPr>
            <w:tcW w:w="3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3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102" w:name="page103"/>
    <w:bookmarkEnd w:id="102"/>
    <w:p>
      <w:pPr>
        <w:ind w:left="10160"/>
        <w:spacing w:after="0"/>
        <w:rPr>
          <w:sz w:val="20"/>
          <w:szCs w:val="20"/>
          <w:color w:val="auto"/>
        </w:rPr>
      </w:pPr>
      <w:r>
        <w:rPr>
          <w:rFonts w:ascii="Arial" w:cs="Arial" w:eastAsia="Arial" w:hAnsi="Arial"/>
          <w:sz w:val="17"/>
          <w:szCs w:val="17"/>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8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14"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3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2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8"/>
                <w:szCs w:val="18"/>
                <w:color w:val="auto"/>
              </w:rPr>
              <w:t>Date: February 23, 2023</w:t>
            </w:r>
          </w:p>
        </w:tc>
        <w:tc>
          <w:tcPr>
            <w:tcW w:w="5180" w:type="dxa"/>
            <w:vAlign w:val="bottom"/>
            <w:gridSpan w:val="3"/>
          </w:tcPr>
          <w:p>
            <w:pPr>
              <w:ind w:left="1620"/>
              <w:spacing w:after="0"/>
              <w:rPr>
                <w:sz w:val="20"/>
                <w:szCs w:val="20"/>
                <w:color w:val="auto"/>
              </w:rPr>
            </w:pPr>
            <w:r>
              <w:rPr>
                <w:rFonts w:ascii="Arial" w:cs="Arial" w:eastAsia="Arial" w:hAnsi="Arial"/>
                <w:sz w:val="18"/>
                <w:szCs w:val="18"/>
                <w:color w:val="auto"/>
              </w:rPr>
              <w:t>By: /S/ STEVEN L. KELLER</w:t>
            </w:r>
          </w:p>
        </w:tc>
      </w:tr>
      <w:tr>
        <w:trPr>
          <w:trHeight w:val="222"/>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2022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49" w:lineRule="exact"/>
        <w:rPr>
          <w:sz w:val="20"/>
          <w:szCs w:val="20"/>
          <w:color w:val="auto"/>
        </w:rPr>
      </w:pPr>
    </w:p>
    <w:p>
      <w:pPr>
        <w:ind w:left="1200" w:hanging="544"/>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13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W. M. “RUSTY” RUSH</w:t>
            </w:r>
          </w:p>
        </w:tc>
        <w:tc>
          <w:tcPr>
            <w:tcW w:w="780" w:type="dxa"/>
            <w:vAlign w:val="bottom"/>
          </w:tcPr>
          <w:p>
            <w:pPr>
              <w:spacing w:after="0"/>
              <w:rPr>
                <w:sz w:val="17"/>
                <w:szCs w:val="17"/>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800" w:type="dxa"/>
            <w:vAlign w:val="bottom"/>
            <w:gridSpan w:val="2"/>
          </w:tcPr>
          <w:p>
            <w:pPr>
              <w:spacing w:after="0"/>
              <w:rPr>
                <w:sz w:val="20"/>
                <w:szCs w:val="20"/>
                <w:color w:val="auto"/>
              </w:rPr>
            </w:pPr>
            <w:r>
              <w:rPr>
                <w:rFonts w:ascii="Arial" w:cs="Arial" w:eastAsia="Arial" w:hAnsi="Arial"/>
                <w:sz w:val="18"/>
                <w:szCs w:val="18"/>
                <w:color w:val="auto"/>
              </w:rPr>
              <w:t>W. M. “Rusty” Rush</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6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gridSpan w:val="2"/>
          </w:tcPr>
          <w:p>
            <w:pPr>
              <w:spacing w:after="0"/>
              <w:rPr>
                <w:sz w:val="20"/>
                <w:szCs w:val="20"/>
                <w:color w:val="auto"/>
              </w:rPr>
            </w:pPr>
            <w:r>
              <w:rPr>
                <w:rFonts w:ascii="Arial" w:cs="Arial" w:eastAsia="Arial" w:hAnsi="Arial"/>
                <w:sz w:val="18"/>
                <w:szCs w:val="18"/>
                <w:color w:val="auto"/>
              </w:rPr>
              <w:t>February 23, 2023</w:t>
            </w:r>
          </w:p>
        </w:tc>
      </w:tr>
    </w:tbl>
    <w:p>
      <w:pPr>
        <w:sectPr>
          <w:pgSz w:w="11900" w:h="16838" w:orient="portrait"/>
          <w:cols w:equalWidth="0" w:num="1">
            <w:col w:w="11240"/>
          </w:cols>
          <w:pgMar w:left="320" w:top="12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2022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65" w:lineRule="exact"/>
        <w:rPr>
          <w:sz w:val="20"/>
          <w:szCs w:val="20"/>
          <w:color w:val="auto"/>
        </w:rPr>
      </w:pPr>
    </w:p>
    <w:p>
      <w:pPr>
        <w:ind w:left="1200" w:hanging="544"/>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13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STEVEN L. KELLER</w:t>
            </w:r>
          </w:p>
        </w:tc>
        <w:tc>
          <w:tcPr>
            <w:tcW w:w="840" w:type="dxa"/>
            <w:vAlign w:val="bottom"/>
          </w:tcPr>
          <w:p>
            <w:pPr>
              <w:spacing w:after="0"/>
              <w:rPr>
                <w:sz w:val="17"/>
                <w:szCs w:val="17"/>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720" w:type="dxa"/>
            <w:vAlign w:val="bottom"/>
            <w:gridSpan w:val="2"/>
          </w:tcPr>
          <w:p>
            <w:pPr>
              <w:spacing w:after="0"/>
              <w:rPr>
                <w:sz w:val="20"/>
                <w:szCs w:val="20"/>
                <w:color w:val="auto"/>
              </w:rPr>
            </w:pPr>
            <w:r>
              <w:rPr>
                <w:rFonts w:ascii="Arial" w:cs="Arial" w:eastAsia="Arial" w:hAnsi="Arial"/>
                <w:sz w:val="18"/>
                <w:szCs w:val="18"/>
                <w:color w:val="auto"/>
              </w:rPr>
              <w:t>Steven L. Keller</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gridSpan w:val="2"/>
          </w:tcPr>
          <w:p>
            <w:pPr>
              <w:spacing w:after="0"/>
              <w:rPr>
                <w:sz w:val="20"/>
                <w:szCs w:val="20"/>
                <w:color w:val="auto"/>
              </w:rPr>
            </w:pPr>
            <w:r>
              <w:rPr>
                <w:rFonts w:ascii="Arial" w:cs="Arial" w:eastAsia="Arial" w:hAnsi="Arial"/>
                <w:sz w:val="18"/>
                <w:szCs w:val="18"/>
                <w:color w:val="auto"/>
                <w:w w:val="91"/>
              </w:rPr>
              <w:t>Chief Financial Officer and Treasurer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spacing w:after="0"/>
              <w:rPr>
                <w:sz w:val="20"/>
                <w:szCs w:val="20"/>
                <w:color w:val="auto"/>
              </w:rPr>
            </w:pPr>
            <w:r>
              <w:rPr>
                <w:rFonts w:ascii="Arial" w:cs="Arial" w:eastAsia="Arial" w:hAnsi="Arial"/>
                <w:sz w:val="18"/>
                <w:szCs w:val="18"/>
                <w:color w:val="auto"/>
              </w:rPr>
              <w:t>February 23, 2023</w:t>
            </w: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upperLetter"/>
      <w:start w:val="2"/>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1."/>
      <w:numFmt w:val="decimal"/>
      <w:start w:val="3"/>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1."/>
      <w:numFmt w:val="decimal"/>
      <w:start w:val="7"/>
    </w:lvl>
  </w:abstractNum>
  <w:abstractNum w:abstractNumId="20">
    <w:nsid w:val="7C3DBD3D"/>
    <w:multiLevelType w:val="hybridMultilevel"/>
    <w:lvl w:ilvl="0">
      <w:lvlJc w:val="left"/>
      <w:lvlText w:val="%1."/>
      <w:numFmt w:val="decimal"/>
      <w:start w:val="9"/>
    </w:lvl>
  </w:abstractNum>
  <w:abstractNum w:abstractNumId="21">
    <w:nsid w:val="737B8DDC"/>
    <w:multiLevelType w:val="hybridMultilevel"/>
    <w:lvl w:ilvl="0">
      <w:lvlJc w:val="left"/>
      <w:lvlText w:val="%1."/>
      <w:numFmt w:val="decimal"/>
      <w:start w:val="10"/>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2"/>
    </w:lvl>
  </w:abstractNum>
  <w:abstractNum w:abstractNumId="24">
    <w:nsid w:val="4516DDE9"/>
    <w:multiLevelType w:val="hybridMultilevel"/>
    <w:lvl w:ilvl="0">
      <w:lvlJc w:val="left"/>
      <w:lvlText w:val="%1."/>
      <w:numFmt w:val="decimal"/>
      <w:start w:val="14"/>
    </w:lvl>
  </w:abstractNum>
  <w:abstractNum w:abstractNumId="25">
    <w:nsid w:val="3006C83E"/>
    <w:multiLevelType w:val="hybridMultilevel"/>
    <w:lvl w:ilvl="0">
      <w:lvlJc w:val="left"/>
      <w:lvlText w:val="%1."/>
      <w:numFmt w:val="decimal"/>
      <w:start w:val="15"/>
    </w:lvl>
  </w:abstractNum>
  <w:abstractNum w:abstractNumId="26">
    <w:nsid w:val="614FD4A1"/>
    <w:multiLevelType w:val="hybridMultilevel"/>
    <w:lvl w:ilvl="0">
      <w:lvlJc w:val="left"/>
      <w:lvlText w:val="%1."/>
      <w:numFmt w:val="decimal"/>
      <w:start w:val="16"/>
    </w:lvl>
  </w:abstractNum>
  <w:abstractNum w:abstractNumId="27">
    <w:nsid w:val="419AC241"/>
    <w:multiLevelType w:val="hybridMultilevel"/>
    <w:lvl w:ilvl="0">
      <w:lvlJc w:val="left"/>
      <w:lvlText w:val="%1."/>
      <w:numFmt w:val="decimal"/>
      <w:start w:val="17"/>
    </w:lvl>
  </w:abstractNum>
  <w:abstractNum w:abstractNumId="28">
    <w:nsid w:val="5577F8E1"/>
    <w:multiLevelType w:val="hybridMultilevel"/>
    <w:lvl w:ilvl="0">
      <w:lvlJc w:val="left"/>
      <w:lvlText w:val="%1."/>
      <w:numFmt w:val="decimal"/>
      <w:start w:val="18"/>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2"/>
    </w:lvl>
  </w:abstractNum>
  <w:abstractNum w:abstractNumId="34">
    <w:nsid w:val="5C482A97"/>
    <w:multiLevelType w:val="hybridMultilevel"/>
    <w:lvl w:ilvl="0">
      <w:lvlJc w:val="left"/>
      <w:lvlText w:val="%1."/>
      <w:numFmt w:val="decimal"/>
      <w:start w:val="4"/>
    </w:lvl>
    <w:lvl w:ilvl="1">
      <w:lvlJc w:val="left"/>
      <w:lvlText w:val="(%2)"/>
      <w:numFmt w:val="lowerLetter"/>
      <w:start w:val="1"/>
    </w:lvl>
  </w:abstractNum>
  <w:abstractNum w:abstractNumId="35">
    <w:nsid w:val="2463B9EA"/>
    <w:multiLevelType w:val="hybridMultilevel"/>
    <w:lvl w:ilvl="0">
      <w:lvlJc w:val="left"/>
      <w:lvlText w:val="(%1)"/>
      <w:numFmt w:val="lowerLetter"/>
      <w:start w:val="6"/>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45" Type="http://schemas.openxmlformats.org/officeDocument/2006/relationships/hyperlink" Target="http://www.sec.gov/ix?doc=/Archives/edgar/data/1012019/000143774922004355/rusha20211231_10k.htm" TargetMode="External"/><Relationship Id="rId89" Type="http://schemas.openxmlformats.org/officeDocument/2006/relationships/hyperlink" Target="http://www.sec.gov/Archives/edgar/data/1012019/000110465908051789/a08-18770_1ex3d1.htm" TargetMode="External"/><Relationship Id="rId90" Type="http://schemas.openxmlformats.org/officeDocument/2006/relationships/hyperlink" Target="http://www.sec.gov/Archives/edgar/data/1012019/000143774913006455/rusha20130517_8kex3-1.htm" TargetMode="External"/><Relationship Id="rId91" Type="http://schemas.openxmlformats.org/officeDocument/2006/relationships/hyperlink" Target="http://www.sec.gov/ix?doc=/Archives/edgar/data/1012019/000143774921013172/rusha20210524_8k.htm" TargetMode="External"/><Relationship Id="rId92" Type="http://schemas.openxmlformats.org/officeDocument/2006/relationships/hyperlink" Target="http://www.sec.gov/Archives/edgar/data/1012019/0000950129-96-000812-index.html" TargetMode="External"/><Relationship Id="rId93" Type="http://schemas.openxmlformats.org/officeDocument/2006/relationships/hyperlink" Target="http://www.sec.gov/Archives/edgar/data/1012019/000091205702026743/a2083861zex-4_1.htm" TargetMode="External"/><Relationship Id="rId94" Type="http://schemas.openxmlformats.org/officeDocument/2006/relationships/hyperlink" Target="http://www.sec.gov/Archives/edgar/data/1012019/000143774920003589/ex_174053.htm" TargetMode="External"/><Relationship Id="rId95" Type="http://schemas.openxmlformats.org/officeDocument/2006/relationships/hyperlink" Target="http://www.sec.gov/Archives/edgar/data/1012019/000143774912013051/ex10-2.htm" TargetMode="External"/><Relationship Id="rId96" Type="http://schemas.openxmlformats.org/officeDocument/2006/relationships/hyperlink" Target="http://www.sec.gov/Archives/edgar/data/1012019/000143774912013051/ex10-3.htm" TargetMode="External"/><Relationship Id="rId97" Type="http://schemas.openxmlformats.org/officeDocument/2006/relationships/hyperlink" Target="http://www.sec.gov/Archives/edgar/data/1012019/000143774920011025/ex_186990.htm" TargetMode="External"/><Relationship Id="rId98" Type="http://schemas.openxmlformats.org/officeDocument/2006/relationships/hyperlink" Target="http://www.sec.gov/ix?doc=/Archives/edgar/data/1012019/000143774921003645/rusha20210222_8k.htm" TargetMode="External"/><Relationship Id="rId99" Type="http://schemas.openxmlformats.org/officeDocument/2006/relationships/hyperlink" Target="http://www.sec.gov/Archives/edgar/data/1012019/000095012311024520/c13928exv10w10.htm" TargetMode="External"/><Relationship Id="rId100" Type="http://schemas.openxmlformats.org/officeDocument/2006/relationships/hyperlink" Target="http://www.sec.gov/Archives/edgar/data/1012019/000110465906073551/a06-23617_2ex4d4.htm" TargetMode="External"/><Relationship Id="rId101" Type="http://schemas.openxmlformats.org/officeDocument/2006/relationships/hyperlink" Target="http://www.sec.gov/Archives/edgar/data/1012019/000143774912008036/ex10-1.htm" TargetMode="External"/><Relationship Id="rId102" Type="http://schemas.openxmlformats.org/officeDocument/2006/relationships/hyperlink" Target="http://www.sec.gov/Archives/edgar/data/1012019/000143774920011025/ex_186989.htm" TargetMode="External"/><Relationship Id="rId103" Type="http://schemas.openxmlformats.org/officeDocument/2006/relationships/hyperlink" Target="http://www.sec.gov/Archives/edgar/data/1012019/000119312512114188/d315042dex101.htm" TargetMode="External"/><Relationship Id="rId104" Type="http://schemas.openxmlformats.org/officeDocument/2006/relationships/hyperlink" Target="http://www.sec.gov/Archives/edgar/data/1012019/000110465907055737/a07-20147_1ex4d4.htm" TargetMode="External"/><Relationship Id="rId105" Type="http://schemas.openxmlformats.org/officeDocument/2006/relationships/hyperlink" Target="http://www.sec.gov/Archives/edgar/data/1012019/000143774919004483/ex_137075.htm" TargetMode="External"/><Relationship Id="rId106" Type="http://schemas.openxmlformats.org/officeDocument/2006/relationships/hyperlink" Target="http://www.sec.gov/Archives/edgar/data/1012019/000143774919004483/ex_137076.htm" TargetMode="External"/><Relationship Id="rId107" Type="http://schemas.openxmlformats.org/officeDocument/2006/relationships/hyperlink" Target="http://www.sec.gov/Archives/edgar/data/0001012019/000143774921013172/ex_252721.htm" TargetMode="External"/><Relationship Id="rId108" Type="http://schemas.openxmlformats.org/officeDocument/2006/relationships/hyperlink" Target="http://www.sec.gov/Archives/edgar/data/1012019/000143774915000385/ex10-1.htm" TargetMode="External"/><Relationship Id="rId109" Type="http://schemas.openxmlformats.org/officeDocument/2006/relationships/hyperlink" Target="http://www.sec.gov/Archives/edgar/data/1012019/000110465908047652/a08-20031_1ex10d1.htm" TargetMode="External"/><Relationship Id="rId110" Type="http://schemas.openxmlformats.org/officeDocument/2006/relationships/hyperlink" Target="http://www.sec.gov/Archives/edgar/data/1012019/000095013400002832/0000950134-00-002832.txt" TargetMode="External"/><Relationship Id="rId111" Type="http://schemas.openxmlformats.org/officeDocument/2006/relationships/hyperlink" Target="http://www.sec.gov/Archives/edgar/data/1012019/000143774912013051/ex10-1.htm" TargetMode="External"/><Relationship Id="rId112" Type="http://schemas.openxmlformats.org/officeDocument/2006/relationships/hyperlink" Target="http://www.sec.gov/Archives/edgar/data/1012019/000095012311001052/c10658exv10w2.htm" TargetMode="External"/><Relationship Id="rId113" Type="http://schemas.openxmlformats.org/officeDocument/2006/relationships/hyperlink" Target="http://www.sec.gov/Archives/edgar/data/1012019/000143774919008424/ex_142494.htm" TargetMode="External"/><Relationship Id="rId114" Type="http://schemas.openxmlformats.org/officeDocument/2006/relationships/hyperlink" Target="http://www.sec.gov/Archives/edgar/data/1012019/000143774921022435/ex_285039.htm" TargetMode="External"/><Relationship Id="rId115" Type="http://schemas.openxmlformats.org/officeDocument/2006/relationships/hyperlink" Target="http://www.sec.gov/Archives/edgar/data/1012019/000143774921022435/ex_285040.htm" TargetMode="External"/><Relationship Id="rId116" Type="http://schemas.openxmlformats.org/officeDocument/2006/relationships/hyperlink" Target="http://www.sec.gov/Archives/edgar/data/1012019/000143774922028345/ex_452566.htm" TargetMode="External"/><Relationship Id="rId117" Type="http://schemas.openxmlformats.org/officeDocument/2006/relationships/hyperlink" Target="http://www.sec.gov/Archives/edgar/data/1012019/000143774921022435/ex_285041.htm" TargetMode="External"/><Relationship Id="rId118" Type="http://schemas.openxmlformats.org/officeDocument/2006/relationships/hyperlink" Target="http://www.sec.gov/Archives/edgar/data/1012019/000143774921022435/ex_285042.htm" TargetMode="External"/><Relationship Id="rId119" Type="http://schemas.openxmlformats.org/officeDocument/2006/relationships/hyperlink" Target="http://www.sec.gov/Archives/edgar/data/1012019/000143774921023441/ex_289969.htm" TargetMode="External"/><Relationship Id="rId120" Type="http://schemas.openxmlformats.org/officeDocument/2006/relationships/hyperlink" Target="http://www.sec.gov/Archives/edgar/data/1012019/000143774921023441/ex_289970.htm" TargetMode="External"/><Relationship Id="rId121" Type="http://schemas.openxmlformats.org/officeDocument/2006/relationships/hyperlink" Target="http://www.sec.gov/Archives/edgar/data/1012019/000143774921023441/ex_290053.htm" TargetMode="External"/><Relationship Id="rId122" Type="http://schemas.openxmlformats.org/officeDocument/2006/relationships/hyperlink" Target="http://www.sec.gov/Archives/edgar/data/1012019/000143774922014419/ex_384030.htm" TargetMode="External"/><Relationship Id="rId123" Type="http://schemas.openxmlformats.org/officeDocument/2006/relationships/hyperlink" Target="http://www.sec.gov/Archives/edgar/data/1012019/000143774922017535/ex_397875.htm" TargetMode="External"/><Relationship Id="rId124" Type="http://schemas.openxmlformats.org/officeDocument/2006/relationships/hyperlink" Target="http://www.sec.gov/Archives/edgar/data/1012019/000143774922017535/ex_3978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2023-02-23T15:48:40Z</dcterms:created>
  <dcterms:modified xsi:type="dcterms:W3CDTF">2023-02-23T15:48:40Z</dcterms:modified>
</cp:coreProperties>
</file>