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080" w:right="200" w:hanging="748"/>
        <w:spacing w:after="0" w:line="237" w:lineRule="auto"/>
        <w:tabs>
          <w:tab w:leader="none" w:pos="10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left="10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25"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080" w:right="220" w:hanging="748"/>
        <w:spacing w:after="0" w:line="256" w:lineRule="auto"/>
        <w:tabs>
          <w:tab w:leader="none" w:pos="10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RUSH ENTERPRISES,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33" w:right="199" w:bottom="0" w:gutter="0" w:footer="0" w:header="0"/>
        </w:sectPr>
      </w:pPr>
    </w:p>
    <w:p>
      <w:pPr>
        <w:spacing w:after="0" w:line="205"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40"/>
          </w:cols>
          <w:pgMar w:left="240" w:top="233"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233" w:right="199" w:bottom="0" w:gutter="0" w:footer="0" w:header="0"/>
          <w:type w:val="continuous"/>
        </w:sectPr>
      </w:pP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170"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80"/>
          </w:cols>
          <w:pgMar w:left="240" w:top="233" w:right="19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3, 2009.</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Title of Class</w:t>
            </w:r>
          </w:p>
        </w:tc>
        <w:tc>
          <w:tcPr>
            <w:tcW w:w="5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Class A Common Stock, $.01 Par Value</w:t>
            </w: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26,377,848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Class B Common Stock, $.01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10,685,894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ectPr>
          <w:pgSz w:w="11900" w:h="16838"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8080" w:type="dxa"/>
            <w:vAlign w:val="bottom"/>
            <w:gridSpan w:val="2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496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 June 30, 2009 (unaudited) and December 31, 2008</w:t>
              </w:r>
            </w:hyperlink>
          </w:p>
        </w:tc>
        <w:tc>
          <w:tcPr>
            <w:tcW w:w="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6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 For the Three Months and Six Months Ended June 30, 2009 and 2008 (unaudited)</w:t>
              </w:r>
            </w:hyperlink>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40" w:type="dxa"/>
            <w:vAlign w:val="bottom"/>
            <w:gridSpan w:val="25"/>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Cash Flows - For the Six Months Ended June 30, 2009 and 2008 (unaudited)</w:t>
              </w:r>
            </w:hyperlink>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Consolidated Financial Statements (unaudited)</w:t>
              </w:r>
            </w:hyperlink>
          </w:p>
        </w:tc>
        <w:tc>
          <w:tcPr>
            <w:tcW w:w="2440" w:type="dxa"/>
            <w:vAlign w:val="bottom"/>
            <w:tcBorders>
              <w:top w:val="single" w:sz="8" w:color="0000EE"/>
            </w:tcBorders>
            <w:gridSpan w:val="7"/>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w:t>
              </w:r>
            </w:hyperlink>
          </w:p>
        </w:tc>
        <w:tc>
          <w:tcPr>
            <w:tcW w:w="6460" w:type="dxa"/>
            <w:vAlign w:val="bottom"/>
            <w:gridSpan w:val="20"/>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Management’s Discussion and Analysis of Financial Condition and Results of Operations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64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4.</w:t>
              </w:r>
            </w:hyperlink>
          </w:p>
        </w:tc>
        <w:tc>
          <w:tcPr>
            <w:tcW w:w="420" w:type="dxa"/>
            <w:vAlign w:val="bottom"/>
            <w:gridSpan w:val="2"/>
          </w:tcPr>
          <w:p>
            <w:pPr>
              <w:spacing w:after="0"/>
              <w:rPr>
                <w:sz w:val="24"/>
                <w:szCs w:val="24"/>
                <w:color w:val="auto"/>
              </w:rPr>
            </w:pPr>
          </w:p>
        </w:tc>
        <w:tc>
          <w:tcPr>
            <w:tcW w:w="64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80" w:type="dxa"/>
            <w:vAlign w:val="bottom"/>
            <w:gridSpan w:val="2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1.</w:t>
              </w:r>
            </w:hyperlink>
          </w:p>
        </w:tc>
        <w:tc>
          <w:tcPr>
            <w:tcW w:w="420" w:type="dxa"/>
            <w:vAlign w:val="bottom"/>
            <w:gridSpan w:val="2"/>
          </w:tcPr>
          <w:p>
            <w:pPr>
              <w:spacing w:after="0"/>
              <w:rPr>
                <w:sz w:val="24"/>
                <w:szCs w:val="24"/>
                <w:color w:val="auto"/>
              </w:rPr>
            </w:pPr>
          </w:p>
        </w:tc>
        <w:tc>
          <w:tcPr>
            <w:tcW w:w="646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Item 1A.</w:t>
              </w:r>
            </w:hyperlink>
          </w:p>
        </w:tc>
        <w:tc>
          <w:tcPr>
            <w:tcW w:w="340" w:type="dxa"/>
            <w:vAlign w:val="bottom"/>
          </w:tcPr>
          <w:p>
            <w:pPr>
              <w:spacing w:after="0"/>
              <w:rPr>
                <w:sz w:val="24"/>
                <w:szCs w:val="24"/>
                <w:color w:val="auto"/>
              </w:rPr>
            </w:pPr>
          </w:p>
        </w:tc>
        <w:tc>
          <w:tcPr>
            <w:tcW w:w="6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340" w:type="dxa"/>
            <w:vAlign w:val="bottom"/>
          </w:tcPr>
          <w:p>
            <w:pPr>
              <w:spacing w:after="0"/>
              <w:rPr>
                <w:sz w:val="24"/>
                <w:szCs w:val="24"/>
                <w:color w:val="auto"/>
              </w:rPr>
            </w:pPr>
          </w:p>
        </w:tc>
        <w:tc>
          <w:tcPr>
            <w:tcW w:w="6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6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420" w:type="dxa"/>
            <w:vAlign w:val="bottom"/>
            <w:gridSpan w:val="2"/>
          </w:tcPr>
          <w:p>
            <w:pPr>
              <w:spacing w:after="0"/>
              <w:rPr>
                <w:sz w:val="24"/>
                <w:szCs w:val="24"/>
                <w:color w:val="auto"/>
              </w:rPr>
            </w:pPr>
          </w:p>
        </w:tc>
        <w:tc>
          <w:tcPr>
            <w:tcW w:w="64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5.</w:t>
              </w:r>
            </w:hyperlink>
          </w:p>
        </w:tc>
        <w:tc>
          <w:tcPr>
            <w:tcW w:w="420" w:type="dxa"/>
            <w:vAlign w:val="bottom"/>
            <w:gridSpan w:val="2"/>
          </w:tcPr>
          <w:p>
            <w:pPr>
              <w:spacing w:after="0"/>
              <w:rPr>
                <w:sz w:val="24"/>
                <w:szCs w:val="24"/>
                <w:color w:val="auto"/>
              </w:rPr>
            </w:pPr>
          </w:p>
        </w:tc>
        <w:tc>
          <w:tcPr>
            <w:tcW w:w="3760" w:type="dxa"/>
            <w:vAlign w:val="bottom"/>
            <w:tcBorders>
              <w:top w:val="single" w:sz="8" w:color="0000EE"/>
            </w:tcBorders>
            <w:gridSpan w:val="1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270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20" w:type="dxa"/>
            <w:vAlign w:val="bottom"/>
            <w:tcBorders>
              <w:top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24"/>
                <w:szCs w:val="24"/>
                <w:color w:val="auto"/>
              </w:rPr>
            </w:pPr>
          </w:p>
        </w:tc>
        <w:tc>
          <w:tcPr>
            <w:tcW w:w="5140" w:type="dxa"/>
            <w:vAlign w:val="bottom"/>
            <w:gridSpan w:val="16"/>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620" w:type="dxa"/>
            <w:vAlign w:val="bottom"/>
            <w:gridSpan w:val="8"/>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14"/>
          </w:tcPr>
          <w:p>
            <w:pPr>
              <w:jc w:val="center"/>
              <w:ind w:left="379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62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80" w:type="dxa"/>
            <w:vAlign w:val="bottom"/>
            <w:gridSpan w:val="28"/>
          </w:tcPr>
          <w:p>
            <w:pP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8"/>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gridSpan w:val="10"/>
          </w:tcPr>
          <w:p>
            <w:pPr>
              <w:jc w:val="center"/>
              <w:ind w:right="700"/>
              <w:spacing w:after="0" w:line="196" w:lineRule="exact"/>
              <w:rPr>
                <w:sz w:val="20"/>
                <w:szCs w:val="20"/>
                <w:color w:val="auto"/>
              </w:rPr>
            </w:pPr>
            <w:r>
              <w:rPr>
                <w:rFonts w:ascii="Arial" w:cs="Arial" w:eastAsia="Arial" w:hAnsi="Arial"/>
                <w:sz w:val="18"/>
                <w:szCs w:val="18"/>
                <w:b w:val="1"/>
                <w:bCs w:val="1"/>
                <w:color w:val="auto"/>
                <w:w w:val="95"/>
              </w:rPr>
              <w:t>JUNE 30, 2009 AND DECEMBER 31, 2008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700" w:type="dxa"/>
            <w:vAlign w:val="bottom"/>
            <w:gridSpan w:val="3"/>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234"/>
              <w:spacing w:after="0"/>
              <w:rPr>
                <w:sz w:val="20"/>
                <w:szCs w:val="20"/>
                <w:color w:val="auto"/>
              </w:rPr>
            </w:pPr>
            <w:r>
              <w:rPr>
                <w:rFonts w:ascii="Arial" w:cs="Arial" w:eastAsia="Arial" w:hAnsi="Arial"/>
                <w:sz w:val="14"/>
                <w:szCs w:val="14"/>
                <w:b w:val="1"/>
                <w:bCs w:val="1"/>
                <w:color w:val="auto"/>
                <w:w w:val="96"/>
              </w:rPr>
              <w:t>2009</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120,951</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7,575</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49,098</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298,031</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362,234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7"/>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2,350</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7"/>
          </w:tcPr>
          <w:p>
            <w:pPr>
              <w:ind w:left="16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9,495</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7"/>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487,500</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581,593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left w:val="single" w:sz="8" w:color="CCEEFF"/>
            </w:tcBorders>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7"/>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335,832</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332,147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7"/>
          </w:tcPr>
          <w:p>
            <w:pPr>
              <w:spacing w:after="0"/>
              <w:rPr>
                <w:sz w:val="20"/>
                <w:szCs w:val="20"/>
                <w:color w:val="auto"/>
              </w:rPr>
            </w:pPr>
            <w:r>
              <w:rPr>
                <w:rFonts w:ascii="Arial" w:cs="Arial" w:eastAsia="Arial" w:hAnsi="Arial"/>
                <w:sz w:val="18"/>
                <w:szCs w:val="18"/>
                <w:color w:val="auto"/>
              </w:rPr>
              <w:t>Goodwill, net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141,066</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141,904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7"/>
          </w:tcPr>
          <w:p>
            <w:pPr>
              <w:spacing w:after="0"/>
              <w:rPr>
                <w:sz w:val="20"/>
                <w:szCs w:val="20"/>
                <w:color w:val="auto"/>
              </w:rPr>
            </w:pPr>
            <w:r>
              <w:rPr>
                <w:rFonts w:ascii="Arial" w:cs="Arial" w:eastAsia="Arial" w:hAnsi="Arial"/>
                <w:sz w:val="18"/>
                <w:szCs w:val="18"/>
                <w:color w:val="auto"/>
              </w:rPr>
              <w:t>Other assets, net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1,080</w:t>
            </w:r>
          </w:p>
        </w:tc>
        <w:tc>
          <w:tcPr>
            <w:tcW w:w="5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1600" w:type="dxa"/>
            <w:vAlign w:val="bottom"/>
            <w:gridSpan w:val="7"/>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965,478</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1,056,790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gridSpan w:val="27"/>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80" w:type="dxa"/>
            <w:vAlign w:val="bottom"/>
            <w:tcBorders>
              <w:top w:val="single" w:sz="8" w:color="auto"/>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340" w:type="dxa"/>
            <w:vAlign w:val="bottom"/>
            <w:tcBorders>
              <w:top w:val="single" w:sz="8" w:color="auto"/>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-4857115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-4857115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218,680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4,092</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23,424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37,457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151,902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14,751</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51,357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160"/>
              <w:spacing w:after="0" w:line="201" w:lineRule="exact"/>
              <w:rPr>
                <w:sz w:val="20"/>
                <w:szCs w:val="20"/>
                <w:color w:val="auto"/>
              </w:rPr>
            </w:pPr>
            <w:r>
              <w:rPr>
                <w:rFonts w:ascii="Arial" w:cs="Arial" w:eastAsia="Arial" w:hAnsi="Arial"/>
                <w:sz w:val="18"/>
                <w:szCs w:val="18"/>
                <w:color w:val="auto"/>
                <w:w w:val="93"/>
              </w:rPr>
              <w:t>Preferred stock, par value $.01 per share; 1,000,000 shares authorized; 0 shares outstanding in 2009 and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60,000,000 class A shares and 20,000,000 class B shares</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authorized; 26,526,474 class A shares and 12,325,737 class B shares issued and 26,377,848 class A</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shares and 10,685,894 class B shares outstanding in 2009; 26,327,734 class A shares and 12,324,987</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class B shares issued and 26,255,974 class A shares and 10,685,144 class B shares outstanding in 2008</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186,888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183,818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1,639,843 shares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(17,948)</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251,127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249,785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420,454</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416,041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965,478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1,056,790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187,154</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297,237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383,142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211,930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18,960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12,484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13,236</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26,712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3,983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312,128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454,718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641,214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179,846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281,305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362,673</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62,775</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129,224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17,192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11,382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380,305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526,796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52,718</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50,378</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102,429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(2,473)</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(3,958)</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(2,437)</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5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6,067</w:t>
            </w:r>
          </w:p>
        </w:tc>
        <w:tc>
          <w:tcPr>
            <w:tcW w:w="6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earnings per common share: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37,039</w:t>
            </w:r>
          </w:p>
        </w:tc>
        <w:tc>
          <w:tcPr>
            <w:tcW w:w="5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38,458</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37,015</w:t>
            </w:r>
          </w:p>
        </w:tc>
        <w:tc>
          <w:tcPr>
            <w:tcW w:w="4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37,389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Six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1,342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20,824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(benefit) for deferred income tax expense</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70,308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(8,106)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Purchase of investments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investments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(23,513)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(64,022)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(20,550)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(80,079)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(25,460)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146,411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120,951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158,123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taxes, net of refunds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60"/>
              <w:spacing w:after="0"/>
              <w:rPr>
                <w:sz w:val="20"/>
                <w:szCs w:val="20"/>
                <w:color w:val="auto"/>
              </w:rPr>
            </w:pPr>
            <w:r>
              <w:rPr>
                <w:rFonts w:ascii="Arial" w:cs="Arial" w:eastAsia="Arial" w:hAnsi="Arial"/>
                <w:sz w:val="18"/>
                <w:szCs w:val="18"/>
                <w:color w:val="auto"/>
              </w:rPr>
              <w:t>Noncash operating activities:</w:t>
            </w: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80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4" w:name="page5"/>
    <w:bookmarkEnd w:id="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 (See Note 11)</w:t>
            </w:r>
          </w:p>
        </w:tc>
        <w:tc>
          <w:tcPr>
            <w:tcW w:w="3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Noncash investing activities:</w:t>
            </w:r>
          </w:p>
        </w:tc>
        <w:tc>
          <w:tcPr>
            <w:tcW w:w="2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60" w:type="dxa"/>
            <w:vAlign w:val="bottom"/>
            <w:vMerge w:val="continue"/>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acquired under capital leases</w:t>
            </w:r>
          </w:p>
        </w:tc>
        <w:tc>
          <w:tcPr>
            <w:tcW w:w="3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(“GAAP”)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2008. Results of operations for interim periods are not necessarily indicative of results that may be expected for any other interim periods or the full fiscal year.</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reviewed and evaluated events and transactions which have occurred subsequent to June 30, 2009 through August 10, 2009, the date of issuance of these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however, an interim evaluation of goodwill was required during the second quarter of 2009 due to General Motors’ decision to terminate production of medium-duty GMC trucks, which resulted in the winding-down of the Company’s medium-duty GMC truck franchises.</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goodwill allocation was based on the relative fair values of the medium-duty GMC truck franchises and the portion of the Company’s Truck Segment remaining. The Company’s Truck Segment recorded a non-cash charge of $0.8 million related to the impairment of the goodwill of its medium-duty GMC truck franchises. See Note 11 for further discussion of the wind-down of the Company’s medium-duty GMC truck franchise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For those finance contracts sold with recourse, the liability associated with a majority of such contracts is generally limited to 5% to 20% of the outstanding amount of each note initiated on behalf of the finance company. 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w:t>
      </w:r>
    </w:p>
    <w:p>
      <w:pPr>
        <w:spacing w:after="0" w:line="18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ind w:left="160"/>
              <w:spacing w:after="0" w:line="201" w:lineRule="exact"/>
              <w:rPr>
                <w:sz w:val="20"/>
                <w:szCs w:val="20"/>
                <w:color w:val="auto"/>
              </w:rPr>
            </w:pPr>
            <w:r>
              <w:rPr>
                <w:rFonts w:ascii="Arial" w:cs="Arial" w:eastAsia="Arial" w:hAnsi="Arial"/>
                <w:sz w:val="18"/>
                <w:szCs w:val="18"/>
                <w:color w:val="auto"/>
              </w:rPr>
              <w:t>Numerator for basic and diluted earnings per share, net (loss)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income available to common shareholders</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(1,521,000)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6,067,000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1,342,000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15,742,000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Denominator for basic earnings per share, adjusted weighted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shares outstanding</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37,038,835</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38,457,698</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37,015,257</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Employee and director stock options and restricted share awards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513,663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4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w w:val="97"/>
              </w:rPr>
              <w:t>Denominator for diluted earnings per share, adjusted weighted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37,038,835</w:t>
            </w: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38,971,361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37,389,441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38,950,824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average shares outstanding and assumed conversions</w:t>
            </w:r>
          </w:p>
        </w:tc>
        <w:tc>
          <w:tcPr>
            <w:tcW w:w="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Diluted (loss) earnings per common share and common share</w:t>
            </w: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40" w:type="dxa"/>
            <w:vAlign w:val="bottom"/>
            <w:vMerge w:val="continue"/>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66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three months and six months ended June 30, 2009 and 2008 that were not included in the computation of diluted earnings per share because the effect would have been anti-dilutive are as follows: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9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6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Options in the money and non-vested restricted share awards</w:t>
            </w:r>
          </w:p>
        </w:tc>
        <w:tc>
          <w:tcPr>
            <w:tcW w:w="11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72"/>
              </w:rPr>
              <w:t>1,910,291(1)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options</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7"/>
              </w:rPr>
              <w:t>1,572,231</w:t>
            </w:r>
          </w:p>
        </w:tc>
        <w:tc>
          <w:tcPr>
            <w:tcW w:w="3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554,365</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1,961,028</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554,365</w:t>
            </w:r>
          </w:p>
        </w:tc>
        <w:tc>
          <w:tcPr>
            <w:tcW w:w="120" w:type="dxa"/>
            <w:vAlign w:val="bottom"/>
            <w:tcBorders>
              <w:bottom w:val="single" w:sz="8" w:color="CCEEFF"/>
            </w:tcBorders>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1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7"/>
              </w:rPr>
              <w:t>3,482,522</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554,365</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1,961,028</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554,365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right="20" w:hanging="324"/>
        <w:spacing w:after="0" w:line="264" w:lineRule="auto"/>
        <w:tabs>
          <w:tab w:leader="none" w:pos="10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cannot include potentially dilutive common shares in the computation of any diluted per-share amount when a loss from continuing operations exists. If the Company had not recorded a loss from continuing operations in the second quarter of 2009, 505,322 dilutive shares would have been included in diluted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stock-based compensation in accordance with Statement of Financial Accounting Standards No. 123 (revised 2004),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“Share-Based Payment,” (“SFAS 123(R)”), which requires the measurement and recognition of compensation expense for all share-based payment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made to the Company’s employees and directors including employee stock options, restricted share awards and employee stock purchases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 based on estimated fair values. During the three months ended June 30, 2009, the Company granted restricted stock awards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as authorized by the Rush Enterprises, Inc. Amended and Restated 2006 Non-Employee Director Stock Plan.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calculated using the Black-Scholes option-pricing model and included in selling, general and administrative expense, was $1.2 million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2009, and $1.2 million for the three months ended June 30, 2008. Stock-based compensation expense, included in selling, general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 for the six months ended June 30, 2009, was $2.5 million and for the six months ended June 30, 2008, was $2.4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2009, there was $5.0 million of total unrecognized compensation cost related to non-vested share-based compensation arrangements to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a weighted-average period of 3.1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Investments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believes that its auction rate securities will liquidate within the next twelve months and has classified them as a current asset on its consolidated balance sheet.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2009, the Company holds $7.6 million of auction rate securities with underlying tax-exempt municipal bonds with stated maturities of 22 years. These bonds have credit wrap insurance and a credit rating of A by Standard &amp; Poor’s.</w:t>
      </w:r>
    </w:p>
    <w:p>
      <w:pPr>
        <w:spacing w:after="0" w:line="17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The Company believes that the credit quality and fair value of the auction rate securities it holds has not been negatively impacted; therefore, no impairment charges have been recorded as of June 30, 2009. As of June 30, 2009,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SFAS No. 157, “Fair Value Measurement.” If the credit quality of these investments deteriorates, or adverse developments occur in the bond insurance market, the Company may be required to record an impairment charge on these investments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Inventory</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New and used truck and equipment inventory is reviewed quarterly and, if necessary, the Company makes adjustments to the value of specific units. The Company recorded a used truck inventory write-down of $5.4 million during the quarter ended June 30, 2008 and $1.1 million during the quarter ended</w:t>
      </w:r>
    </w:p>
    <w:p>
      <w:pPr>
        <w:sectPr>
          <w:pgSz w:w="11900" w:h="16838" w:orient="portrait"/>
          <w:cols w:equalWidth="0" w:num="1">
            <w:col w:w="11420"/>
          </w:cols>
          <w:pgMar w:left="240" w:top="125" w:right="239" w:bottom="0" w:gutter="0" w:footer="0" w:header="0"/>
        </w:sectPr>
      </w:pPr>
    </w:p>
    <w:bookmarkStart w:id="6" w:name="page7"/>
    <w:bookmarkEnd w:id="6"/>
    <w:p>
      <w:pPr>
        <w:ind w:right="460"/>
        <w:spacing w:after="0" w:line="277" w:lineRule="auto"/>
        <w:rPr>
          <w:sz w:val="20"/>
          <w:szCs w:val="20"/>
          <w:color w:val="auto"/>
        </w:rPr>
      </w:pPr>
      <w:r>
        <w:rPr>
          <w:rFonts w:ascii="Arial" w:cs="Arial" w:eastAsia="Arial" w:hAnsi="Arial"/>
          <w:sz w:val="18"/>
          <w:szCs w:val="18"/>
          <w:color w:val="auto"/>
        </w:rPr>
        <w:t>June 30, 2009, which was recorded as a charge to cost of goods sold. On both occasions, the Company adjusted its used truck inventory to its estimated market value, which it considers to be the net realizable value plus a reasonable profit percentage.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quarter ended June 30, 2009, the Company recorded a net inventory write-down of $3.4 million on new medium-duty GMC trucks and a net write-down of $0.6 million on its GMC parts inventory due to General Motors’ decision to discontinue manufacturing GMC medium-duty trucks and to wind-down the Company’s medium-duty GMC truck franchise agreements. See Note 11 for further discussion of the wind-down of the Company’s medium-duty GMC truck franchise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June 30, 2009 and 2008.</w:t>
      </w:r>
    </w:p>
    <w:p>
      <w:pPr>
        <w:spacing w:after="0" w:line="170"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June 30, 2009 and 2008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Truck</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Equipment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Segment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298,266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907,990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611,510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Three months ended June 30, 2008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425,165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24,651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Segment assets</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989,906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27,874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28,247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1,046,027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i w:val="1"/>
                <w:iCs w:val="1"/>
                <w:color w:val="auto"/>
              </w:rPr>
              <w:t>Six months ended June 30, 2008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802,298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47,069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9,209</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22,183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Income Taxes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accrued unrecognized income tax benefits totaling $1.9 million as a component of accrued liabilities as of June 30, 2009 and December 31, 2008. The unrecognized tax benefits of $1.9 million at June 30, 2009, if recognized, would impact the Company’s effective tax rate. Included in this $1.9 million accrual is accrued interest of $185,000 related to unrecognized tax benefits. No amounts were accrued for penalties.</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June 30, 2009, the tax years ended December 31, 2005, through 2008 remained subject to examination by tax authorities. The U.S. Internal Revenue Service is currently examining the Company’s federal income tax return for the tax year 2005.</w:t>
      </w:r>
    </w:p>
    <w:p>
      <w:pPr>
        <w:spacing w:after="0" w:line="181"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Prior to the application of alternative fuel vehicle tax credits, the Company provided for taxes at a 39.0% rate in the second quarter of 2009, compared to a rate of 37.5% in the second quarter of 2008. The tax rate in the second quarter of 2009 was offset $0.9 million by tax credits for sales of alternative fuel vehicles to tax-exempt entities. For the remainder of 2009, the Company expects to provide for taxes at a rate of 39.0% prior to the application of alternative fuel vehicle tax</w:t>
      </w:r>
    </w:p>
    <w:p>
      <w:pPr>
        <w:sectPr>
          <w:pgSz w:w="11900" w:h="16838" w:orient="portrait"/>
          <w:cols w:equalWidth="0" w:num="1">
            <w:col w:w="11420"/>
          </w:cols>
          <w:pgMar w:left="240" w:top="125" w:right="239" w:bottom="0" w:gutter="0" w:footer="0" w:header="0"/>
        </w:sectPr>
      </w:pPr>
    </w:p>
    <w:bookmarkStart w:id="7" w:name="page8"/>
    <w:bookmarkEnd w:id="7"/>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credits. As a result, the Company’s effective tax rate may vary significantly depending on the number of alternative fuel vehicles sold to tax-exempt entities in any given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methods and assumptions were used by the Company in estimating the fair value of financial instruments at December 31, 2008: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of current assets and current liabilities approximates the fair value due to the short maturity of these items.</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Medium-Duty GMC Truck Franchises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This impairment charge resulted in a net charge to cost of sales of $4.0 million, a net charge to SG&amp;A expense of $0.1 million and a charge to amortization expense of $0.8 million. See Management’s Discussion and Analysis of Financial Condition and Results of Operations for additional detail related to the wind-down of the Company’s medium-duty GMC truck franchises.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 Recent Accounting Pronouncements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April 2009, the Financial Accounting Standards Board (“FASB”) issued FASB Staff Position FAS 141(R)-1, “Accounting for Assets Acquired and Liabilities Assumed in a Business Combination that Arise from Contingencies” (“FAS 141(R)-1”). FAS 141(R)-1 requires that assets acquired and liabilities assumed in a business combination that arise from contingencies be recognized at fair value, in accordance with FAS 157, “Fair Value Measurements,” if the fair value can be determined during the measurement period. If the fair value of a pre-acquisition contingency cannot be determined during the measurement period, FAS 141(R)-1 requires that the contingency be recognized at the acquisition date in accordance with FASB Statement No. 5, “Accounting for Contingencies,” and FASB Interpretation No. 14, “Reasonable Estimation of the Amount of a Loss,” if it meets the criteria for recognition in that guidance. FAS 141(R)-1 is effective for business combinations for which the acquisition date is on or after the beginning of the first annual reporting period beginning on or after December 15, 2008. The Company does not expect the adoption of SFAS 141(R)-1 to have a significant impact on its consolidated results of operations and financial position, but will impact any business combinations that close in the future.</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May 2009, the FASB issued Statement of Financial Accounting Standard No. 165 (“SFAS No. 165”), “Subsequent Events.” SFAS No. 165 establishes the standards of accounting for and disclosure of events that occur after the balance sheet date but before financial statements are issued. This Statement also requires the disclosure of the date through which subsequent events have been evaluated. The Company adopted this standard, as required, for the period ended June 30, 2009. Adoption of SFAS No. 165 did not have an impact on the Company’s consolidated financial statements.</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Effective April 1, 2009, the Company adopted FASB Staff Position FAS 107-1 and APB 28-1, “Interim Disclosures about Fair Value of Financial Instruments.” This FASB Staff Position extends the disclosure requirements under SFAS No. 107, “Disclosures about Fair Value of Financial Instruments,” to interim financial statements. It also amends APB Opinion No. 28, “Interim Financial Reporting” to require those disclosures in summarized financial information at interim reporting periods. This FASB Staff Position only requires additional disclosure and did not have an impact on the Company’s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2008 as well as future growth rates and margins for certain of our products and services, future demand for our products and services, risks associated with the current recession and its impact on capital markets and liquidity, competitive factors, general economic conditions, cyclicality, market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w:t>
      </w:r>
    </w:p>
    <w:p>
      <w:pPr>
        <w:sectPr>
          <w:pgSz w:w="11900" w:h="16931" w:orient="portrait"/>
          <w:cols w:equalWidth="0" w:num="1">
            <w:col w:w="11420"/>
          </w:cols>
          <w:pgMar w:left="240" w:top="125" w:right="239" w:bottom="0" w:gutter="0" w:footer="0" w:header="0"/>
        </w:sectPr>
      </w:pPr>
    </w:p>
    <w:bookmarkStart w:id="8" w:name="page9"/>
    <w:bookmarkEnd w:id="8"/>
    <w:p>
      <w:pPr>
        <w:spacing w:after="0" w:line="6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Nissan Diesel Motor Co., Ltd. Isuzu</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Caterpillar, Inc. Cummins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Cummins Engine Company, Inc. PacLease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 is a registered trademark of Eaton Corporation. Arvin Meritor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Meritor Technology, Inc.</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Case is a registered trademark of Case Corporation. Komatsu</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Kabushiki Kaisha Komatsu Seisakusho Corporation Japan. The CIT Group</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CIT Group Holdings, Inc. JPMorgan Chase</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JP Morgan Chase &amp; Co. SAP</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conducts business through numerous subsidiaries, all of which it wholly owns, directly or indirectly. Its principal offices are located at 555 IH 35 South, New Braunfels, Texas 78130.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sell vehicles manufactured by Peterbilt Motors Company (a division of PACCAR, Inc.), International, Volvo, GMC, Hino, UD, Ford, Isuzu and Blue Bird. The Company also operates two John Deere construction equipment dealerships at its Rush Equipment Centers in Southeast Texas. The newest construction equipment dealership opened in Rose City, Texas in July 2008. Through its strategically located network of Rush Truck Centers and its Rush Equipment Centers,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78"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50 Rush Truck Centers in Alabama, Arizona, California, Colorado, Florida, Georgia, New Mexico, North Carolina,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Centers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GAAP.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w:t>
      </w:r>
    </w:p>
    <w:p>
      <w:pPr>
        <w:spacing w:after="0" w:line="19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performs an annual impairment review of goodwill during the fourth quarter of each year or when events or circumstances indicate a change may have occurred. An interim evaluation of goodwill was required during the second quarter of 2009 due to General Motors’ decision to terminate</w:t>
      </w:r>
    </w:p>
    <w:p>
      <w:pPr>
        <w:sectPr>
          <w:pgSz w:w="11900" w:h="1690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production of medium-duty GMC trucks, which resulted in the winding-down of the Company’s medium-duty GMC truck franchises.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Income on the sale of a truck or a unit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maintenance plans are deferred as a component of accrued expenses and recognized as income when the maintenance is performed.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 Revenue is recognized by the Company upon the sale of such finance and insurance contracts to the finance and insurance companies net of a provision for estimated repossession losses and interest charge-backs on finance contracts.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charge-back exposure is based on the Company’s historical charge-back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follows FASB Interpretation No. 48, “Accounting for Uncertainty in Income Taxes — an interpretation of FASB Statement No. 109,” which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applies the provisions of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2009 and 2008.</w:t>
      </w:r>
    </w:p>
    <w:p>
      <w:pPr>
        <w:sectPr>
          <w:pgSz w:w="11900" w:h="16838" w:orient="portrait"/>
          <w:cols w:equalWidth="0" w:num="1">
            <w:col w:w="11420"/>
          </w:cols>
          <w:pgMar w:left="240" w:top="125" w:right="239" w:bottom="0" w:gutter="0" w:footer="0" w:header="0"/>
        </w:sectPr>
      </w:pPr>
    </w:p>
    <w:bookmarkStart w:id="10" w:name="page11"/>
    <w:bookmarkEnd w:id="10"/>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4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Parts and service</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32.9</w:t>
            </w: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33.0</w:t>
            </w: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83.1</w:t>
            </w: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83.6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16.1</w:t>
            </w: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13.0</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millions):</w:t>
      </w:r>
    </w:p>
    <w:p>
      <w:pPr>
        <w:spacing w:after="0" w:line="15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New heavy-duty trucks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ind w:left="160"/>
              <w:spacing w:after="0"/>
              <w:rPr>
                <w:sz w:val="20"/>
                <w:szCs w:val="20"/>
                <w:color w:val="auto"/>
              </w:rPr>
            </w:pPr>
            <w:r>
              <w:rPr>
                <w:rFonts w:ascii="Arial" w:cs="Arial" w:eastAsia="Arial" w:hAnsi="Arial"/>
                <w:sz w:val="18"/>
                <w:szCs w:val="18"/>
                <w:color w:val="auto"/>
              </w:rPr>
              <w:t>Total new truck unit sales</w:t>
            </w: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2,644</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4,882</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Used truck unit sales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New medium-duty trucks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new truck revenue</w:t>
            </w: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2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r>
              <w:rPr>
                <w:rFonts w:ascii="Arial" w:cs="Arial" w:eastAsia="Arial" w:hAnsi="Arial"/>
                <w:sz w:val="18"/>
                <w:szCs w:val="18"/>
                <w:color w:val="auto"/>
              </w:rPr>
              <w:t>(1)</w:t>
            </w:r>
          </w:p>
        </w:tc>
        <w:tc>
          <w:tcPr>
            <w:tcW w:w="5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600" w:hanging="4834"/>
        <w:spacing w:after="0" w:line="624" w:lineRule="auto"/>
        <w:tabs>
          <w:tab w:leader="none" w:pos="103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sales of truck bodies, trailers and other new equipment.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Management uses many performance metrics to evaluate the performance of its dealerships, but 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105.4% absorption rate for the second quarter of 2008, and 95.2% absorption rate for the second quarter in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2009, Compared to Three Months Ended June 30, 2008</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expected, continued weak truck and aftermarket sales caused the second quarter to be the most challenging operating period since this downturn began in 2007.</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which was recorded as a receivable from General Motors. This impairment charge resulted in a net charge to cost of sales of $4.0 million, a net charge to SG&amp;A expense of $0.1 million and a charge to amortization expense of $0.8 million. The Company</w:t>
      </w:r>
    </w:p>
    <w:p>
      <w:pPr>
        <w:sectPr>
          <w:pgSz w:w="11900" w:h="16891" w:orient="portrait"/>
          <w:cols w:equalWidth="0" w:num="1">
            <w:col w:w="11400"/>
          </w:cols>
          <w:pgMar w:left="240" w:top="125" w:right="259" w:bottom="0" w:gutter="0" w:footer="0" w:header="0"/>
        </w:sectPr>
      </w:pPr>
    </w:p>
    <w:bookmarkStart w:id="11" w:name="page12"/>
    <w:bookmarkEnd w:id="11"/>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was the largest medium-duty GMC truck dealership group in the country with 15 franchise locations in six states and the loss these truck franchises will likely have some negative impact on our future financial performance.</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Medium-duty GMC truck sales, service and parts revenues totaled approximately $35.4 million in 2008, and $16.4 million in the first six months of 2009. The Company will continue to provide parts and service to its existing GMC customers. The Company represents multiple medium-duty brands that currently compete with GMC across our dealership network. The Company believes that the loss of the medium-duty GMC truck line will be partially offset by sales of competitive medium-duty products.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extended recession continued to impact the Company’s Rush Truck Centers’ parts, service and body shop operations throughout the second quarter of 2009 as revenues decreased 16.6% and gross profit decreased 21.4%, compared to the second quarter of 2008. Despite the 21.4% decline in gross profit, our absorption rate only declined 10.2%, from 105.4% in the second quarter of 2008 to 95.2% in the second quarter of 2009 due to continued expense management.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Decreased freight tonnage and overall weakness continued into almost every market the Company serves. Freight</w:t>
      </w:r>
    </w:p>
    <w:p>
      <w:pPr>
        <w:spacing w:after="0" w:line="2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-intensive automotive, construction and oil and gas industries remain particularly depressed during the second quarter of 2009. Many customers continue to have excess capacity which allows them to delay maintenance on the trucks they already own and delay purchases of new trucks.</w:t>
      </w:r>
    </w:p>
    <w:p>
      <w:pPr>
        <w:spacing w:after="0" w:line="16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A.C.T. Research Co., LLC (“A.C.T. Research”), a truck industry data and forecasting service provider, currently predicts U.S. retail sales of Class 8 trucks of approximately 93,000 units in 2009, a 33.5% decline from the number of units sold in 2008. With U.S. Class 8 retail sales forecast now below 100,000 units, the Company expects this will continue to be one of the weakest new Class 8 truck markets since 1983.</w:t>
      </w:r>
    </w:p>
    <w:p>
      <w:pPr>
        <w:spacing w:after="0" w:line="166"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A.C.T. Research currently predicts U.S. retail sales of Class 4, 5, 6, and 7 medium-duty trucks of approximately 112,000 units in 2009, a 35.4% decline from the number of units sold in 2008. The medium-duty truck market will remain weak until general economic conditions in the U.S. begin to improve.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overall parts, service and body shop sales decreased 14.7% in the second quarter of 2009 compared to the second quarter of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parts, service and body shop sales to remain weak until general economic conditions improve.</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second quarter of 2009, the Company’s construction equipment segment revenue decreased by 61.2% compared to the second quarter of 2008. This decrease is attributable to the weakening construction equipment market in the Houston area. Current industry forecasts suggest that construction equipment sales will decline approximately 50% in the Company’s area of responsibility during 2009 due to lower housing starts, decreased oil and gas activity and general economic conditions.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ongoing weakness in the economy and tight credit markets continue to impact consumer confidence and spending, which have a direct impact on freight demand and, ultimately, our financial performance. Overall economic uncertainty continues to make it difficult for the Company to forecast future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decreased $142.6 million, or 31.4%, in the second quarter of 2009, compared to the second quarter of 2008. Sales of new and used trucks decreased $110.0 million, or 37.0%, in the second quarter of 2009, compared to the second quarter of 2008. Uncertain economic conditions, the weak freight environment, slowing construction markets and tight credit markets contributed to decreased demand for trucks and construction equipment and aftermarket service in the second quarter of 2009. The Company does not believe that demand for trucks will increase until general economic conditions begin to improve and credit is made available on reasonable terms to a wider range of buyers.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sold 954 heavy-duty units in the second quarter of 2009, a 42.7% decrease compared to 1,665 heavy-duty trucks in the second quarter of 2008. According to A.C.T. Research, the U.S. Class 8 truck market decreased 40.0% in the second quarter of 2009, compared to the second quarter of 2008. The Company’s share of the U.S. Class 8 truck sales market was approximately 3.9% in 2008. The Company expects its share to range between 3.9% and 4.2% of the U.S. Class 8 truck market in 2009, which would result in the sale of approximately 3,600 to 4,000 Class 8 trucks based on A.C.T. Research’s current U.S. retail sales estimates of 93,000 units.</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sold 638 medium-duty trucks, including 83 buses, in the second quarter of 2009, a 34.8% decrease compared to 979 medium-duty trucks in the second quarter of 2008. In June 2008, the Company acquired certain assets of Capital Bus Sales and Service of Texas, Inc., which included a Blue Bird bus franchise for the majority of the state of Texas. A.C.T. Research estimates that unit sales of Class 4 through 7 trucks in the U.S. decreased approximately 50% in the second quarter of 2009, compared to the second quarter of 2008. In 2008, the Company achieved a 2.1% share of the Class 4 through 7 truck sales market in the U.S. The Company expects its share to range between 2.3% and 2.5% of the U.S. Class 4 through 7 truck sales market in 2009. This market share percentage would result in the sale of approximately 2,600 to 2,800 of Class 4 through 7 trucks in 2009 based on A.C.T. Research’s current U.S. retail sales estimates of 112,000 units.</w:t>
      </w:r>
    </w:p>
    <w:p>
      <w:pPr>
        <w:spacing w:after="0" w:line="17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 sold 776 used trucks in the second quarter of 2009, a 2.4% decrease compared to 795 used trucks in the second quarter of 2008. For 2009, used truck sales volumes and prices will be primarily driven by general economic conditions and the availability of credit, which collectively have had a severe impact on this market since 2008. The Company expects to sell approximately 2,500 to 2,700 used trucks in 2009.</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Parts and service sales decreased $17.8 million, or 14.7%, in the second quarter of 2009, compared to the second quarter of 2008. Same store parts and service sales decreased $19.9 million, or 19.8%, in the second quarter of 2009, compared to the second quarter of 2008, primarily due to weakening economic conditions. Parts and service sales have continually decreased since the Fall of 2008, and the Company expects parts and service sales to remain weak through the third quarter of 2009.</w:t>
      </w:r>
    </w:p>
    <w:p>
      <w:pPr>
        <w:spacing w:after="0" w:line="18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Sales of new and used construction equipment decreased $13.5 million, or 71.1%, in the second quarter of 2009, compared to the second quarter of 2008. This decrease was largely attributable to the weakening construction market in the Houston area. John Deere’s rolling twelve month average market share in the Houston area construction equipment market decreased to 16.8% as of June 30, 2009 from a rolling twelve month average of 22.0% as of</w:t>
      </w:r>
    </w:p>
    <w:p>
      <w:pPr>
        <w:sectPr>
          <w:pgSz w:w="11900" w:h="16885" w:orient="portrait"/>
          <w:cols w:equalWidth="0" w:num="1">
            <w:col w:w="11400"/>
          </w:cols>
          <w:pgMar w:left="240" w:top="125" w:right="259" w:bottom="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June 30, 2008. In 2009, the Company expects new construction equipment unit sales in our area of responsibility to decrease approximately 40% to 50%, compared to 2008.</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Truck lease and rental revenues decreased $0.2 million, or 1.0%, in the second quarter of 2009 compared to the second quarter of 2008. The Company expects lease and rental revenue to increase approximately 2% to 5% in 2009 compared to 2008.</w:t>
      </w:r>
    </w:p>
    <w:p>
      <w:pPr>
        <w:spacing w:after="0" w:line="17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Finance and insurance revenues decreased $0.9 million, or 29.0%, in the second quarter of 2009 compared to the second quarter of 2008. The decrease in finance and insurance revenue is a direct result of the decline in truck sales and the tight credit market. The Company expects finance and insurance revenue to fluctuate proportionately with the new Class 8 truck market in 2009. Finance and insurance revenues have limited direct costs and, therefore, contribute a disproportionate share of the Company’s operating profits.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Other income decreased $0.2 million, or 14.1% in the second quarter of 2009 compared to the second quarter of 2008. Other income consists primarily of the gain on sale realized on trucks from the lease and rental fleet, commissions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earned from John Deere for direct manufacturer sales into our area of responsibility, document fees related to truck sales and purchase discounts.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Gross profit decreased $21.7 million, or 29.2%, in the second quarter of 2009, compared to the second quarter of 2008. Gross profit as a percentage of sales increased to 16.9% in the second quarter of 2009 from 16.4% in the second quarter of 2008. This slight increase is primarily a result of a change in our product sales mix. Truck sales, a lower margin revenue item, decreased as a percentage of total revenue to 60.0% in the second quarter of 2009 from</w:t>
      </w:r>
    </w:p>
    <w:p>
      <w:pPr>
        <w:ind w:right="360"/>
        <w:spacing w:after="0" w:line="261" w:lineRule="auto"/>
        <w:rPr>
          <w:sz w:val="20"/>
          <w:szCs w:val="20"/>
          <w:color w:val="auto"/>
        </w:rPr>
      </w:pPr>
      <w:r>
        <w:rPr>
          <w:rFonts w:ascii="Arial" w:cs="Arial" w:eastAsia="Arial" w:hAnsi="Arial"/>
          <w:sz w:val="18"/>
          <w:szCs w:val="18"/>
          <w:color w:val="auto"/>
        </w:rPr>
        <w:t>65.4% in the second quarter of 2008. Parts and service revenue, a higher margin revenue item, increased as a percentage of total revenue to 32.9% in the second quarter of 2006 from 26.5% in the second quarter of 2008.</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Gross margins on Class 8 truck sales decreased to 5.1% in the second quarter of 2009, from 7.6% in the second quarter of 2008. Gross margins on Class 8 truck sales were negatively impacted by decreased demand for new trucks and a change in our product sales mix that included decreased sales of trucks in inventory, which are a higher margin revenue item. In 2009, the Company expects overall gross margins from Class 8 truck sales of approximately 5.0% to 7.0%.</w:t>
      </w:r>
    </w:p>
    <w:p>
      <w:pPr>
        <w:spacing w:after="0" w:line="187"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Gross margins on medium-duty truck sales decreased to (1.6%) in the second quarter of 2009, from 5.2% in the second quarter of 2008. The decrease in gross margin during the second quarter of 2009 is largely attributable to the new GMC medium-duty truck inventory write-down caused by General Motors’ decision to stop manufacturing GMC medium-duty trucks and to wind-down the Company’s GMC medium-duty truck franchise agreements. For the remainder of 2009, the Company expects overall gross margins from medium-duty truck sales of approximately 5.0% to 7.0%.</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Gross margins on used truck sales increased to 6.7% in the second quarter of 2009, from (6.1%) in the second quarter of 2008. The decrease in gross margins in the second quarter of 2008 was the result of a $5.4 million write-down of used truck inventory, which was necessary because of decreased demand for used trucks as a result of worsening general economic conditions, decreased freight demand, and the tight credit market. Excluding the write-down of used truck inventory, gross margins on used truck sales in the second quarter of 2008 were 7.3%. The Company expects margins on used trucks will be in the range of approximately 5.5% to 7.5% during 2009, but this will largely depend upon general economic conditions and the availability of credit.</w:t>
      </w:r>
    </w:p>
    <w:p>
      <w:pPr>
        <w:spacing w:after="0" w:line="158"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Gross margins from the Company’s parts, service and body shop operations decreased to 38.9% in the second quarter of 2009, from 41.9% in the second quarter of 2008. Gross profit for the parts, service and body shop departments decreased to $39.9 million in the second quarter of 2009 from $50.5 million in the second quarter of 2008. The Company expects gross margins on parts, service and body shop operations of approximately 39.0% to 41.0% during 2009.</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Gross margins on new and used construction equipment sales decreased to 4.1% in the second quarter of 2009 from 9.3% in the second quarter of 2008. This decrease in gross margin is primarily attributable to a dramatic decrease in demand for construction equipment and change in our product sales mix. The Company expects 2009 gross margins to remain in a range of approximately 5.0% to 10.0% as the Company continues efforts to increase its market share.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Gross margins from truck lease and rental sales increased to 12.4% in the second quarter of 2009, from approximately 11.6% in the second quarter of 2008. This slight increase in the gross margin from lease and rental sales is primarily due to the increased utilization of trucks and crane-mounted trucks in our rental fleet. The Company expects gross margins from lease and rental sales of approximately 11.0% to 16.0% during 2009.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Selling, General and Administrative (“SG&amp;A”) expenses decreased $8.6 million, or 14.6%, in the second quarter of 2009, compared to the second quarter of 2008. SG&amp;A expenses as a percentage of sales increased to 16.1% in the second quarter of 2009, from 13.0% in the second quarter of 2008. SG&amp;A expenses as a percentage of sales have historically ranged from 10.0% to 15.0%. In general, when new and used truck revenue decreases as a percentage of revenue, SG&amp;A expenses as a percentage of revenue will be at, or exceed, the higher end of this range. In the second quarter of 2009, the selling</w:t>
      </w:r>
    </w:p>
    <w:p>
      <w:pPr>
        <w:sectPr>
          <w:pgSz w:w="11900" w:h="16838" w:orient="portrait"/>
          <w:cols w:equalWidth="0" w:num="1">
            <w:col w:w="11400"/>
          </w:cols>
          <w:pgMar w:left="240" w:top="125" w:right="259" w:bottom="123"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portion of SG&amp;A expenses, which consists primarily of commissions on truck and construction equipment sales, decreased 30.6% and the general and administrative portion of SG&amp;A decreased 13.0% compared to the second quarter of 2008. In 2009, the Company expects the selling portion of SG&amp;A expenses to be approximately 25% to 28% of new and used truck gross profit. The selling portion of SG&amp;A varies based on the gross profit derived from truck sales. The Company took action throughout 2008 and in the first quarter of 2009 to reduce overhead expenses to a level more appropriate to serve the current market. The Company will continue to adjust the general and administrative portion of SG&amp;A in accordance with market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Net interest expense decreased $0.3 million, or 15.0%, in the second quarter of 2009 compared to the second quarter of 2008. If floor plan interest rates remain at current levels, the Company expects net interest expense in 2009 to decrease approximately 10.0% compared to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Income before income taxes decreased $13.7 million, or 140.8%, in the second quarter of 2009 compared to the second quarter of 2008, as a result of the factors described above. The Company believes that income before income taxes in 2009 will decrease compared to 2008 based on the factors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Income taxes decreased $6.1 million, or 167.0%, in the second quarter of 2009, compared to the second quarter of 2008. Prior to the application of alternative fuel vehicle tax credits, the Company provided for taxes at a 39.0% rate in the second quarter of 2009, compared to a rate of 37.5% in the second quarter of 2008. The tax rate in the second quarter of 2009 was offset $0.9 million by tax credits for sales of alternative fuel vehicles to tax-exempt entities. For the remainder of 2009, the Company expects to provide for taxes at a rate of 39.0% prior to the application of alternative fuel vehicle tax credits. As a result, the Company’s effective tax rate may vary significantly depending on the number of alternative fuel vehicles sold to tax-exempt entities in any given period. These transactions will increase the Company’s SG&amp;A expense because the Company passes a majority of these credits on to these tax-exempt entities in the form of a discretionary rebate. As a result, the Company’s effective tax rate may vary significantly depending on the number of alternative fuel vehicles sold to tax-exempt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2009, Compared to Six Months Ended June 30, 2008</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June 30, 2009, Compared to Three Months Ended June 30, 2008.”</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Revenues decreased $217.4 million, or 25.3%, in the first six months of 2009, compared to the first six months of 2008. Sales of new and used trucks decreased $165.5 million, or 30.2%, in the first six months of 2009, compared to the first six months of 2008.</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sold 1,986 heavy-duty units in the first six months of 2009, a 32.2% decrease compared to 2,931 heavy-duty trucks in the first six months of 2008. According to A.C.T. Research, the U.S. Class 8 truck market decreased 36.0% in the first six months of 2009, compared to the first six months of 2008.</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sold 1,392 medium-duty trucks, including 211 buses, in the first six months of 2009, a 28.7% decrease compared to 1,951 medium-duty trucks in the first six months of 2008. A.C.T. Research estimates that unit sales of Class 4 through 7 trucks in the U.S decreased approximately 47.0% in the first six months of 2009, compared to the first six months of 2008.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sold 1,353 used trucks in the first six months of 2009, a 20.2% decrease compared to 1,695 used trucks in the first six months of 2008.</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Parts and service sales decreased $26.1 million, or 11.0%, in the first six months of 2009, compared to the first six months of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new and used construction equipment decreased $23.4 million, or 65.2%, in the first six months of 2009,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$0.3 million, or 1.2%, in the first six months of 2009, compared to the first six months of 2008.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Finance and insurance revenues decreased $2.8 million, or 41.4%, in the first six months of 2009, compared to the first six months of 2008.</w:t>
      </w:r>
    </w:p>
    <w:p>
      <w:pPr>
        <w:spacing w:after="0" w:line="23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Other income slightly increased $0.2 million, or 6.9%, in the first six months of 2009, compared to the first six months of 2008. Other income consists of the gain on sale realized on trucks from the lease and rental fleet, commissions earned from John Deere for direct manufacturer sales into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Gross profit decreased $38.2 million, or 25.0%, in the first six months of 2009, compared to the first six months of 2008. Gross profit as a percentage of sales remained flat at 17.8% in the first six months of 2009 and the first six months of 2008.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decreased to 6.1% in the first six months of 2009, from 8.3% in the first six months of 2008.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medium-duty truck sales decreased to 2.8% in the first six months of 2009, from 5.6% in the first six months of 2008.</w:t>
      </w:r>
    </w:p>
    <w:p>
      <w:pPr>
        <w:sectPr>
          <w:pgSz w:w="11900" w:h="16838" w:orient="portrait"/>
          <w:cols w:equalWidth="0" w:num="1">
            <w:col w:w="11400"/>
          </w:cols>
          <w:pgMar w:left="240" w:top="125" w:right="259" w:bottom="100" w:gutter="0" w:footer="0" w:header="0"/>
        </w:sectPr>
      </w:pPr>
    </w:p>
    <w:bookmarkStart w:id="14" w:name="page15"/>
    <w:bookmarkEnd w:id="14"/>
    <w:p>
      <w:pPr>
        <w:spacing w:after="0" w:line="4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used truck sales increased to 6.3% in the first six months of 2009, from 0.6% in the first six months of 2008. The decrease in gross margins in the first six months of 2008 was the result of a $5.4 million write-down of used truck inventory. Excluding the write-down of used truck inventory, gross margins on used truck sales were 7.3% in the first six months of 2008.</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decreased to 39.0% in the first six months of 2009, from 41.8% in the first six months of 2008. Gross profit for the parts, service and body shop departments was $82.7 million in the first six months of 2009, compared to $99.4 million in the first six months of 2008.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new and used construction equipment sales were 8.8% in the first six months of 2009, compared to 9.8%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12.0% in the first six months of 2009, from approximately 14.2% in the first six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2008.</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SG&amp;A expenses decreased $13.5 million, or 11.7%, in the first six months of 2009, compared to the first six months of 2008. SG&amp;A expenses as a percentage of sales was 16.0% in the first six months of 2009 and 13.5% in the first six months of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$0.6 million, or 15.4%, in the first six months of 2009, compared to the first six months of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Income before income taxes decreased $25.0 million, or 99.4%, in the first six months of 2009, compared to the first six months of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Income taxes decreased $10.6 million, or 112.7%, in the first six months of 2009, compared to the first six months of 2008. The Company provided for taxes at a 39.0% rate in the first six months of 2009, compared to a rate of 37.5% in the first six months of 2008. The tax rate in the first six months of 2009 was offset $1.3 million by tax credits for sales of alternative fuel vehicles to tax-exempt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Company’s short-term cash requirements are primarily for working capital, inventory financing, the improvement and expansion of existing facilities, the implementation of SAP enterprise software and dealership management system, and the construction of new facilities. Historically, these cash requirements have been met through the retention of profits and borrowings under our floor plan arrangements. As of June 30, 2009, the Company had working capital of approximately $160.5 million, including $121.0 million in cash available to fund our operations. The Company believes that these funds are sufficient to meet its short-term and long-term cash requirements.</w:t>
      </w:r>
    </w:p>
    <w:p>
      <w:pPr>
        <w:spacing w:after="0" w:line="173"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The Company may request working capital advances in the minimum amount of $100,000 under its Amended and Restated Wholesale Security Agreement with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June 30, 2009.</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June 30, 2009, however, $6.1 million was pledged to secure various letters of credit related to self-insurance products, leaving $1.9 million available for future borrowings as of June 30, 2009.</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June 30, 2009, the Company was in compliance with all debt covenants. The Company does not anticipate any breach of the covenants in the foreseeable future.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total cost of the SAP software and implementation is estimated to be approximately $32.0 million. As of June 30, 2009, the Company had cumulative expenditures of $24.5 million related to the SAP project. The Company expects to spend approximately $4.0 million to $4.5 million related to the SAP project during the remainder of 2009.</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is currently constructing a new facility for its Rush Truck Center location in Oklahoma City, Oklahoma at an estimated cost of $12.0 million. As of June 30, 2009, the Company had expenditures of $8.6 million related to the construction of the new facility.</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also expects to make capital expenditures for recurring items such as computers, shop tools and equipment and vehicles of approximately $8.0 million during 2009. As of June 30, 2009, the Company had expenditures of approximately $2.7 million related to these recurring items.</w:t>
      </w:r>
    </w:p>
    <w:p>
      <w:pPr>
        <w:spacing w:after="0" w:line="12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w:t>
      </w:r>
    </w:p>
    <w:p>
      <w:pPr>
        <w:sectPr>
          <w:pgSz w:w="11900" w:h="16885" w:orient="portrait"/>
          <w:cols w:equalWidth="0" w:num="1">
            <w:col w:w="11420"/>
          </w:cols>
          <w:pgMar w:left="240" w:top="125" w:right="239" w:bottom="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June 30, 2009, the Company has repurchased 1,639,843 shares of its Class B common stock at a cost of $17.9 million, none of which occurred during the second quarter of 2009.</w:t>
      </w:r>
    </w:p>
    <w:p>
      <w:pPr>
        <w:spacing w:after="0" w:line="19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currently anticipates funding its capital expenditures relating to the SAP software and implementation, construction of new Rush Truck Centers, recurring expenses and any stock repurchases through its operating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 The Company expects to finance 80% of the appraised value of newly constructed Rush Truck Centers upon completion, which will increase the Company’s cash and cash equivalents by that amount.</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The Company has no other material commitments for capital expenditures as of </w:t>
      </w:r>
      <w:r>
        <w:rPr>
          <w:rFonts w:ascii="Arial" w:cs="Arial" w:eastAsia="Arial" w:hAnsi="Arial"/>
          <w:sz w:val="17"/>
          <w:szCs w:val="17"/>
          <w:color w:val="auto"/>
        </w:rPr>
        <w:t>June 30, 2009</w:t>
      </w:r>
      <w:r>
        <w:rPr>
          <w:rFonts w:ascii="Arial" w:cs="Arial" w:eastAsia="Arial" w:hAnsi="Arial"/>
          <w:sz w:val="18"/>
          <w:szCs w:val="18"/>
          <w:color w:val="auto"/>
        </w:rPr>
        <w:t>, except that the Company will continue to purchase vehicles for its lease and rental division and authorize capital expenditures for improvement and expansion of its dealership facilities based on market opportunities. The Company expects to purchase trucks worth approximately $30.0 million for its leasing operations in 2009, depending on customer demand, which it will finance.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and cash equivalents decreased by $25.5 million during the six months ended June 30, 2009, and decreased by $28.9 million during the six months ended June 30, 2008.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2009, operating activities resulted in net cash provided by operations of $78.0 million. Cash provided by operating activities was primarily impacted by the decrease in inventories which was offset by the decrease in accounts payable and accrued expenses. During the first six months of 2008, operating activities resulted in net cash provided by operations of $37.5 million.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Cash flows from operating activities as adjusted for all draws and (payments) on floor plan notes (“Adjusted Cash Flows from Operating Activities”) was $14.0 million for the six months ended June 30, 2009, and $45.9 million for the six months ended June 30, 2008.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5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Six Months Ended</w:t>
      </w:r>
    </w:p>
    <w:p>
      <w:pPr>
        <w:jc w:val="center"/>
        <w:ind w:left="72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42"/>
        </w:trPr>
        <w:tc>
          <w:tcPr>
            <w:tcW w:w="7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(Draws) payments on floor plan notes payable</w:t>
            </w: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(64,022)</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8,387</w:t>
            </w:r>
          </w:p>
        </w:tc>
        <w:tc>
          <w:tcPr>
            <w:tcW w:w="80" w:type="dxa"/>
            <w:vAlign w:val="bottom"/>
          </w:tcPr>
          <w:p>
            <w:pPr>
              <w:spacing w:after="0"/>
              <w:rPr>
                <w:sz w:val="18"/>
                <w:szCs w:val="18"/>
                <w:color w:val="auto"/>
              </w:rPr>
            </w:pPr>
          </w:p>
        </w:tc>
      </w:tr>
      <w:tr>
        <w:trPr>
          <w:trHeight w:val="210"/>
        </w:trPr>
        <w:tc>
          <w:tcPr>
            <w:tcW w:w="7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Adjusted Cash Flows from Operating Activities (Non-GAAP)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13,973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45,904</w:t>
            </w:r>
          </w:p>
        </w:tc>
        <w:tc>
          <w:tcPr>
            <w:tcW w:w="8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Cash flows used in investing activities consist primarily of cash used for capital expenditures. During the first six months of 2009, cash used in investing activities was $23.4 million. Capital expenditures consisted of purchases of property and equipment, improvements to our existing dealership facilities and construction of our new facility in Oklahoma City, Oklahoma of $23.5 million. Property and equipment purchases during the first six months of 2009 consisted of $6.0 million for additional units for the rental and leasing operations, which was directly offset by borrowings of long-term debt. The Company expects to purchase trucks worth approximately $30.0 million for its leasing operations in 2009, depending on customer demand, all of which will be financed. During 2009, the Company expects to make capital expenditures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154" w:gutter="0" w:footer="0" w:header="0"/>
        </w:sectPr>
      </w:pPr>
    </w:p>
    <w:bookmarkStart w:id="16" w:name="page17"/>
    <w:bookmarkEnd w:id="16"/>
    <w:p>
      <w:pPr>
        <w:ind w:right="640"/>
        <w:spacing w:after="0" w:line="277" w:lineRule="auto"/>
        <w:rPr>
          <w:sz w:val="20"/>
          <w:szCs w:val="20"/>
          <w:color w:val="auto"/>
        </w:rPr>
      </w:pPr>
      <w:r>
        <w:rPr>
          <w:rFonts w:ascii="Arial" w:cs="Arial" w:eastAsia="Arial" w:hAnsi="Arial"/>
          <w:sz w:val="18"/>
          <w:szCs w:val="18"/>
          <w:color w:val="auto"/>
        </w:rPr>
        <w:t>recurring items such as computers, shop equipment and vehicles of approximately $8.0 million in addition to $7.0 million to $8.0 million for the SAP software implementation described above.</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During the first six months of 2008, cash used in investing activities was $65.8 million. The Company purchased investments of $355.6 million which was offset by proceeds from the sale of these investments of $325.3 million. See Note 6 of Notes to Consolidated Financial Statements for an explanation of these investments. Capital expenditures consisted of purchases of property and equipment, and improvements to our existing dealership facilities of $21.0 million. Property and equipment purchases during the first six months of 2008 consisted of $6.2 million for additional units for the rental and leasing operations, which was directly offset by borrowings of long-term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Cash used in financing activities was $80.1 million during the first six months of 2009. The Company had borrowings of long-term debt of $6.1 million and repayments of long-term debt of $20.6 million during the first six months of 2009. The Company had net payments of floor plan notes payable of $64.0 million during the first six months of 2009. The borrowings of long-term debt were primarily related to units for the rental and leasing operations.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Cash used in financing activities was $0.6 million during the first six months of 2008. The Company had borrowings of long-term debt of $11.7 million and repayments of long-term debt of $19.6 million during the first six months of 2008. The Company had net draws of floor plan notes payable of $8.4 million during the first six months of 2008. The borrowings of long-term debt were primarily related to refinancing of real estate and financing of lease and rental fleet.</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average aggregate month-end balance of debt.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and working capital advances with monthly adjustments to the interest due on outstanding advances. On June 30, 2009, the Company had approximately $203.7 million outstanding under its floor plan financing agreement with GE Capital.</w:t>
      </w:r>
    </w:p>
    <w:p>
      <w:pPr>
        <w:spacing w:after="0" w:line="18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JPMorgan Chase (“Chase”).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Chase floor plan arrangement. The Company makes principal payments for sold new and used construction equipment to Chase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each month.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used construction equipment are made to Chase no later than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each month following the sale. The loans are collateralized by a lien on the construction equipment. As of June 30, 2009, the Company’s floor plan arrangement with Chase permitted the financing of up to $20.0 million in construction equipment. On June 30, 2009, the Company had $1.7 million outstanding under its floor plan financing arrangements with John Deere and $13.3 million outstanding under its floor plan financing arrangement with 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30, 2009, the Company’s backlog of truck orders was approximately $116.6 million as compared to a backlog of truck orders of approximately $220.9 million on June 30, 2008. The Company includes only confirmed orders in its backlog. The delivery time for a custom-ordered truck varies depending on the truck specifications and demand for the particular model ordered; however, due to the decreased demand for trucks, delivery times for heavy-duty trucks have decreased significantly from delivery times during periods of peak demand. As a result, purchasers of heavy-duty trucks currently do not need to place orders several months in advance. The Company sells the majority of its new trucks by customer special order, with the remainder sold out of inventory. Orders from a number of the Company’s major fleet customers are included in the Company’s backlog as of June 30, 2009.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municipalities, corporations and owner operators. However, truck parts and service operations historically have experienced higher sales volumes in the second and third quarters.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and 2008 to a high of approximately 291,000 in 2006. Through</w:t>
      </w:r>
    </w:p>
    <w:p>
      <w:pPr>
        <w:sectPr>
          <w:pgSz w:w="11900" w:h="16838" w:orient="portrait"/>
          <w:cols w:equalWidth="0" w:num="1">
            <w:col w:w="11420"/>
          </w:cols>
          <w:pgMar w:left="240" w:top="125" w:right="239" w:bottom="0" w:gutter="0" w:footer="0" w:header="0"/>
        </w:sectPr>
      </w:pPr>
    </w:p>
    <w:bookmarkStart w:id="17" w:name="page18"/>
    <w:bookmarkEnd w:id="17"/>
    <w:p>
      <w:pPr>
        <w:spacing w:after="0" w:line="1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geographic expansion, concentration on higher margin parts and service operations and diversification of its customer base, the Company believes it can reduce the negative impact on the Company’s earnings of cyclical trends affecting the heavy-duty truck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Our operations are subject to numerous federal, state and local laws and regulations, including laws and regulations designed to protect the</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environment by regulating the discharge of materials into the environment. EPA emission guidelines have traditionally had a major impact on our operations.</w:t>
      </w:r>
    </w:p>
    <w:p>
      <w:pPr>
        <w:spacing w:after="0" w:line="23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EPA emissions guidelines regarding nitrous oxides are scheduled to go into effect for all diesel engines built subsequent to January 1, 2010. Based on current economic and market conditions, the Company does not expect a strong pre-buy of Class 8 trucks to occur in 2009. The magnitude of any pre-buy will be largely dependent upon general economic conditions in the U.S. through the remainder of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Market risk, including interest rate risk and other relevant market rate or price risks, represents the risk of loss that may impact the financial position, results of operations, or cash flows of the Company.</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exposed to some market risk through interest rates related to our floor plan financing agreements, variable rate debt and discount rates related to finance sales. Floor plan borrowings are based on LIBOR and are used to meet working capital needs. As of June 30, 2009, the Company had floor plan borrowings of approximately $218.7 million. Assuming an increase or decrease in LIBOR of 100 basis points, annual interest expense could correspondingly increase or decrease by approximately $2.2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also exposed to some market risk through interest rates related to the investment of our current cash and cash equivalents which totaled $121.0 million on June 30, 2009. These funds are generally invested as a prepayment against our floor plan financing debt or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decrease immediately and uniformly to yield 0%, the Company’s annual earnings on cash and cash equivalents could correspondingly decrease by approximately $255,000.</w:t>
      </w:r>
    </w:p>
    <w:p>
      <w:pPr>
        <w:spacing w:after="0" w:line="17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June 30, 2009, the Company holds $7.6 million of auction rate securities with underlying tax-exempt municipal bonds with stated maturities of 22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Income of approximately $0.8 million. For further discussion of the risks related to our auction rate securities, see Note 6 — Investments of the Notes to Consolidated Financial Statements and Item 1A — Risk Factors in the Company’s Annual Report on Form 10-K for the year ended December 31, 2008 (the “2008 Annual Report”).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2009 to provide reasonable assurance that information required to be disclosed in the reports filed or submitted under the Securities Exchange Act of 1934 is</w:t>
      </w:r>
    </w:p>
    <w:p>
      <w:pPr>
        <w:spacing w:after="0" w:line="2" w:lineRule="exact"/>
        <w:rPr>
          <w:sz w:val="20"/>
          <w:szCs w:val="20"/>
          <w:color w:val="auto"/>
        </w:rPr>
      </w:pPr>
    </w:p>
    <w:p>
      <w:pPr>
        <w:ind w:right="6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2009 that has materially affected, or is reasonably likely to materially affect, the Company’s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w:t>
      </w:r>
    </w:p>
    <w:p>
      <w:pPr>
        <w:sectPr>
          <w:pgSz w:w="11900" w:h="16952" w:orient="portrait"/>
          <w:cols w:equalWidth="0" w:num="1">
            <w:col w:w="11400"/>
          </w:cols>
          <w:pgMar w:left="240" w:top="125" w:right="259" w:bottom="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Item 1A of the 2008 Annual Report describes some of the risks and uncertainties associated with our business that have the potential to materially affect our business, financial condition or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the 2008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second quarter of 2009, nor did it repurchase any shares of its Class A Common Stock or Class B Common Stock during the second quarter of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matters were voted upon at the Annual Meeting of Shareholders held on May 19, 2009 (the “2009 Annual Meeting”), and received the votes set forth below:</w:t>
      </w:r>
    </w:p>
    <w:p>
      <w:pPr>
        <w:spacing w:after="0" w:line="170" w:lineRule="exact"/>
        <w:rPr>
          <w:sz w:val="20"/>
          <w:szCs w:val="20"/>
          <w:color w:val="auto"/>
        </w:rPr>
      </w:pPr>
    </w:p>
    <w:p>
      <w:pPr>
        <w:ind w:left="1300" w:right="600" w:hanging="644"/>
        <w:spacing w:after="0" w:line="277"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following persons nominated were reelected to serve as directors and received the number of votes set forth opposite their respective names:</w:t>
      </w:r>
    </w:p>
    <w:p>
      <w:pPr>
        <w:spacing w:after="0" w:line="15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 Votes</w:t>
            </w:r>
          </w:p>
        </w:tc>
        <w:tc>
          <w:tcPr>
            <w:tcW w:w="2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Number of Votes</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23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FOR</w:t>
            </w:r>
          </w:p>
        </w:tc>
        <w:tc>
          <w:tcPr>
            <w:tcW w:w="2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10,769,048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10,769,041</w:t>
            </w:r>
          </w:p>
        </w:tc>
        <w:tc>
          <w:tcPr>
            <w:tcW w:w="2160" w:type="dxa"/>
            <w:vAlign w:val="bottom"/>
          </w:tcPr>
          <w:p>
            <w:pPr>
              <w:jc w:val="right"/>
              <w:spacing w:after="0"/>
              <w:rPr>
                <w:sz w:val="20"/>
                <w:szCs w:val="20"/>
                <w:color w:val="auto"/>
              </w:rPr>
            </w:pPr>
            <w:r>
              <w:rPr>
                <w:rFonts w:ascii="Arial" w:cs="Arial" w:eastAsia="Arial" w:hAnsi="Arial"/>
                <w:sz w:val="18"/>
                <w:szCs w:val="18"/>
                <w:color w:val="auto"/>
              </w:rPr>
              <w:t>400,538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Krause</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9,108,992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James C. Underwood</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9,135,172</w:t>
            </w:r>
          </w:p>
        </w:tc>
        <w:tc>
          <w:tcPr>
            <w:tcW w:w="2160" w:type="dxa"/>
            <w:vAlign w:val="bottom"/>
          </w:tcPr>
          <w:p>
            <w:pPr>
              <w:jc w:val="right"/>
              <w:spacing w:after="0"/>
              <w:rPr>
                <w:sz w:val="20"/>
                <w:szCs w:val="20"/>
                <w:color w:val="auto"/>
              </w:rPr>
            </w:pPr>
            <w:r>
              <w:rPr>
                <w:rFonts w:ascii="Arial" w:cs="Arial" w:eastAsia="Arial" w:hAnsi="Arial"/>
                <w:sz w:val="18"/>
                <w:szCs w:val="18"/>
                <w:color w:val="auto"/>
              </w:rPr>
              <w:t>2,034,407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D. Marshall</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9,134,559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Thomas A. Akin</w:t>
            </w:r>
          </w:p>
        </w:tc>
        <w:tc>
          <w:tcPr>
            <w:tcW w:w="2360" w:type="dxa"/>
            <w:vAlign w:val="bottom"/>
            <w:gridSpan w:val="2"/>
          </w:tcPr>
          <w:p>
            <w:pPr>
              <w:jc w:val="right"/>
              <w:ind w:right="220"/>
              <w:spacing w:after="0"/>
              <w:rPr>
                <w:sz w:val="20"/>
                <w:szCs w:val="20"/>
                <w:color w:val="auto"/>
              </w:rPr>
            </w:pPr>
            <w:r>
              <w:rPr>
                <w:rFonts w:ascii="Arial" w:cs="Arial" w:eastAsia="Arial" w:hAnsi="Arial"/>
                <w:sz w:val="18"/>
                <w:szCs w:val="18"/>
                <w:color w:val="auto"/>
              </w:rPr>
              <w:t>9,134,701</w:t>
            </w:r>
          </w:p>
        </w:tc>
        <w:tc>
          <w:tcPr>
            <w:tcW w:w="2160" w:type="dxa"/>
            <w:vAlign w:val="bottom"/>
          </w:tcPr>
          <w:p>
            <w:pPr>
              <w:jc w:val="right"/>
              <w:spacing w:after="0"/>
              <w:rPr>
                <w:sz w:val="20"/>
                <w:szCs w:val="20"/>
                <w:color w:val="auto"/>
              </w:rPr>
            </w:pPr>
            <w:r>
              <w:rPr>
                <w:rFonts w:ascii="Arial" w:cs="Arial" w:eastAsia="Arial" w:hAnsi="Arial"/>
                <w:sz w:val="18"/>
                <w:szCs w:val="18"/>
                <w:color w:val="auto"/>
              </w:rPr>
              <w:t>2,034,878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R. Szczepanski</w:t>
            </w:r>
          </w:p>
        </w:tc>
        <w:tc>
          <w:tcPr>
            <w:tcW w:w="2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10,978,805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right="180" w:hanging="644"/>
        <w:spacing w:after="0" w:line="277"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2009 fiscal year received 11,141,403 votes FOR and 24,803 votes AGAINST, with 3,373 abstentions.</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two proposals submitted at the 2009 Annual Meeting received more than the number of favorable votes required for approval, and were therefore duly and validly approved by the Company’s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Effective August 7, 2009, the Company’s Board of Directors approved an amendment and restatement of the Company’s Amended and Restated Bylaws (as amended and restated, the “</w:t>
      </w:r>
      <w:r>
        <w:rPr>
          <w:rFonts w:ascii="Arial" w:cs="Arial" w:eastAsia="Arial" w:hAnsi="Arial"/>
          <w:sz w:val="17"/>
          <w:szCs w:val="17"/>
          <w:u w:val="single" w:color="auto"/>
          <w:color w:val="auto"/>
        </w:rPr>
        <w:t>Restated Bylaws</w:t>
      </w:r>
      <w:r>
        <w:rPr>
          <w:rFonts w:ascii="Arial" w:cs="Arial" w:eastAsia="Arial" w:hAnsi="Arial"/>
          <w:sz w:val="17"/>
          <w:szCs w:val="17"/>
          <w:color w:val="auto"/>
        </w:rPr>
        <w:t>”). The Restated Bylaws were adopted to clarify that the voting standard for the election of directors is a plurality voting standard, which has been the Company’s historical voting standard in elections of directors and is the default standard for the election of directors under Texas law. In particular, the amendment clarifies Section 2.6 by providing that directors are to be elected by a plurality of the votes cast by the holders of shares entitled to vote in the election of directors at a meeting of shareholders at which a quorum is present. Because this Quarterly Report on Form 10-Q is being filed within four days from the effective date of the Restated Bylaws, the amendment and restatement is being disclosed hereunder rather than under Item 5.03 of a Current Report on Form 8-K.</w:t>
      </w:r>
    </w:p>
    <w:p>
      <w:pPr>
        <w:spacing w:after="0" w:line="17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foregoing description of the Restated Bylaws is qualified in its entirety by reference to the Restated Bylaws, a copy of which is filed as Exhibit 3.2 to this Quarterly Report on Form 10-Q,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3"/>
                <w:szCs w:val="13"/>
                <w:color w:val="auto"/>
              </w:rPr>
            </w:pPr>
          </w:p>
        </w:tc>
        <w:tc>
          <w:tcPr>
            <w:tcW w:w="1016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40" w:type="dxa"/>
            <w:vAlign w:val="bottom"/>
            <w:gridSpan w:val="2"/>
          </w:tcPr>
          <w:p>
            <w:pPr>
              <w:ind w:left="280"/>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tcPr>
          <w:p>
            <w:pPr>
              <w:ind w:left="380"/>
              <w:spacing w:after="0"/>
              <w:rPr>
                <w:sz w:val="20"/>
                <w:szCs w:val="20"/>
                <w:color w:val="auto"/>
              </w:rPr>
            </w:pPr>
            <w:r>
              <w:rPr>
                <w:rFonts w:ascii="Arial" w:cs="Arial" w:eastAsia="Arial" w:hAnsi="Arial"/>
                <w:sz w:val="18"/>
                <w:szCs w:val="18"/>
                <w:color w:val="auto"/>
              </w:rPr>
              <w:t>Rush Enterprises, Inc. Amended and Restated Bylaws</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tcPr>
          <w:p>
            <w:pPr>
              <w:ind w:left="380"/>
              <w:spacing w:after="0"/>
              <w:rPr>
                <w:sz w:val="20"/>
                <w:szCs w:val="20"/>
                <w:color w:val="auto"/>
              </w:rPr>
            </w:pPr>
            <w:r>
              <w:rPr>
                <w:rFonts w:ascii="Arial" w:cs="Arial" w:eastAsia="Arial" w:hAnsi="Arial"/>
                <w:sz w:val="18"/>
                <w:szCs w:val="18"/>
                <w:color w:val="auto"/>
                <w:w w:val="90"/>
              </w:rPr>
              <w:t>Certification of CEO pursuant to Rules 13a-14(a) and 15d-14(a) adopted pursuant to Section 302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tcPr>
          <w:p>
            <w:pPr>
              <w:ind w:left="380"/>
              <w:spacing w:after="0"/>
              <w:rPr>
                <w:sz w:val="20"/>
                <w:szCs w:val="20"/>
                <w:color w:val="auto"/>
              </w:rPr>
            </w:pPr>
            <w:r>
              <w:rPr>
                <w:rFonts w:ascii="Arial" w:cs="Arial" w:eastAsia="Arial" w:hAnsi="Arial"/>
                <w:sz w:val="18"/>
                <w:szCs w:val="18"/>
                <w:color w:val="auto"/>
                <w:w w:val="90"/>
              </w:rPr>
              <w:t>Certification of CFO pursuant to Rules 13a-14(a) and 15d-14(a) adopted pursuant to Section 302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Pr>
          <w:p>
            <w:pPr>
              <w:ind w:left="38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Pr>
          <w:p>
            <w:pPr>
              <w:ind w:left="38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3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00" w:type="dxa"/>
            <w:vAlign w:val="bottom"/>
            <w:gridSpan w:val="2"/>
          </w:tcPr>
          <w:p>
            <w:pPr>
              <w:spacing w:after="0"/>
              <w:rPr>
                <w:sz w:val="20"/>
                <w:szCs w:val="20"/>
                <w:color w:val="auto"/>
              </w:rPr>
            </w:pPr>
            <w:r>
              <w:rPr>
                <w:rFonts w:ascii="Arial" w:cs="Arial" w:eastAsia="Arial" w:hAnsi="Arial"/>
                <w:sz w:val="18"/>
                <w:szCs w:val="18"/>
                <w:color w:val="auto"/>
              </w:rPr>
              <w:t>Date:</w:t>
            </w:r>
          </w:p>
        </w:tc>
        <w:tc>
          <w:tcPr>
            <w:tcW w:w="2760" w:type="dxa"/>
            <w:vAlign w:val="bottom"/>
            <w:gridSpan w:val="4"/>
          </w:tcPr>
          <w:p>
            <w:pPr>
              <w:ind w:left="20"/>
              <w:spacing w:after="0"/>
              <w:rPr>
                <w:sz w:val="20"/>
                <w:szCs w:val="20"/>
                <w:color w:val="auto"/>
              </w:rPr>
            </w:pPr>
            <w:r>
              <w:rPr>
                <w:rFonts w:ascii="Arial" w:cs="Arial" w:eastAsia="Arial" w:hAnsi="Arial"/>
                <w:sz w:val="18"/>
                <w:szCs w:val="18"/>
                <w:color w:val="auto"/>
              </w:rPr>
              <w:t>August 10, 2009</w:t>
            </w:r>
          </w:p>
        </w:tc>
        <w:tc>
          <w:tcPr>
            <w:tcW w:w="2860" w:type="dxa"/>
            <w:vAlign w:val="bottom"/>
          </w:tcPr>
          <w:p>
            <w:pPr>
              <w:ind w:left="23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gridSpan w:val="2"/>
          </w:tcPr>
          <w:p>
            <w:pPr>
              <w:spacing w:after="0"/>
              <w:rPr>
                <w:sz w:val="20"/>
                <w:szCs w:val="20"/>
                <w:color w:val="auto"/>
              </w:rPr>
            </w:pPr>
            <w:r>
              <w:rPr>
                <w:rFonts w:ascii="Arial" w:cs="Arial" w:eastAsia="Arial" w:hAnsi="Arial"/>
                <w:sz w:val="18"/>
                <w:szCs w:val="18"/>
                <w:color w:val="auto"/>
              </w:rPr>
              <w:t>Date:</w:t>
            </w:r>
          </w:p>
        </w:tc>
        <w:tc>
          <w:tcPr>
            <w:tcW w:w="2760" w:type="dxa"/>
            <w:vAlign w:val="bottom"/>
            <w:gridSpan w:val="4"/>
          </w:tcPr>
          <w:p>
            <w:pPr>
              <w:ind w:left="20"/>
              <w:spacing w:after="0"/>
              <w:rPr>
                <w:sz w:val="20"/>
                <w:szCs w:val="20"/>
                <w:color w:val="auto"/>
              </w:rPr>
            </w:pPr>
            <w:r>
              <w:rPr>
                <w:rFonts w:ascii="Arial" w:cs="Arial" w:eastAsia="Arial" w:hAnsi="Arial"/>
                <w:sz w:val="18"/>
                <w:szCs w:val="18"/>
                <w:color w:val="auto"/>
              </w:rPr>
              <w:t>August 10, 2009</w:t>
            </w:r>
          </w:p>
        </w:tc>
        <w:tc>
          <w:tcPr>
            <w:tcW w:w="2860" w:type="dxa"/>
            <w:vAlign w:val="bottom"/>
          </w:tcPr>
          <w:p>
            <w:pPr>
              <w:ind w:left="23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6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7960" w:type="dxa"/>
            <w:vAlign w:val="bottom"/>
            <w:gridSpan w:val="2"/>
          </w:tcPr>
          <w:p>
            <w:pPr>
              <w:jc w:val="center"/>
              <w:ind w:right="335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960" w:type="dxa"/>
            <w:vAlign w:val="bottom"/>
            <w:gridSpan w:val="2"/>
            <w:vMerge w:val="restart"/>
          </w:tcPr>
          <w:p>
            <w:pPr>
              <w:ind w:left="2500"/>
              <w:spacing w:after="0"/>
              <w:rPr>
                <w:sz w:val="20"/>
                <w:szCs w:val="20"/>
                <w:color w:val="auto"/>
              </w:rPr>
            </w:pPr>
            <w:r>
              <w:rPr>
                <w:rFonts w:ascii="Arial" w:cs="Arial" w:eastAsia="Arial" w:hAnsi="Arial"/>
                <w:sz w:val="14"/>
                <w:szCs w:val="14"/>
                <w:b w:val="1"/>
                <w:bCs w:val="1"/>
                <w:color w:val="auto"/>
              </w:rPr>
              <w:t>Exhibit Title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jc w:val="center"/>
              <w:ind w:left="190"/>
              <w:spacing w:after="0" w:line="195" w:lineRule="exact"/>
              <w:rPr>
                <w:sz w:val="20"/>
                <w:szCs w:val="20"/>
                <w:color w:val="auto"/>
              </w:rPr>
            </w:pPr>
            <w:r>
              <w:rPr>
                <w:rFonts w:ascii="Arial" w:cs="Arial" w:eastAsia="Arial" w:hAnsi="Arial"/>
                <w:sz w:val="18"/>
                <w:szCs w:val="18"/>
                <w:color w:val="auto"/>
                <w:w w:val="99"/>
              </w:rPr>
              <w:t>3.2*</w:t>
            </w:r>
          </w:p>
        </w:tc>
        <w:tc>
          <w:tcPr>
            <w:tcW w:w="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0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Rush Enterprises, Inc. Amended and Restated Bylaws</w:t>
            </w:r>
          </w:p>
        </w:tc>
        <w:tc>
          <w:tcPr>
            <w:tcW w:w="5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center"/>
              <w:ind w:left="214"/>
              <w:spacing w:after="0"/>
              <w:rPr>
                <w:sz w:val="20"/>
                <w:szCs w:val="20"/>
                <w:color w:val="auto"/>
              </w:rPr>
            </w:pPr>
            <w:r>
              <w:rPr>
                <w:rFonts w:ascii="Arial" w:cs="Arial" w:eastAsia="Arial" w:hAnsi="Arial"/>
                <w:sz w:val="18"/>
                <w:szCs w:val="18"/>
                <w:color w:val="auto"/>
                <w:w w:val="95"/>
              </w:rPr>
              <w:t>31.1*</w:t>
            </w:r>
          </w:p>
        </w:tc>
        <w:tc>
          <w:tcPr>
            <w:tcW w:w="280" w:type="dxa"/>
            <w:vAlign w:val="bottom"/>
          </w:tcPr>
          <w:p>
            <w:pPr>
              <w:spacing w:after="0"/>
              <w:rPr>
                <w:sz w:val="18"/>
                <w:szCs w:val="18"/>
                <w:color w:val="auto"/>
              </w:rPr>
            </w:pPr>
          </w:p>
        </w:tc>
        <w:tc>
          <w:tcPr>
            <w:tcW w:w="10440" w:type="dxa"/>
            <w:vAlign w:val="bottom"/>
            <w:gridSpan w:val="5"/>
          </w:tcPr>
          <w:p>
            <w:pPr>
              <w:ind w:left="280"/>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jc w:val="center"/>
              <w:ind w:left="214"/>
              <w:spacing w:after="0"/>
              <w:rPr>
                <w:sz w:val="20"/>
                <w:szCs w:val="20"/>
                <w:color w:val="auto"/>
              </w:rPr>
            </w:pPr>
            <w:r>
              <w:rPr>
                <w:rFonts w:ascii="Arial" w:cs="Arial" w:eastAsia="Arial" w:hAnsi="Arial"/>
                <w:sz w:val="18"/>
                <w:szCs w:val="18"/>
                <w:color w:val="auto"/>
                <w:w w:val="95"/>
              </w:rPr>
              <w:t>31.2*</w:t>
            </w:r>
          </w:p>
        </w:tc>
        <w:tc>
          <w:tcPr>
            <w:tcW w:w="280" w:type="dxa"/>
            <w:vAlign w:val="bottom"/>
          </w:tcPr>
          <w:p>
            <w:pPr>
              <w:spacing w:after="0"/>
              <w:rPr>
                <w:sz w:val="18"/>
                <w:szCs w:val="18"/>
                <w:color w:val="auto"/>
              </w:rPr>
            </w:pPr>
          </w:p>
        </w:tc>
        <w:tc>
          <w:tcPr>
            <w:tcW w:w="10440" w:type="dxa"/>
            <w:vAlign w:val="bottom"/>
            <w:gridSpan w:val="5"/>
          </w:tcPr>
          <w:p>
            <w:pPr>
              <w:ind w:left="280"/>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3"/>
          </w:tcPr>
          <w:p>
            <w:pPr>
              <w:jc w:val="center"/>
              <w:spacing w:after="0"/>
              <w:rPr>
                <w:sz w:val="20"/>
                <w:szCs w:val="20"/>
                <w:color w:val="auto"/>
              </w:rPr>
            </w:pPr>
            <w:r>
              <w:rPr>
                <w:rFonts w:ascii="Arial" w:cs="Arial" w:eastAsia="Arial" w:hAnsi="Arial"/>
                <w:sz w:val="18"/>
                <w:szCs w:val="18"/>
                <w:color w:val="auto"/>
              </w:rPr>
              <w:t>32.1**</w:t>
            </w:r>
          </w:p>
        </w:tc>
        <w:tc>
          <w:tcPr>
            <w:tcW w:w="10440" w:type="dxa"/>
            <w:vAlign w:val="bottom"/>
            <w:gridSpan w:val="5"/>
          </w:tcPr>
          <w:p>
            <w:pPr>
              <w:ind w:left="280"/>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gridSpan w:val="3"/>
          </w:tcPr>
          <w:p>
            <w:pPr>
              <w:jc w:val="center"/>
              <w:spacing w:after="0"/>
              <w:rPr>
                <w:sz w:val="20"/>
                <w:szCs w:val="20"/>
                <w:color w:val="auto"/>
              </w:rPr>
            </w:pPr>
            <w:r>
              <w:rPr>
                <w:rFonts w:ascii="Arial" w:cs="Arial" w:eastAsia="Arial" w:hAnsi="Arial"/>
                <w:sz w:val="18"/>
                <w:szCs w:val="18"/>
                <w:color w:val="auto"/>
              </w:rPr>
              <w:t>32.2**</w:t>
            </w:r>
          </w:p>
        </w:tc>
        <w:tc>
          <w:tcPr>
            <w:tcW w:w="10440" w:type="dxa"/>
            <w:vAlign w:val="bottom"/>
            <w:gridSpan w:val="5"/>
          </w:tcPr>
          <w:p>
            <w:pPr>
              <w:ind w:left="280"/>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-1682115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-1682115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Effective as of August 7,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principal office of the corporation shall be located in New Braunfels, Texas.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1.2 The corporation may also have offices at such other places both within and without the State of Texas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SHAREHOLDERS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2.1 Meetings of shareholders for any purpose may be held at such time and place within or without the State of Texas as shall be stated in the notice of the meeting or in a duly executed waiver of notice thereof.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2.2 The annual meeting of shareholders shall be held annually at such date and time as shall be designated from time to time by the board of directors and stated in the notice of meeting.</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2.3 Special meetings of the shareholders for any purpose or purposes may be called by the president and shall be called by the president or secretary at the request in writing of a majority of the board of directors, or at the request in writing of shareholders owning one-tenth of all the shares entitled to vote at the meetings. Subject to Section 2.11, a request for a special meeting shall state the purpose or purposes of the proposed meeting, and business transacted at any special meeting of shareholders shall be limited to the purposes stated in the notice.</w:t>
      </w:r>
    </w:p>
    <w:p>
      <w:pPr>
        <w:spacing w:after="0" w:line="17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2.4 Written notice stating the place, day and hour of the meeting and, in the case of a special meeting, the purpose or purposes for which the meeting is called, shall be delivered not less than ten nor more than fifty days before the date of the meeting, either personally or by mail, by or at the direction of the president, the secretary, or the officer or persons calling the meeting, to each shareholder of record entitled to vote at such meeting.</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2.5 The holders of a majority of the shares issued and outstanding and entitled to vote thereat, present in person or represented by proxy, shall constitute a quorum at all meetings of the shareholders for the transaction of business except as otherwise provided by statute or by the articles of incorporation. If, however, a quorum shall not be present or represented at any meeting of the shareholders, the shareholders entitled to vote thereat, present in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represented by proxy, shall have power to adjourn the meeting from time to time, without notice other than announcement at the meeting, until a quorum shall be present or represented. At such adjourned meeting, provided a quorum shall be present or represented thereat, any business may be transacted which might have been transacted if the meeting had been held in accordance with the original notice thereof.</w:t>
      </w:r>
    </w:p>
    <w:p>
      <w:pPr>
        <w:spacing w:after="0" w:line="18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2.6 Directors shall be elected by a plurality of the votes cast by the holders of shares entitled to vote in the election of directors at a meeting of shareholders at which a quorum is present. With respect to any other question brought before a meeting at which a quorum is present, the vote of the holders of a majority of the shares entitled to vote and present in person or represented by proxy shall decide such question, unless the question is one upon which a different vote is required by law or by the articles of incorporation.</w:t>
      </w:r>
    </w:p>
    <w:p>
      <w:pPr>
        <w:spacing w:after="0" w:line="18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2.7 Each outstanding share shall have such voting power on each matter submitted to a vote at a meeting of shareholders as set forth in the Articles of Incorporation. A shareholder may vote either in person or by proxy executed in writing by the shareholder or by his duly authorized attorney-in-fact.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2.8 Any action required or which may be taken at a meeting of the shareholders may be taken without a meeting if a consent in writing, setting forth the action so taken, shall be signed by all the shareholders entitled to vote with respect to the subject matter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ADVANCE NOTICE OF DIRECTOR NOMINATIONS AND SHAREHOLDER PROPOSALS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2.9 Shareholders may nominate one or more persons for election as directors at any annual meeting of shareholders or propose other business to be brought before the annual meeting of shareholders, or both, only if (a) such business is a proper matter for shareholder action, (b) the shareholder gives timely notice in proper written form of such shareholder’s intention to make such nomination(s) or to propose such business, and (c) the shareholder is a shareholder of record of the corporation at the time of giving such notice and is entitled to vote at the annual meeting. The provisions of this Article II shall be the exclusive means for a shareholder to make nominations or submit other business (other than matters properly brought under Rule 14a-8 promulgated under the Securities Exchange Act of 1934, as amended (the “Exchange Act”), and included in the corporation’s proxy materials) at an annual meeting of shareholders.</w:t>
      </w:r>
    </w:p>
    <w:p>
      <w:pPr>
        <w:spacing w:after="0" w:line="18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2.10 Without qualification, for director nominations or any other business to be properly brought before an annual meeting of shareholders, a shareholder notice shall be delivered to and received by the secretary at the principal executive offices of the corporation not later than the close of business on the 90th day, and not earlier than the close of business on the 120th day, prior to the first anniversary of the preceding year’s annual meeting of shareholders; provided, however, that in the event that the date of the annual meeting has changed by more than thirty (30) days from the date of the previous year’s annual meeting, notice by the shareholder to be timely must be so delivered and received not earlier than the close of business on the 120th day prior to</w:t>
      </w:r>
    </w:p>
    <w:p>
      <w:pPr>
        <w:sectPr>
          <w:pgSz w:w="11900" w:h="16838" w:orient="portrait"/>
          <w:cols w:equalWidth="0" w:num="1">
            <w:col w:w="11420"/>
          </w:cols>
          <w:pgMar w:left="240" w:top="121" w:right="239" w:bottom="0" w:gutter="0" w:footer="0" w:header="0"/>
        </w:sectPr>
      </w:pPr>
    </w:p>
    <w:bookmarkStart w:id="21" w:name="page22"/>
    <w:bookmarkEnd w:id="21"/>
    <w:p>
      <w:pPr>
        <w:spacing w:after="0" w:line="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such annual meeting and not later than the close of business on the later of (a) the 90th day prior to such annual meeting, and (b) the 10th day following the date on which public announcement of the date of such meeting is first made by the corporation. In no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event shall the public announcement of an adjournment or postponement of an annual meeting commence a new time period for the giving of a shareholder notice as described above. For purposes of this Article II, “public announcement” shall mean disclosure in a press release reported by Dow Jones News Service, Associated Press or a comparable national news service, in a document publicly filed by the corporation with the Securities and Exchange Commission, or in a notice pursuant to the applicable rules of an exchange on which the corporation’s securities are listed. To be in proper written form, the shareholder notice must comply with Section 2.12 below.</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2.11 Only such business shall be conducted at a special meeting of shareholders as shall have been brought before the meeting pursuant to the notice of meeting. Nominations of persons for election to the Board of Directors may be made at a special meeting of shareholders at which directors are to be elected pursuant to the notice of meeting (a) by or at the direction of the Board of Directors or (b) by any shareholder of the corporation who (1) is a shareholder of record at the time of giving such notice (2) is entitled to vote at the meeting, and (3) provides timely notice as to such nomination in the proper written form. In the event the corporation calls a special meeting of shareholders for the purpose of electing one or more directors to the Board of Directors, any shareholder meeting the requirements of the previous sentence may nominate a person or persons (as the case may be), for election to such position(s) as specified in the corporation’s notice of meeting, if the shareholder notice with respect to any nomination (including the completed and signed questionnaire and representation and agreement required by Section 2.15 below) shall be delivered to the secretary at the principal executive offices of the corporation not earlier than the close of business on the 90th day prior to the date of such special meeting and not later than the close of business on the later of (a) the 70th day prior to the date of such special meeting, and (b) if the first public announcement of the date of such special meeting is less than 80 days prior to the date of such special meeting, the 10th day following the day on which public announcement is first made of the date of the special meeting and of any nominees proposed by the Board of Directors to be elected at such meeting. In no event shall the public announcement of an adjournment or postponement of a special meeting commence a new time period for the giving of a shareholder notice as described above.</w:t>
      </w:r>
    </w:p>
    <w:p>
      <w:pPr>
        <w:spacing w:after="0" w:line="17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2.12 To be in proper written form, a shareholder notice (whether given pursuant to Section 2.3 above, Sections 2.9 and 2.10 above with respect to annual meetings or Section 2.11 above with respect to special meetings) to the secretary must be in writing and:</w:t>
      </w:r>
    </w:p>
    <w:p>
      <w:pPr>
        <w:spacing w:after="0" w:line="170" w:lineRule="exact"/>
        <w:rPr>
          <w:sz w:val="20"/>
          <w:szCs w:val="20"/>
          <w:color w:val="auto"/>
        </w:rPr>
      </w:pPr>
    </w:p>
    <w:p>
      <w:pPr>
        <w:ind w:right="320" w:firstLine="1355"/>
        <w:spacing w:after="0" w:line="291" w:lineRule="auto"/>
        <w:tabs>
          <w:tab w:leader="none" w:pos="1952" w:val="left"/>
        </w:tabs>
        <w:numPr>
          <w:ilvl w:val="1"/>
          <w:numId w:val="8"/>
        </w:numPr>
        <w:rPr>
          <w:rFonts w:ascii="Arial" w:cs="Arial" w:eastAsia="Arial" w:hAnsi="Arial"/>
          <w:sz w:val="16"/>
          <w:szCs w:val="16"/>
          <w:color w:val="auto"/>
        </w:rPr>
      </w:pPr>
      <w:r>
        <w:rPr>
          <w:rFonts w:ascii="Arial" w:cs="Arial" w:eastAsia="Arial" w:hAnsi="Arial"/>
          <w:sz w:val="16"/>
          <w:szCs w:val="16"/>
          <w:color w:val="auto"/>
        </w:rPr>
        <w:t>set forth, as to the shareholder giving the notice and the beneficial owner, if any, on whose behalf the director nomination or proposal of other business is made (i) the name and address of such shareholder, as they appear on the corporation’s books, and of such beneficial owner,</w:t>
      </w:r>
    </w:p>
    <w:p>
      <w:pPr>
        <w:ind w:firstLine="8"/>
        <w:spacing w:after="0" w:line="252"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(1) the class and number of shares of the corporation which are, directly or indirectly, owned beneficially and of record by such shareholder and such beneficial owner, (2) any option, warrant, convertible security,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whether or not such instrument or right shall be subject to settlement in the underlying class of capital stock of the corporation or otherwise (a “Derivative Instrument”) directly or indirectly owned beneficially by such shareholder or beneficial owner and any other direct or indirect economic interest held or owned beneficially by such shareholder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or beneficial owner to profit or share in any profit derived from any increase or decrease in the value of shares of the corporation, (3) any proxy, contract, arrangement, understanding, or relationship pursuant to which such shareholder or beneficial owner has a right to vote any shares of any security of the corporation, (4) any short interest in any security of the corporation (for purposes of this Section 2.12,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corporation owned beneficially by such shareholder or beneficial owner that are separated or separable from the underlying shares of the corporation, (6) any proportionate interest in shares of the corporation or Derivative Instruments held, directly or indirectly, by a general or limited partnership in which such shareholder or beneficial owner is a general partner or, directly or indirectly, beneficially owns an interest in a general partner, and (7) any performance-related fees (other than an asset-based fee) that such shareholder or beneficial owner is entitled to based on any increase or decrease in the value of shares of the corporation or Derivative Instruments, if any, as of the date of such notice including, without limitation, any such interests held by members of such shareholder’s or beneficial owner’s immediate family sharing the same household (which information shall be updated and supplemented by such shareholder and beneficial owner (A) as of the record date, (B) ten days before the meeting, and (C) immediately prior to the commencement of the meeting), and (iii) any other information relating to such shareholder and beneficial owner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69" w:lineRule="exact"/>
        <w:rPr>
          <w:sz w:val="20"/>
          <w:szCs w:val="20"/>
          <w:color w:val="auto"/>
        </w:rPr>
      </w:pPr>
    </w:p>
    <w:p>
      <w:pPr>
        <w:ind w:right="60" w:firstLine="1355"/>
        <w:spacing w:after="0" w:line="257" w:lineRule="auto"/>
        <w:tabs>
          <w:tab w:leader="none" w:pos="19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notice relates to any business other than a nomination of a director or directors that the shareholder proposes to bring before the meeting, set forth (i) a brief description of the business desired to be brought before the meeting, the reasons for conducting such business at the meeting and any material interest of such shareholder and beneficial owner, if any, in such business and (ii) a description of all agreements, arrangements and understandings between such shareholder and beneficial owner, if any, and any other person or persons (including their names) in connection with the proposal of such business by such shareholder;</w:t>
      </w:r>
    </w:p>
    <w:p>
      <w:pPr>
        <w:spacing w:after="0" w:line="188" w:lineRule="exact"/>
        <w:rPr>
          <w:rFonts w:ascii="Arial" w:cs="Arial" w:eastAsia="Arial" w:hAnsi="Arial"/>
          <w:sz w:val="18"/>
          <w:szCs w:val="18"/>
          <w:color w:val="auto"/>
        </w:rPr>
      </w:pPr>
    </w:p>
    <w:p>
      <w:pPr>
        <w:ind w:right="200" w:firstLine="1355"/>
        <w:spacing w:after="0" w:line="286" w:lineRule="auto"/>
        <w:tabs>
          <w:tab w:leader="none" w:pos="1952"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the notice relates to the nomination of a director or directors, (i) set forth with respect to each nominee, (1) all information relating to such nominee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nominee’s written consent to being named in a proxy statement as a nominee and to serving as a director of the corporation if elected) and</w:t>
      </w:r>
    </w:p>
    <w:p>
      <w:pPr>
        <w:spacing w:after="0" w:line="1" w:lineRule="exact"/>
        <w:rPr>
          <w:rFonts w:ascii="Arial" w:cs="Arial" w:eastAsia="Arial" w:hAnsi="Arial"/>
          <w:sz w:val="16"/>
          <w:szCs w:val="16"/>
          <w:color w:val="auto"/>
        </w:rPr>
      </w:pPr>
    </w:p>
    <w:p>
      <w:pPr>
        <w:ind w:right="60" w:firstLine="8"/>
        <w:spacing w:after="0" w:line="271"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(or any successor rule) if the shareholder making the nomination and any</w:t>
      </w:r>
    </w:p>
    <w:p>
      <w:pPr>
        <w:sectPr>
          <w:pgSz w:w="11900" w:h="16862" w:orient="portrait"/>
          <w:cols w:equalWidth="0" w:num="1">
            <w:col w:w="11360"/>
          </w:cols>
          <w:pgMar w:left="240" w:top="125" w:right="299" w:bottom="0" w:gutter="0" w:footer="0" w:header="0"/>
        </w:sectPr>
      </w:pP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62" w:orient="portrait"/>
          <w:cols w:equalWidth="0" w:num="1">
            <w:col w:w="11360"/>
          </w:cols>
          <w:pgMar w:left="240" w:top="125" w:right="299" w:bottom="0" w:gutter="0" w:footer="0" w:header="0"/>
          <w:type w:val="continuous"/>
        </w:sectPr>
      </w:pPr>
    </w:p>
    <w:bookmarkStart w:id="22" w:name="page23"/>
    <w:bookmarkEnd w:id="22"/>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 on whose behalf the nomination is made, or any affiliate or associate thereof or person acting in concert therewith, were the “registrant” for purposes of such rule and the nominee were a director or executive officer of such registrant, and (ii) with respect to each nominee, include a completed, dated and signed written questionnaire and written representation and agreement and any other information required by Section 2.15 below.</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2.13 Notwithstanding anything in the first sentence of Section 2.10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90 days prior to the first anniversary of the preceding year’s annual meeting, a shareholder notice required by Section 2.10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5" w:lineRule="exact"/>
        <w:rPr>
          <w:sz w:val="20"/>
          <w:szCs w:val="20"/>
          <w:color w:val="auto"/>
        </w:rPr>
      </w:pPr>
    </w:p>
    <w:p>
      <w:pPr>
        <w:ind w:firstLine="1355"/>
        <w:spacing w:after="0" w:line="271" w:lineRule="auto"/>
        <w:tabs>
          <w:tab w:leader="none" w:pos="19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Only such persons who are nominated as directors in accordance with the procedures set forth in Sections 2.9, 2.10, 2.11, 2.12, 2.13, 2.14 and 2.15 shall be eligible to be elected at an annual or special meeting of shareholders to serve as directors and only such other business shall be conducted at an annual or special meeting of shareholders as shall have been brought before the meeting in accordance with the procedures set forth in Sections 2.9, 2.10, 2.11, 2.12, 2.13 and 2.14. Except as otherwise provided by law, the Articles of Incorporation or these Bylaws, the person presiding over the meeting shall have the power and duty to determine whether a director nomination or any other business proposed to be brought before the meeting was made or proposed, as the case may be, in accordance with the procedures set forth in Sections 2.9, 2.10, 2.11, 2.12, 2.13, 2.14 and 2.15 and, if any proposed director nomination or other business is not in compliance with Sections 2.9, 2.10, 2.11, 2.12, 2.13, 2.14 and 2.15, to declare that such defective nomination or other proposal shall be disregarded.</w:t>
      </w:r>
    </w:p>
    <w:p>
      <w:pPr>
        <w:spacing w:after="0" w:line="178" w:lineRule="exact"/>
        <w:rPr>
          <w:rFonts w:ascii="Arial" w:cs="Arial" w:eastAsia="Arial" w:hAnsi="Arial"/>
          <w:sz w:val="17"/>
          <w:szCs w:val="17"/>
          <w:color w:val="auto"/>
        </w:rPr>
      </w:pPr>
    </w:p>
    <w:p>
      <w:pPr>
        <w:ind w:right="120" w:firstLine="1355"/>
        <w:spacing w:after="0" w:line="255" w:lineRule="auto"/>
        <w:tabs>
          <w:tab w:leader="none" w:pos="19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Sections 2.9, 2.10, 2.11, 2.12, 2.13 and 2.14, a shareholder shall also comply with all applicable requirements of the Exchange Act and the rules and regulations thereunder with respect to nominations of one or more persons for election as directors or proposals of other business to be brought before an annual or special meeting of shareholders. Nothing in Sections 2.9, 2.10, 2.11, 2.12, 2.13, 2.14 and 2.15 shall be deemed to affect any rights of (i) shareholders to request inclusion of proposals in the corporation’s proxy statement pursuant to Rule 14a-8 under the Exchange Act, or (ii) the holders of any series of Preferred Stock if and to the extent provided for under law, the Articles of Incorporation or these Bylaws.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2.15 To be eligible to be a nominee for election as a director of the corporation, the nominee must deliver (in accordance with the time periods prescribed for delivery of notice under Sections 2.10, 2.11 and 2.13) to the secretary at the principal executive offices of the corporation a written questionnaire with respect to the background and qualification of such nominee and the background of any other person or entity on whose behalf the nomination is being made (which form of questionnaire shall be provided by the secretary upon written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nominee, if elected as a director of the corporation, will act or vote on any issue or question (a “Voting Commitment”) that has not been previously disclosed in writing to the corporation or (ii) any Voting Commitment that could limit or interfere with such nominee’s ability to comply, if elected as a director of the corporation, with such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previously disclosed in writing to the corporation, and (c) in such nominee’s individual capacity and on behalf of any person or entity on whose behalf the nomination is being made, would be in compliance, if elected as a director of the corporation, and will comply with all applicable corporate governance, conflict of interest, confidentiality and stock ownership and trading policies and guidelines of the corporation. The corporation may also require such nominee to furnish such other information as may reasonably be required by the corporation to determine the eligibility of such nominee to serve as an independent director of the corporation or that could be material to a reasonable shareholder’s understanding of the independence, or lack thereof, of such nominee.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3.1 The number of directors which shall constitute the whole board of directors shall be not less than one. Such number of directors shall from time to time be fixed and determined by the directors and shall be set forth in the notice of any meeting of shareholders held for the purpose of electing directors. The directors shall be elected at the annual meeting of shareholders, except as provided in Section 3.2, and each director elected shall hold office until his successor shall be elected and qualify. Directors need not be residents of Texas or shareholders of the corporation.</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3.2 Any vacancy occurring in the board of directors may be filled by a majority of the remaining directors though less than a quorum of the board of directors. A director elected to fill a vacancy shall be elected for the unexpired term of his predecessor in office.</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3.3 The number of directors may be increased or decreased from time to time as provided in these bylaws but no decrease shall have the effect of shortening the term of any incumbent director. Any directorship to be filled by reason of an increase in the number of directors shall be filled by election at an annual or special meeting of shareholders.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Any director may be removed either for or without cause at any special meeting of shareholders duly called and held for such purpose.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356"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Meetings of the board of directors, regular or special, may be held either within or without the State of Texas.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first meeting of each newly elected board of directors shall be held at such time and place as shall be fixed by the vote of the</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shareholders at the annual meeting and no notice of such meeting shall be necessary to the newly elected directors in order legally to constitute the meeting, provided a quorum shall be present. In the event that the shareholders fail to fix the time and place of such first meeting, it shall be held without notice immediately following the annual meeting of shareholders, and at the same place, unless by the unanimous consent of the directors then elected and serving such time or place shall be changed.</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3.7 Regular meetings of the board of directors may be held upon such notice, or without notice, and at such time and at such place as shall from time to time be determined by the board.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3.8 Special meetings of the board of directors may be called by the chairman of the board of directors or the president and shall be called by the secretary on the written request of two directors. Notice of each special meeting of the board of directors shall be given to each director at least 24 hours before the time of the meeting.</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3.9 Attendance of a director at any meeting shall constitute a waiver of notice of such meeting, except where a director attends for the express purpose of objecting to the transaction of any business on the ground that the meeting is not lawfully called or convened. Except as may be otherwise provided by law or by the articles of incorporation or by the bylaws, neither the business to be transacted at, nor the purpose of, any regular or special meeting of the board of directors need be specified in the notice or waiver of notice of such meeting.</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3.10 At all meetings of the board of directors a majority of the directors shall constitute a quorum for the transaction of business and the act of a majority of the directors present at any meeting at which there is a quorum shall be the act of the board of directors, unless otherwise specifically provided by law, the articles of incorporation or the bylaws. If a quorum shall not be present at any meeting of directors, the directors present thereat may adjourn the meeting from time to time, without notice other than announcement at the meeting, until a quorum shall be present.</w:t>
      </w:r>
    </w:p>
    <w:p>
      <w:pPr>
        <w:spacing w:after="0" w:line="17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3.11 The board of directors, by resolution passed by a majority of the full board, may from time to time designate a member or members of the board to constitute committees, including an executive committee, which shall in each case consist of one or more directors and shall have and may exercise such powers, as the board may determine and specify in the respective resolutions appointing them. A majority of all the members of any such committee may determine its action and fix the time and place of its meetings, unless the board of directors shall otherwise provide. The board of directors shall have power at any time to change the number, subject as aforesaid, and members of any such committee, to fill vacancies and to discharge any such committee.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3.12 Any action required or permitted to be taken at a meeting of the board of directors or any committee may be taken without a meeting if a consent in writing, setting forth the action so taken, is signed by all the members of the board of directors or committee, as the case may be.</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3.13 Members of the board of directors or members of any committee designated by the board may participate in and hold a meeting of such board or committee by means of conference telephone or similar communications equipment by means of which all persons participating in the meeting can hear each other, and participation in a meeting pursuant to this provision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3.14 By resolution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4.1 Any notice to directors or shareholders shall be in writing and shall be delivered personally or mailed to the directors or shareholders at their respective addresses appearing on the books of the corporation. Notice by mail shall be deemed to be given at the time when the same shall be deposited in the United States mail, postage prepaid. Notice to directors may also be given by telegram.</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4.2 Whenever any notice is required to be given under the provisions of the statutes or of the articles of incorporation or of these bylaws, a waiver thereof in writing signed by the person or persons entitled to such notice, whether before or after the time stated therein, shall be deemed equivalent to the giving of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5.1 The officers of the corporation shall include a president and a secretary. The board of directors may appoint such other officers and agents as it deems necessary or advisable, including, without limitation, a chief executive officer, a chairman of the board, a vice chairman of the board, a treasurer, one or more vice presidents (which may be designated executive vice presidents or senior vice presidents), and one or more assistant vice presidents, assistant secretaries and assistant treasurers. Any two or more offices may be held by the same person. Each officer shall exercise such powers and perform such duties as provided hereinafter or as determined by the board of directors. No officer shall execute, acknowledge, verify or countersign any instrument on behalf of the corporation in more than one capacity, if such instrument is required by law, by these bylaws or by any act of the corporation to be executed,</w:t>
      </w:r>
    </w:p>
    <w:p>
      <w:pPr>
        <w:sectPr>
          <w:pgSz w:w="11900" w:h="16838" w:orient="portrait"/>
          <w:cols w:equalWidth="0" w:num="1">
            <w:col w:w="11400"/>
          </w:cols>
          <w:pgMar w:left="240" w:top="125" w:right="259" w:bottom="111"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11"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acknowledged, verified or countersigned by two or more officers. The chairman and vice chairman of the board shall be elected from among the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the foregoing exceptions, none of the other officers need be a director, and none of the officers need be a shareholder of the corporation.</w:t>
      </w:r>
    </w:p>
    <w:p>
      <w:pPr>
        <w:spacing w:after="0" w:line="21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5.2 The officers of the corporation shall be elected annually by the board of directors at its first regular meeting held after the annual meeting of shareholders or as soon thereafter as conveniently possible.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47"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5.3 Any officer or agent elected or appointed by the board of directors may be removed without cause by the affirmative vote of a majority of the board of directors whenever, in its judgment, the best interests of the corporation shall be served thereby, but such removal shall be without prejudice to the contractual rights, if any, of the person so removed.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5.4 Any vacancy occurring in any office of the corporation by death, resignation, removal or otherwise, may be filled by the board of directors for the unexpired portion of the term.</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5.5 The salaries of all officers and agents of the corporation shall be fixed by the board of directors or pursuant to its direction; and no officer shall be prevented from receiving such salary by reason of his also being a director.</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5.6 The chairman of the board (if such officer is appointed by the board of directors) shall preside at all meetings of the board of directors or of the shareholders of the corporation. In the chairman’s absence, such duties shall be attended to by the vice chairman of the board (if such officer is appointed by the board of directors). The chairman shall formulate and submit to the board of directors or the executive committee matters of general policy for the corporation and shall perform such other duties as usually appertain to the office or as may be prescribed by the board of directors or the executive committee.</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5.7 The chief executive officer (if such officer is appointed by the board of directors) shall, subject to the control of the board of directors, supervise and control the business and affairs of the corporation, and shall see that all orders and resolutions of the board of directors and the executive committee are carried into effect. He shall have all powers and duties of supervision and management usually vested in the general manager of a corporation, including the power to appoint and remove subordinate officers, agents and employees, except those elected or appointed by the board of directors. In the absence of the chairman of the board or the vice chairman of the board (if such officer is appointed by the board of directors), the chief executive officer shall preside at all meetings of the board of directors and of the shareholders. He may also preside at any such meeting attended by the chairman or vice chairman of the board if he is so designated by the chairman, or in the chairman’s absence, by the vice chairman.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chief executive officer shall keep the board of directors and the executive committee fully informed and shall consult with them concerning the business of the corporation. He shall also perform such other duties as may be prescribed by the shareholders, the board of directors or the executive committee.</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5.8 If no chief executive officer is appointed by the board of directors, the president shall be the chief executive officer of the corporation. Subject to the control of the board of directors and the chief executive officer (if such officer is appointed by the board of directors), the president shall in general supervise and control the business and affairs of the corporation. In the absence of the chairman of the board, the vice chairman of the board and the chief executive officer (if such officers are appointed by the board of directors), the president shall preside at all meetings of the board of directors and of the shareholders. He may also preside at any such meeting attended by the chairman or vice chairman of the board or the chief executive officer if he is so designated by the chairman, or in the chairman’s absence, by the vice chairman, or in the vice chairman’s absence, by the chief executive officer. Subject to the control of the chief executive officer (if such officer is appointed by the board of directors), the president shall have the power to appoint and remove subordinate officers, agents and employees, except those elected or appointed by the board of directors. The president shall keep the board of directors and the executive committee fully informed and shall consult with them concerning the business of the corporation. He may sign with the secretary or any other officer of the corporation thereunto authorized by the board of directors, certificates for shares of the corporation and any deeds, bonds, mortgages, contracts, checks, notes, drafts or other instruments which the board of directors has authorized to be executed, except in cases where the signing and execution thereof has been expressly delegated by these bylaws or by the board of directors to some other officer or agent of the corporation, or shall be required by law to be otherwise executed. He shall vote, or give a proxy to any other officer of the corporation to vote, all shares of stock of any other corporation standing in the name of the corporation and in general he shall perform all other duties normally incident to the office of president and such other duties as may be prescribed by the shareholders, the board of directors or the executive committee.</w:t>
      </w:r>
    </w:p>
    <w:p>
      <w:pPr>
        <w:spacing w:after="0" w:line="16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5.9 If one or more vice presidents are appointed by the board of directors, in the absence of the president, or in the event of his inability or refusal to act, the executive vice president (or in the event there shall be no vice president designated executive vice president, any vice president designated by the board of directors) shall perform the duties and exercise the powers of the president. Any vice president may sign, with the secretary or assistant secretary, certificates for shares of the corporation. The vice presidents shall perform such other duties as from time to time may be assigned to them by the president, the board of directors or the executive committee.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5.10 The secretary shall (a) keep the minutes of the meetings of the shareholders,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(d) keep or cause to be kept a register of the post office address of each shareholder which shall be furnished by such shareholder; (e) sign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with the president, or an executive vice president or vice president, certificates for shares of the corporation, the issue of which shall have been authorized by resolution of the board of directors; (f) have general charge of the stock transfer books of the corporation; and (g) in all duties normally incident to the office of secretary and such other duties as from time to time may be assigned to him by the president, the board of directors or the executive committee.</w:t>
      </w:r>
    </w:p>
    <w:p>
      <w:pPr>
        <w:sectPr>
          <w:pgSz w:w="11900" w:h="16838" w:orient="portrait"/>
          <w:cols w:equalWidth="0" w:num="1">
            <w:col w:w="11420"/>
          </w:cols>
          <w:pgMar w:left="240" w:top="341" w:right="239" w:bottom="0" w:gutter="0" w:footer="0" w:header="0"/>
        </w:sectPr>
      </w:pPr>
    </w:p>
    <w:bookmarkStart w:id="25" w:name="page26"/>
    <w:bookmarkEnd w:id="25"/>
    <w:p>
      <w:pPr>
        <w:spacing w:after="0" w:line="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5.11 If a treasurer is appointed by the board of directors, the board of directors may require that the treasurer give a bond for the faithful discharge of his duties in such sum and with such surety or sureties as the board of directors shall determine. He shall (a) have charge and custody of and be responsible for all funds and securities of the corporation; receive and give receipts for moneys due and payable to the corporation from any source whatsoever and deposit all such moneys in the name of the corporation in the corporation’s banks, trust companies or other depositories; (b) prepare, or cause to be prepared, for submission at each regular meeting of the board of directors, at each annual meeting of the shareholders, and at such other times as may be required by the board of directors, the president or the executive committee, a statement of financial condition of the corporation in such detail as may be required; and (c) in general, perform all the duties incident to the office of treasurer and such other duties as from time to time may be assigned to him by the president, the board of directors or the executive committee.</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5.12 The assistant secretaries and assistant treasurers (if such officers are appointed by the board of directors) shall, in general, perform such duties as shall be assigned to them by the secretary or the treasurer, respectively, or by the president, the board of directors or the executive committee. The assistant secretaries and assistant treasurers shall, in the absence of the secretary or treasurer,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REPRESENTING SHARES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6.1 The shares of the corporation shall be represented by certificates or may be uncertificated. Any shares of the corporation represented by certificates shall be signed by the president or a vice president and the secretary or an assistant secretary of the corporation, and may be sealed with the seal of the corporation or a facsimile thereof.</w:t>
      </w:r>
    </w:p>
    <w:p>
      <w:pPr>
        <w:spacing w:after="0" w:line="181"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6.2 Within a reasonable time after the issuance or transfer of uncertificated stock, the corporation shall send to the registered owner of the uncertificated shares a written notice that sets forth all of the information required by Article 2.19 of the Texas Business Corporation Act.</w:t>
      </w:r>
    </w:p>
    <w:p>
      <w:pPr>
        <w:spacing w:after="0" w:line="14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6.3 The signatures of the president or vice president and the secretary or assistant secretary upon any certificate may be facsimiles if the certificate is countersigned by a transfer agent, or registered by a registrar, other than the corporation itself or an employee of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corporation. In case any officer who has signed or whose facsimile signature has been placed upon a certificate shall have ceased to be such officer before the certificate is issued, it may be issued by the corporation with the same effect as if he were such officer at the date of its issue.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6.4 The board of directors may direct a new certificate to be issued in place of any certificate theretofore issued by the corporation alleged to have been lost or destroyed. When authorizing the issue of a new certificate, the board of directors, in its discretion and as a condition precedent to the issuance thereof, may prescribe such terms and conditions as it deems expedient and may require such indemnities as it deems adequate to protect the corporation from any claim that may be made against it with respect to any such certificate alleged to have been lost or destroyed.</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6.5 Upon surrender to the corporation or the transfer agent of the corporation of a certificate representing shares duly endorsed or accompanied by proper evidence of succession, assignment or authority to transfer, a new certificate may be issued to the person entitled thereto and the old certificate canceled and the transaction recorded upon the books of the corporation.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6.6 Notwithstanding anything to the contrary in these bylaws, the corporation shall not be required to issue a new certificate, or any certificate at all, if the corporation has determined that such shares shall be uncertificated.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CLOSING OF TRANSFER BOOKS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6.7 For the purpose of determining shareholders entitled to notice of or to vote at any meeting of shareholders, or any adjournment thereof, or entitled to receive payment of any dividend, or in order to make a determination of shareholders for any other proper purpose, the board of directors may provide that the stock transfer books shall be closed for a stated period but not to exceed, in any case, fifty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fifty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 been made through the closing of the stock transfer books and the stated period of closing has expired.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REGISTERED SHAREHOLDERS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6.8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Texas.</w:t>
      </w:r>
    </w:p>
    <w:p>
      <w:pPr>
        <w:sectPr>
          <w:pgSz w:w="11900" w:h="16934" w:orient="portrait"/>
          <w:cols w:equalWidth="0" w:num="1">
            <w:col w:w="11400"/>
          </w:cols>
          <w:pgMar w:left="240" w:top="125" w:right="259" w:bottom="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LIST OF SHAREHOLDERS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6.9 The officer or agent having charge of the transfer books for shares shall make, at least ten days before each meeting of shareholders, a complete list of the shareholders entitled to vote at such meeting, arranged in alphabetical order, with the address of each and the number of shares held by each, which list, for a period of ten days prior to such meeting, shall be kept on file at the registered office of the corporation and shall be subject to inspection by any shareholder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shall be prima facie evidence as to who are the shareholders entitled to examine such list or share ledger or transfer book or to vote at any meeting of the shareholders.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7.1 Subject to the provisions of the articles of incorporation relating thereto, if any, dividends may be declared by the board of directors, in its discretion, at any regular or special meeting, pursuant to law. Dividends may be paid in cash, in property or in the corporation’s own shares, subject to any provisions of the articles of incorporation.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7.2 Before payment of any dividend, there may be set aside out of any funds of the corporation available for dividends such sum or sums as the directors from time to time, in their absolute discretion, think proper as a reserve fund for meeting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7.3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7.5 The corporate seal shall be in such form as may be prescribed by the board of directors. The seal may be used by causing it or a facsimile thereof to be impressed or affixed or in any manner reproduced.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BOOKS AND RECORDS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7.6 The corporation shall keep correct and complete books and records of account and shall keep minutes of the proceedings of its shareholders and board of directors, and shall keep at its registered office or principal place of business, or at the office of its transfer agent or registrar, a record of its shareholders, giving the names and addresses of all shareholders and the number and class of the shares held by each.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DIRECTORS AND OFFICERS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Article 2.02-1 of the Texas Business Corporation Act (the “Article”) permits the corporation to indemnify its present and former directors and officers to the extent and under the circumstances set forth therein. In addition, in some instances, indemnification is required by the Article. The corporation hereby elects to and does hereby indemnify the following persons to the fullest extent permitted or required by the Article promptly upon request of any such person making a request for indemnity hereunder: (a) any person who is or was a director or officer of the corporation; (b) any person who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and (c) any person who is not or was not a director or officer of the corporation but who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Such obligation to so indemnify and to so make such determinations may be specifically enforced by resort to any court of competent jurisdiction. Further, the corporation shall pay or reimburse the reasonable expenses of such persons covered hereby in advance of the final disposition of any proceeding to the fullest extent permitted by the Article and subject to the conditions thereof. If the Texas Business Corporation Act or any other applicable Texas statute is hereafter amended to authorize a corporation to further indemnify the above described persons, the corporation shall, in addition to the indemnification provided herein, indemnify such persons to the fullest extent permitted or required under such amended act or statute. Any repeal or modification of this Article VIII by the directors or shareholders of the corporation shall be prospective only, and shall not adversely affect any indemnity obligation existing hereunder at the time of such repeal or modification.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w:t>
      </w:r>
    </w:p>
    <w:p>
      <w:pPr>
        <w:sectPr>
          <w:pgSz w:w="11900" w:h="16838" w:orient="portrait"/>
          <w:cols w:equalWidth="0" w:num="1">
            <w:col w:w="11400"/>
          </w:cols>
          <w:pgMar w:left="240" w:top="341" w:right="259" w:bottom="32"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These bylaws may be altered, amended, or repealed or new bylaws may be adopted by a majority of the whole board of directors at any regular or special meeting.</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6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00" w:firstLine="8"/>
        <w:spacing w:after="0" w:line="264" w:lineRule="auto"/>
        <w:tabs>
          <w:tab w:leader="none" w:pos="6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30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80" w:firstLine="8"/>
        <w:spacing w:after="0" w:line="308" w:lineRule="auto"/>
        <w:tabs>
          <w:tab w:leader="none" w:pos="66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30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40"/>
              <w:spacing w:after="0"/>
              <w:rPr>
                <w:sz w:val="20"/>
                <w:szCs w:val="20"/>
                <w:color w:val="auto"/>
              </w:rPr>
            </w:pPr>
            <w:r>
              <w:rPr>
                <w:rFonts w:ascii="Arial" w:cs="Arial" w:eastAsia="Arial" w:hAnsi="Arial"/>
                <w:sz w:val="18"/>
                <w:szCs w:val="18"/>
                <w:color w:val="auto"/>
              </w:rPr>
              <w:t>August 10, 2009</w:t>
            </w:r>
          </w:p>
        </w:tc>
        <w:tc>
          <w:tcPr>
            <w:tcW w:w="7520" w:type="dxa"/>
            <w:vAlign w:val="bottom"/>
            <w:gridSpan w:val="2"/>
          </w:tcPr>
          <w:p>
            <w:pPr>
              <w:ind w:left="1840"/>
              <w:spacing w:after="0"/>
              <w:rPr>
                <w:sz w:val="20"/>
                <w:szCs w:val="20"/>
                <w:color w:val="auto"/>
              </w:rPr>
            </w:pPr>
            <w:r>
              <w:rPr>
                <w:rFonts w:ascii="Arial" w:cs="Arial" w:eastAsia="Arial" w:hAnsi="Arial"/>
                <w:sz w:val="18"/>
                <w:szCs w:val="18"/>
                <w:color w:val="auto"/>
              </w:rPr>
              <w:t>By:  /S/ W.M. “RUSTY” RUSH</w:t>
            </w:r>
          </w:p>
        </w:tc>
        <w:tc>
          <w:tcPr>
            <w:tcW w:w="40" w:type="dxa"/>
            <w:vAlign w:val="bottom"/>
          </w:tcPr>
          <w:p>
            <w:pPr>
              <w:spacing w:after="0"/>
              <w:rPr>
                <w:sz w:val="20"/>
                <w:szCs w:val="20"/>
                <w:color w:val="auto"/>
              </w:rPr>
            </w:pPr>
          </w:p>
        </w:tc>
      </w:tr>
      <w:tr>
        <w:trPr>
          <w:trHeight w:val="195"/>
        </w:trPr>
        <w:tc>
          <w:tcPr>
            <w:tcW w:w="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620" w:type="dxa"/>
            <w:vAlign w:val="bottom"/>
            <w:tcBorders>
              <w:bottom w:val="single" w:sz="8" w:color="010101"/>
            </w:tcBorders>
          </w:tcPr>
          <w:p>
            <w:pPr>
              <w:spacing w:after="0"/>
              <w:rPr>
                <w:sz w:val="24"/>
                <w:szCs w:val="24"/>
                <w:color w:val="auto"/>
              </w:rPr>
            </w:pPr>
          </w:p>
        </w:tc>
        <w:tc>
          <w:tcPr>
            <w:tcW w:w="328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20" w:firstLine="8"/>
        <w:spacing w:after="0" w:line="342" w:lineRule="auto"/>
        <w:tabs>
          <w:tab w:leader="none" w:pos="6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300" w:firstLine="8"/>
        <w:spacing w:after="0" w:line="264"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3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3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420" w:firstLine="656"/>
        <w:spacing w:after="0" w:line="264"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80" w:firstLine="8"/>
        <w:spacing w:after="0" w:line="308" w:lineRule="auto"/>
        <w:tabs>
          <w:tab w:leader="none" w:pos="66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3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3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40"/>
              <w:spacing w:after="0"/>
              <w:rPr>
                <w:sz w:val="20"/>
                <w:szCs w:val="20"/>
                <w:color w:val="auto"/>
              </w:rPr>
            </w:pPr>
            <w:r>
              <w:rPr>
                <w:rFonts w:ascii="Arial" w:cs="Arial" w:eastAsia="Arial" w:hAnsi="Arial"/>
                <w:sz w:val="18"/>
                <w:szCs w:val="18"/>
                <w:color w:val="auto"/>
              </w:rPr>
              <w:t>August 10, 2009</w:t>
            </w:r>
          </w:p>
        </w:tc>
        <w:tc>
          <w:tcPr>
            <w:tcW w:w="7520" w:type="dxa"/>
            <w:vAlign w:val="bottom"/>
            <w:gridSpan w:val="2"/>
          </w:tcPr>
          <w:p>
            <w:pPr>
              <w:ind w:left="1840"/>
              <w:spacing w:after="0"/>
              <w:rPr>
                <w:sz w:val="20"/>
                <w:szCs w:val="20"/>
                <w:color w:val="auto"/>
              </w:rPr>
            </w:pPr>
            <w:r>
              <w:rPr>
                <w:rFonts w:ascii="Arial" w:cs="Arial" w:eastAsia="Arial" w:hAnsi="Arial"/>
                <w:sz w:val="18"/>
                <w:szCs w:val="18"/>
                <w:color w:val="auto"/>
              </w:rPr>
              <w:t>By:  /S/ STEVEN L. KELLER</w:t>
            </w:r>
          </w:p>
        </w:tc>
        <w:tc>
          <w:tcPr>
            <w:tcW w:w="40" w:type="dxa"/>
            <w:vAlign w:val="bottom"/>
          </w:tcPr>
          <w:p>
            <w:pPr>
              <w:spacing w:after="0"/>
              <w:rPr>
                <w:sz w:val="20"/>
                <w:szCs w:val="20"/>
                <w:color w:val="auto"/>
              </w:rPr>
            </w:pPr>
          </w:p>
        </w:tc>
      </w:tr>
      <w:tr>
        <w:trPr>
          <w:trHeight w:val="195"/>
        </w:trPr>
        <w:tc>
          <w:tcPr>
            <w:tcW w:w="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620" w:type="dxa"/>
            <w:vAlign w:val="bottom"/>
            <w:tcBorders>
              <w:bottom w:val="single" w:sz="8" w:color="010101"/>
            </w:tcBorders>
          </w:tcPr>
          <w:p>
            <w:pPr>
              <w:spacing w:after="0"/>
              <w:rPr>
                <w:sz w:val="24"/>
                <w:szCs w:val="24"/>
                <w:color w:val="auto"/>
              </w:rPr>
            </w:pPr>
          </w:p>
        </w:tc>
        <w:tc>
          <w:tcPr>
            <w:tcW w:w="328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5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2009,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10, 2009</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2009,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10, 2009</w:t>
            </w: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lowerLetter"/>
      <w:start w:val="1"/>
    </w:lvl>
    <w:lvl w:ilvl="1">
      <w:lvlJc w:val="left"/>
      <w:lvlText w:val="(%2)"/>
      <w:numFmt w:val="lowerLetter"/>
      <w:start w:val="1"/>
    </w:lvl>
  </w:abstractNum>
  <w:abstractNum w:abstractNumId="8">
    <w:nsid w:val="140E0F76"/>
    <w:multiLevelType w:val="hybridMultilevel"/>
    <w:lvl w:ilvl="0">
      <w:lvlJc w:val="left"/>
      <w:lvlText w:val="(%1)"/>
      <w:numFmt w:val="lowerLetter"/>
      <w:start w:val="35"/>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2"/>
    </w:lvl>
  </w:abstractNum>
  <w:abstractNum w:abstractNumId="10">
    <w:nsid w:val="109CF92E"/>
    <w:multiLevelType w:val="hybridMultilevel"/>
    <w:lvl w:ilvl="0">
      <w:lvlJc w:val="left"/>
      <w:lvlText w:val="(%1)"/>
      <w:numFmt w:val="decimal"/>
      <w:start w:val="2"/>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2019-12-10T14:40:09Z</dcterms:created>
  <dcterms:modified xsi:type="dcterms:W3CDTF">2019-12-10T14:40:09Z</dcterms:modified>
</cp:coreProperties>
</file>