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420" w:hanging="652"/>
        <w:spacing w:after="0" w:line="237"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400" w:hanging="652"/>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60"/>
          </w:cols>
          <w:pgMar w:left="240" w:top="530" w:right="199" w:bottom="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2920" w:space="720"/>
            <w:col w:w="7820"/>
          </w:cols>
          <w:pgMar w:left="240" w:top="530" w:right="199" w:bottom="0" w:gutter="0" w:footer="0" w:header="0"/>
          <w:type w:val="continuous"/>
        </w:sectPr>
      </w:pP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0-20797</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1"/>
          <w:szCs w:val="31"/>
          <w:b w:val="1"/>
          <w:bCs w:val="1"/>
          <w:color w:val="auto"/>
        </w:rPr>
        <w:t>RUSH ENTERPRISES, INC.</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60"/>
          </w:cols>
          <w:pgMar w:left="240" w:top="530" w:right="199" w:bottom="0" w:gutter="0" w:footer="0" w:header="0"/>
          <w:type w:val="continuous"/>
        </w:sectPr>
      </w:pP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74-1733016</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2">
            <w:col w:w="6660" w:space="720"/>
            <w:col w:w="4080"/>
          </w:cols>
          <w:pgMar w:left="240" w:top="530" w:right="199" w:bottom="0" w:gutter="0" w:footer="0" w:header="0"/>
          <w:type w:val="continuous"/>
        </w:sectPr>
      </w:pPr>
    </w:p>
    <w:p>
      <w:pPr>
        <w:ind w:left="1680"/>
        <w:spacing w:after="0"/>
        <w:rPr>
          <w:sz w:val="20"/>
          <w:szCs w:val="20"/>
          <w:color w:val="auto"/>
        </w:rPr>
      </w:pPr>
      <w:r>
        <w:rPr>
          <w:rFonts w:ascii="Arial" w:cs="Arial" w:eastAsia="Arial" w:hAnsi="Arial"/>
          <w:sz w:val="18"/>
          <w:szCs w:val="18"/>
          <w:color w:val="auto"/>
        </w:rPr>
        <w:t>incorporation or organization)</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555 I.H. 35 South, Suite 500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Braunfels, Texas 78130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(830) 626-5200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60" w:firstLine="36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80"/>
        <w:spacing w:after="0"/>
        <w:tabs>
          <w:tab w:leader="none" w:pos="160" w:val="left"/>
        </w:tabs>
        <w:rPr>
          <w:sz w:val="20"/>
          <w:szCs w:val="20"/>
          <w:color w:val="auto"/>
        </w:rPr>
      </w:pPr>
      <w:r>
        <w:rPr>
          <w:rFonts w:ascii="Arial" w:cs="Arial" w:eastAsia="Arial" w:hAnsi="Arial"/>
          <w:sz w:val="18"/>
          <w:szCs w:val="18"/>
          <w:color w:val="auto"/>
        </w:rPr>
        <w:t>Yes x</w:t>
        <w:tab/>
        <w:t>No o</w:t>
      </w:r>
    </w:p>
    <w:p>
      <w:pPr>
        <w:spacing w:after="0" w:line="211" w:lineRule="exact"/>
        <w:rPr>
          <w:sz w:val="24"/>
          <w:szCs w:val="24"/>
          <w:color w:val="auto"/>
        </w:rPr>
      </w:pPr>
    </w:p>
    <w:p>
      <w:pPr>
        <w:ind w:right="300" w:firstLine="36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60"/>
          </w:cols>
          <w:pgMar w:left="240" w:top="530" w:right="199" w:bottom="0" w:gutter="0" w:footer="0" w:header="0"/>
          <w:type w:val="continuous"/>
        </w:sectPr>
      </w:pPr>
    </w:p>
    <w:p>
      <w:pPr>
        <w:spacing w:after="0" w:line="1" w:lineRule="exact"/>
        <w:rPr>
          <w:sz w:val="24"/>
          <w:szCs w:val="24"/>
          <w:color w:val="auto"/>
        </w:rPr>
      </w:pPr>
    </w:p>
    <w:p>
      <w:pPr>
        <w:ind w:left="360"/>
        <w:spacing w:after="0"/>
        <w:tabs>
          <w:tab w:leader="none" w:pos="33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11" w:lineRule="exact"/>
        <w:rPr>
          <w:sz w:val="24"/>
          <w:szCs w:val="24"/>
          <w:color w:val="auto"/>
        </w:rPr>
      </w:pPr>
    </w:p>
    <w:p>
      <w:pPr>
        <w:sectPr>
          <w:pgSz w:w="11900" w:h="16838" w:orient="portrait"/>
          <w:cols w:equalWidth="0" w:num="3">
            <w:col w:w="5260" w:space="720"/>
            <w:col w:w="1520" w:space="180"/>
            <w:col w:w="3780"/>
          </w:cols>
          <w:pgMar w:left="240" w:top="530" w:right="199" w:bottom="0" w:gutter="0" w:footer="0" w:header="0"/>
          <w:type w:val="continuous"/>
        </w:sectPr>
      </w:pPr>
    </w:p>
    <w:p>
      <w:pPr>
        <w:spacing w:after="0" w:line="11" w:lineRule="exact"/>
        <w:rPr>
          <w:sz w:val="24"/>
          <w:szCs w:val="24"/>
          <w:color w:val="auto"/>
        </w:rPr>
      </w:pPr>
    </w:p>
    <w:p>
      <w:pPr>
        <w:jc w:val="cente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jc w:val="center"/>
        <w:ind w:right="40"/>
        <w:spacing w:after="0"/>
        <w:tabs>
          <w:tab w:leader="none" w:pos="8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ectPr>
          <w:pgSz w:w="11900" w:h="16838" w:orient="portrait"/>
          <w:cols w:equalWidth="0" w:num="1">
            <w:col w:w="11460"/>
          </w:cols>
          <w:pgMar w:left="240" w:top="530" w:right="199" w:bottom="0" w:gutter="0" w:footer="0" w:header="0"/>
          <w:type w:val="continuous"/>
        </w:sectPr>
      </w:pPr>
    </w:p>
    <w:p>
      <w:pPr>
        <w:spacing w:after="0" w:line="211" w:lineRule="exact"/>
        <w:rPr>
          <w:sz w:val="24"/>
          <w:szCs w:val="24"/>
          <w:color w:val="auto"/>
        </w:rPr>
      </w:pPr>
    </w:p>
    <w:p>
      <w:pPr>
        <w:ind w:left="2000"/>
        <w:spacing w:after="0"/>
        <w:rPr>
          <w:sz w:val="20"/>
          <w:szCs w:val="20"/>
          <w:color w:val="auto"/>
        </w:rPr>
      </w:pPr>
      <w:r>
        <w:rPr>
          <w:rFonts w:ascii="Arial" w:cs="Arial" w:eastAsia="Arial" w:hAnsi="Arial"/>
          <w:sz w:val="18"/>
          <w:szCs w:val="18"/>
          <w:color w:val="auto"/>
        </w:rPr>
        <w:t>Indicated below is the number of shares outstanding of the registrant’s common stock, as of August 7, 2006.</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6440" w:type="dxa"/>
            <w:vAlign w:val="bottom"/>
            <w:gridSpan w:val="2"/>
            <w:vMerge w:val="restart"/>
          </w:tcPr>
          <w:p>
            <w:pPr>
              <w:ind w:left="2720"/>
              <w:spacing w:after="0"/>
              <w:rPr>
                <w:sz w:val="20"/>
                <w:szCs w:val="20"/>
                <w:color w:val="auto"/>
              </w:rPr>
            </w:pPr>
            <w:r>
              <w:rPr>
                <w:rFonts w:ascii="Arial" w:cs="Arial" w:eastAsia="Arial" w:hAnsi="Arial"/>
                <w:sz w:val="14"/>
                <w:szCs w:val="14"/>
                <w:b w:val="1"/>
                <w:bCs w:val="1"/>
                <w:color w:val="auto"/>
              </w:rPr>
              <w:t>Title of Class</w:t>
            </w: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2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644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6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Class A Common Stock, $.01 Par Value</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17,036,656</w:t>
            </w: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Class B Common Stock, $.01 Par Value</w:t>
            </w:r>
          </w:p>
        </w:tc>
        <w:tc>
          <w:tcPr>
            <w:tcW w:w="840" w:type="dxa"/>
            <w:vAlign w:val="bottom"/>
          </w:tcPr>
          <w:p>
            <w:pPr>
              <w:jc w:val="right"/>
              <w:spacing w:after="0"/>
              <w:rPr>
                <w:sz w:val="20"/>
                <w:szCs w:val="20"/>
                <w:color w:val="auto"/>
              </w:rPr>
            </w:pPr>
            <w:r>
              <w:rPr>
                <w:rFonts w:ascii="Arial" w:cs="Arial" w:eastAsia="Arial" w:hAnsi="Arial"/>
                <w:sz w:val="18"/>
                <w:szCs w:val="18"/>
                <w:color w:val="auto"/>
              </w:rPr>
              <w:t>8,063,915</w:t>
            </w: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4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4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5"/>
        </w:trPr>
        <w:tc>
          <w:tcPr>
            <w:tcW w:w="2040" w:type="dxa"/>
            <w:vAlign w:val="bottom"/>
            <w:tcBorders>
              <w:bottom w:val="single" w:sz="8" w:color="010101"/>
            </w:tcBorders>
          </w:tcPr>
          <w:p>
            <w:pPr>
              <w:spacing w:after="0"/>
              <w:rPr>
                <w:sz w:val="24"/>
                <w:szCs w:val="24"/>
                <w:color w:val="auto"/>
              </w:rPr>
            </w:pPr>
          </w:p>
        </w:tc>
        <w:tc>
          <w:tcPr>
            <w:tcW w:w="62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p>
      <w:pPr>
        <w:spacing w:after="0" w:line="229" w:lineRule="exact"/>
        <w:rPr>
          <w:sz w:val="24"/>
          <w:szCs w:val="24"/>
          <w:color w:val="auto"/>
        </w:rPr>
      </w:pPr>
    </w:p>
    <w:p>
      <w:pPr>
        <w:ind w:left="540"/>
        <w:spacing w:after="0"/>
        <w:tabs>
          <w:tab w:leader="none" w:pos="162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6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Consolidated Balance Sheets - June 30, 2006 (unaudited) and December 31, 2005</w:t>
        </w:r>
      </w:hyperlink>
    </w:p>
    <w:p>
      <w:pPr>
        <w:sectPr>
          <w:pgSz w:w="11900" w:h="16838" w:orient="portrait"/>
          <w:cols w:equalWidth="0" w:num="1">
            <w:col w:w="11460"/>
          </w:cols>
          <w:pgMar w:left="240" w:top="530" w:right="199" w:bottom="0" w:gutter="0" w:footer="0" w:header="0"/>
          <w:type w:val="continuous"/>
        </w:sectPr>
      </w:pPr>
    </w:p>
    <w:bookmarkStart w:id="1" w:name="page2"/>
    <w:bookmarkEnd w:id="1"/>
    <w:p>
      <w:pPr>
        <w:spacing w:after="0" w:line="87" w:lineRule="exact"/>
        <w:rPr>
          <w:sz w:val="20"/>
          <w:szCs w:val="20"/>
          <w:color w:val="auto"/>
        </w:rPr>
      </w:pPr>
    </w:p>
    <w:p>
      <w:pPr>
        <w:ind w:left="1640" w:right="3580"/>
        <w:spacing w:after="0" w:line="277"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 - For the Three Months and Six Months Ended</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June 30, 2006 and 2005 (unaudited)</w:t>
        </w:r>
      </w:hyperlink>
    </w:p>
    <w:p>
      <w:pPr>
        <w:spacing w:after="0" w:line="170" w:lineRule="exact"/>
        <w:rPr>
          <w:sz w:val="20"/>
          <w:szCs w:val="20"/>
          <w:color w:val="auto"/>
        </w:rPr>
      </w:pPr>
    </w:p>
    <w:p>
      <w:pPr>
        <w:ind w:left="16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Cash Flows - For the Six Months Ended</w:t>
        </w:r>
      </w:hyperlink>
    </w:p>
    <w:p>
      <w:pPr>
        <w:spacing w:after="0" w:line="23" w:lineRule="exact"/>
        <w:rPr>
          <w:sz w:val="20"/>
          <w:szCs w:val="20"/>
          <w:color w:val="auto"/>
        </w:rPr>
      </w:pPr>
    </w:p>
    <w:p>
      <w:pPr>
        <w:ind w:left="16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June 30, 2006 and 2005 (unaudited)</w:t>
        </w:r>
      </w:hyperlink>
    </w:p>
    <w:p>
      <w:pPr>
        <w:spacing w:after="0" w:line="211" w:lineRule="exact"/>
        <w:rPr>
          <w:sz w:val="20"/>
          <w:szCs w:val="20"/>
          <w:color w:val="auto"/>
        </w:rPr>
      </w:pPr>
    </w:p>
    <w:p>
      <w:pPr>
        <w:ind w:left="16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Notes to Consolidated Financial Statements (unaudited)</w:t>
        </w:r>
      </w:hyperlink>
    </w:p>
    <w:p>
      <w:pPr>
        <w:spacing w:after="0" w:line="225" w:lineRule="exact"/>
        <w:rPr>
          <w:sz w:val="20"/>
          <w:szCs w:val="20"/>
          <w:color w:val="auto"/>
        </w:rPr>
      </w:pPr>
    </w:p>
    <w:p>
      <w:pPr>
        <w:ind w:left="540"/>
        <w:spacing w:after="0"/>
        <w:tabs>
          <w:tab w:leader="none" w:pos="1620" w:val="left"/>
        </w:tabs>
        <w:rPr>
          <w:rFonts w:ascii="Arial" w:cs="Arial" w:eastAsia="Arial" w:hAnsi="Arial"/>
          <w:sz w:val="16"/>
          <w:szCs w:val="16"/>
          <w:u w:val="single" w:color="auto"/>
          <w:color w:val="0000EE"/>
        </w:rPr>
      </w:pPr>
      <w:hyperlink w:anchor="page9">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9">
        <w:r>
          <w:rPr>
            <w:rFonts w:ascii="Arial" w:cs="Arial" w:eastAsia="Arial" w:hAnsi="Arial"/>
            <w:sz w:val="16"/>
            <w:szCs w:val="16"/>
            <w:u w:val="single" w:color="auto"/>
            <w:color w:val="0000EE"/>
          </w:rPr>
          <w:t>Management’s Discussion and Analysis of Financial Condition and Results of Operations</w:t>
        </w:r>
      </w:hyperlink>
    </w:p>
    <w:p>
      <w:pPr>
        <w:spacing w:after="0" w:line="225" w:lineRule="exact"/>
        <w:rPr>
          <w:sz w:val="20"/>
          <w:szCs w:val="20"/>
          <w:color w:val="auto"/>
        </w:rPr>
      </w:pPr>
    </w:p>
    <w:p>
      <w:pPr>
        <w:ind w:left="540"/>
        <w:spacing w:after="0"/>
        <w:tabs>
          <w:tab w:leader="none" w:pos="1620" w:val="left"/>
        </w:tabs>
        <w:rPr>
          <w:rFonts w:ascii="Arial" w:cs="Arial" w:eastAsia="Arial" w:hAnsi="Arial"/>
          <w:sz w:val="16"/>
          <w:szCs w:val="16"/>
          <w:u w:val="single" w:color="auto"/>
          <w:color w:val="0000EE"/>
        </w:rPr>
      </w:pPr>
      <w:hyperlink w:anchor="page18">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8">
        <w:r>
          <w:rPr>
            <w:rFonts w:ascii="Arial" w:cs="Arial" w:eastAsia="Arial" w:hAnsi="Arial"/>
            <w:sz w:val="16"/>
            <w:szCs w:val="16"/>
            <w:u w:val="single" w:color="auto"/>
            <w:color w:val="0000EE"/>
          </w:rPr>
          <w:t>Quantitative and Qualitative Disclosures about Market Risk</w:t>
        </w:r>
      </w:hyperlink>
    </w:p>
    <w:p>
      <w:pPr>
        <w:spacing w:after="0" w:line="225" w:lineRule="exact"/>
        <w:rPr>
          <w:sz w:val="20"/>
          <w:szCs w:val="20"/>
          <w:color w:val="auto"/>
        </w:rPr>
      </w:pPr>
    </w:p>
    <w:p>
      <w:pPr>
        <w:ind w:left="540"/>
        <w:spacing w:after="0"/>
        <w:tabs>
          <w:tab w:leader="none" w:pos="1620" w:val="left"/>
        </w:tabs>
        <w:rPr>
          <w:rFonts w:ascii="Arial" w:cs="Arial" w:eastAsia="Arial" w:hAnsi="Arial"/>
          <w:sz w:val="16"/>
          <w:szCs w:val="16"/>
          <w:u w:val="single" w:color="auto"/>
          <w:color w:val="0000EE"/>
        </w:rPr>
      </w:pPr>
      <w:hyperlink w:anchor="page18">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8">
        <w:r>
          <w:rPr>
            <w:rFonts w:ascii="Arial" w:cs="Arial" w:eastAsia="Arial" w:hAnsi="Arial"/>
            <w:sz w:val="16"/>
            <w:szCs w:val="16"/>
            <w:u w:val="single" w:color="auto"/>
            <w:color w:val="0000EE"/>
          </w:rPr>
          <w:t>Controls and Procedures</w:t>
        </w:r>
      </w:hyperlink>
    </w:p>
    <w:p>
      <w:pPr>
        <w:spacing w:after="0" w:line="2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PART II.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1.</w:t>
              </w:r>
            </w:hyperlink>
          </w:p>
        </w:tc>
        <w:tc>
          <w:tcPr>
            <w:tcW w:w="580" w:type="dxa"/>
            <w:vAlign w:val="bottom"/>
            <w:gridSpan w:val="2"/>
          </w:tcPr>
          <w:p>
            <w:pPr>
              <w:spacing w:after="0"/>
              <w:rPr>
                <w:sz w:val="17"/>
                <w:szCs w:val="17"/>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542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1A.</w:t>
              </w:r>
            </w:hyperlink>
          </w:p>
        </w:tc>
        <w:tc>
          <w:tcPr>
            <w:tcW w:w="6760" w:type="dxa"/>
            <w:vAlign w:val="bottom"/>
            <w:gridSpan w:val="1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240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480" w:type="dxa"/>
            <w:vAlign w:val="bottom"/>
          </w:tcPr>
          <w:p>
            <w:pPr>
              <w:spacing w:after="0"/>
              <w:rPr>
                <w:sz w:val="24"/>
                <w:szCs w:val="24"/>
                <w:color w:val="auto"/>
              </w:rPr>
            </w:pPr>
          </w:p>
        </w:tc>
        <w:tc>
          <w:tcPr>
            <w:tcW w:w="6760" w:type="dxa"/>
            <w:vAlign w:val="bottom"/>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60" w:type="dxa"/>
            <w:vAlign w:val="bottom"/>
            <w:gridSpan w:val="1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58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6"/>
          </w:tcPr>
          <w:p>
            <w:pPr>
              <w:spacing w:after="0"/>
              <w:rPr>
                <w:sz w:val="24"/>
                <w:szCs w:val="24"/>
                <w:color w:val="auto"/>
              </w:rPr>
            </w:pPr>
          </w:p>
        </w:tc>
        <w:tc>
          <w:tcPr>
            <w:tcW w:w="300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580" w:type="dxa"/>
            <w:vAlign w:val="bottom"/>
            <w:gridSpan w:val="2"/>
          </w:tcPr>
          <w:p>
            <w:pPr>
              <w:spacing w:after="0"/>
              <w:rPr>
                <w:sz w:val="24"/>
                <w:szCs w:val="24"/>
                <w:color w:val="auto"/>
              </w:rPr>
            </w:pPr>
          </w:p>
        </w:tc>
        <w:tc>
          <w:tcPr>
            <w:tcW w:w="676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40" w:type="dxa"/>
            <w:vAlign w:val="bottom"/>
            <w:gridSpan w:val="5"/>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4360" w:type="dxa"/>
            <w:vAlign w:val="bottom"/>
            <w:gridSpan w:val="10"/>
          </w:tcPr>
          <w:p>
            <w:pPr>
              <w:jc w:val="center"/>
              <w:ind w:left="3690"/>
              <w:spacing w:after="0"/>
              <w:rPr>
                <w:sz w:val="20"/>
                <w:szCs w:val="20"/>
                <w:color w:val="auto"/>
              </w:rPr>
            </w:pPr>
            <w:r>
              <w:rPr>
                <w:rFonts w:ascii="Arial" w:cs="Arial" w:eastAsia="Arial" w:hAnsi="Arial"/>
                <w:sz w:val="18"/>
                <w:szCs w:val="18"/>
                <w:color w:val="auto"/>
                <w:w w:val="99"/>
              </w:rPr>
              <w:t>2</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gridSpan w:val="2"/>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780"/>
        </w:trPr>
        <w:tc>
          <w:tcPr>
            <w:tcW w:w="8400" w:type="dxa"/>
            <w:vAlign w:val="bottom"/>
            <w:gridSpan w:val="19"/>
          </w:tcPr>
          <w:p>
            <w:pPr>
              <w:spacing w:after="0"/>
              <w:rPr>
                <w:sz w:val="20"/>
                <w:szCs w:val="20"/>
                <w:color w:val="auto"/>
              </w:rPr>
            </w:pPr>
            <w:r>
              <w:rPr>
                <w:rFonts w:ascii="Arial" w:cs="Arial" w:eastAsia="Arial" w:hAnsi="Arial"/>
                <w:sz w:val="18"/>
                <w:szCs w:val="18"/>
                <w:b w:val="1"/>
                <w:bCs w:val="1"/>
                <w:color w:val="auto"/>
              </w:rPr>
              <w:t>PART I. FINANCIAL INFORMATION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11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gridSpan w:val="7"/>
          </w:tcPr>
          <w:p>
            <w:pPr>
              <w:jc w:val="center"/>
              <w:ind w:right="1020"/>
              <w:spacing w:after="0" w:line="196" w:lineRule="exact"/>
              <w:rPr>
                <w:sz w:val="20"/>
                <w:szCs w:val="20"/>
                <w:color w:val="auto"/>
              </w:rPr>
            </w:pPr>
            <w:r>
              <w:rPr>
                <w:rFonts w:ascii="Arial" w:cs="Arial" w:eastAsia="Arial" w:hAnsi="Arial"/>
                <w:sz w:val="18"/>
                <w:szCs w:val="18"/>
                <w:b w:val="1"/>
                <w:bCs w:val="1"/>
                <w:color w:val="auto"/>
                <w:w w:val="95"/>
              </w:rPr>
              <w:t>JUNE 30, 2006 AND DECEMBER 31, 2005</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(In Thousands, Except Shares)</w:t>
            </w:r>
          </w:p>
        </w:tc>
        <w:tc>
          <w:tcPr>
            <w:tcW w:w="1020" w:type="dxa"/>
            <w:vAlign w:val="bottom"/>
            <w:gridSpan w:val="2"/>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3"/>
              <w:spacing w:after="0" w:line="129"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tcPr>
          <w:p>
            <w:pPr>
              <w:ind w:left="160"/>
              <w:spacing w:after="0"/>
              <w:rPr>
                <w:sz w:val="20"/>
                <w:szCs w:val="20"/>
                <w:color w:val="auto"/>
              </w:rPr>
            </w:pPr>
            <w:r>
              <w:rPr>
                <w:rFonts w:ascii="Arial" w:cs="Arial" w:eastAsia="Arial" w:hAnsi="Arial"/>
                <w:sz w:val="18"/>
                <w:szCs w:val="18"/>
                <w:color w:val="auto"/>
              </w:rPr>
              <w:t>Accounts receivable,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tcPr>
          <w:p>
            <w:pPr>
              <w:ind w:left="160"/>
              <w:spacing w:after="0"/>
              <w:rPr>
                <w:sz w:val="20"/>
                <w:szCs w:val="20"/>
                <w:color w:val="auto"/>
              </w:rPr>
            </w:pPr>
            <w:r>
              <w:rPr>
                <w:rFonts w:ascii="Arial" w:cs="Arial" w:eastAsia="Arial" w:hAnsi="Arial"/>
                <w:sz w:val="18"/>
                <w:szCs w:val="18"/>
                <w:color w:val="auto"/>
              </w:rPr>
              <w:t>Prepaid expenses and other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 net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Floor plan notes payable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tcPr>
          <w:p>
            <w:pPr>
              <w:ind w:left="160"/>
              <w:spacing w:after="0"/>
              <w:rPr>
                <w:sz w:val="20"/>
                <w:szCs w:val="20"/>
                <w:color w:val="auto"/>
              </w:rPr>
            </w:pPr>
            <w:r>
              <w:rPr>
                <w:rFonts w:ascii="Arial" w:cs="Arial" w:eastAsia="Arial" w:hAnsi="Arial"/>
                <w:sz w:val="18"/>
                <w:szCs w:val="18"/>
                <w:color w:val="auto"/>
              </w:rPr>
              <w:t>Current maturities of long-term debt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tcPr>
          <w:p>
            <w:pPr>
              <w:ind w:left="160"/>
              <w:spacing w:after="0"/>
              <w:rPr>
                <w:sz w:val="20"/>
                <w:szCs w:val="20"/>
                <w:color w:val="auto"/>
              </w:rPr>
            </w:pPr>
            <w:r>
              <w:rPr>
                <w:rFonts w:ascii="Arial" w:cs="Arial" w:eastAsia="Arial" w:hAnsi="Arial"/>
                <w:sz w:val="18"/>
                <w:szCs w:val="18"/>
                <w:color w:val="auto"/>
              </w:rPr>
              <w:t>Advances outstanding under lines of credit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18"/>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gridSpan w:val="4"/>
          </w:tcPr>
          <w:p>
            <w:pPr>
              <w:ind w:left="160"/>
              <w:spacing w:after="0"/>
              <w:rPr>
                <w:sz w:val="20"/>
                <w:szCs w:val="20"/>
                <w:color w:val="auto"/>
              </w:rPr>
            </w:pPr>
            <w:r>
              <w:rPr>
                <w:rFonts w:ascii="Arial" w:cs="Arial" w:eastAsia="Arial" w:hAnsi="Arial"/>
                <w:sz w:val="18"/>
                <w:szCs w:val="18"/>
                <w:color w:val="auto"/>
                <w:w w:val="97"/>
              </w:rPr>
              <w:t>Accrued expenses</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57,649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-5507355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-5507355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5" w:orient="portrait"/>
          <w:cols w:equalWidth="0" w:num="1">
            <w:col w:w="11460"/>
          </w:cols>
          <w:pgMar w:left="240" w:top="125"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right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491,097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123,387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2"/>
              </w:rPr>
              <w:t>Capital lease obligations, net of current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w w:val="91"/>
              </w:rPr>
              <w:t>Preferred stock, par value $.01 per share; 1,000,000 shares authorized; 0 shares outstanding in 2005 and 2006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gridSpan w:val="11"/>
          </w:tcPr>
          <w:p>
            <w:pPr>
              <w:ind w:left="160"/>
              <w:spacing w:after="0" w:line="201" w:lineRule="exact"/>
              <w:rPr>
                <w:sz w:val="20"/>
                <w:szCs w:val="20"/>
                <w:color w:val="auto"/>
              </w:rPr>
            </w:pPr>
            <w:r>
              <w:rPr>
                <w:rFonts w:ascii="Arial" w:cs="Arial" w:eastAsia="Arial" w:hAnsi="Arial"/>
                <w:sz w:val="18"/>
                <w:szCs w:val="18"/>
                <w:color w:val="auto"/>
                <w:w w:val="89"/>
              </w:rPr>
              <w:t>Common stock, par value $.01 per share; 40,000,000 Class A shares and 10,000,000 Class B shares authorized;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12"/>
          </w:tcPr>
          <w:p>
            <w:pPr>
              <w:ind w:left="340"/>
              <w:spacing w:after="0"/>
              <w:rPr>
                <w:sz w:val="20"/>
                <w:szCs w:val="20"/>
                <w:color w:val="auto"/>
              </w:rPr>
            </w:pPr>
            <w:r>
              <w:rPr>
                <w:rFonts w:ascii="Arial" w:cs="Arial" w:eastAsia="Arial" w:hAnsi="Arial"/>
                <w:sz w:val="18"/>
                <w:szCs w:val="18"/>
                <w:color w:val="auto"/>
                <w:w w:val="93"/>
              </w:rPr>
              <w:t>16,770,060 Class A shares and 7,895,863 Class B shares outstanding in 2005; and 17,011,268 Class A shares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w w:val="89"/>
              </w:rPr>
              <w:t>8,059,915 Class B shares outstanding in 2006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137,214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305,732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958,717</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840,234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gridSpan w:val="12"/>
            <w:vMerge w:val="restart"/>
          </w:tcPr>
          <w:p>
            <w:pPr>
              <w:jc w:val="center"/>
              <w:ind w:left="235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960" w:type="dxa"/>
            <w:vAlign w:val="bottom"/>
            <w:gridSpan w:val="12"/>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180" w:type="dxa"/>
            <w:vAlign w:val="bottom"/>
            <w:gridSpan w:val="3"/>
          </w:tcPr>
          <w:p>
            <w:pPr>
              <w:jc w:val="center"/>
              <w:ind w:left="79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36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gridSpan w:val="2"/>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rPr>
              <w:t>CONSOLIDATED STATEMENTS OF INCOME</w:t>
            </w:r>
          </w:p>
        </w:tc>
        <w:tc>
          <w:tcPr>
            <w:tcW w:w="34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gridSpan w:val="9"/>
          </w:tcPr>
          <w:p>
            <w:pPr>
              <w:jc w:val="center"/>
              <w:ind w:left="3370"/>
              <w:spacing w:after="0"/>
              <w:rPr>
                <w:sz w:val="20"/>
                <w:szCs w:val="20"/>
                <w:color w:val="auto"/>
              </w:rPr>
            </w:pPr>
            <w:r>
              <w:rPr>
                <w:rFonts w:ascii="Arial" w:cs="Arial" w:eastAsia="Arial" w:hAnsi="Arial"/>
                <w:sz w:val="18"/>
                <w:szCs w:val="18"/>
                <w:b w:val="1"/>
                <w:bCs w:val="1"/>
                <w:color w:val="auto"/>
                <w:w w:val="89"/>
              </w:rPr>
              <w:t>(In Thousands, Except Shares and Per Share Amounts)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3"/>
              </w:rPr>
              <w:t>(Unaudited)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7"/>
          </w:tcPr>
          <w:p>
            <w:pPr>
              <w:jc w:val="right"/>
              <w:ind w:right="3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6"/>
          </w:tcPr>
          <w:p>
            <w:pPr>
              <w:jc w:val="right"/>
              <w:ind w:right="491"/>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w w:val="96"/>
              </w:rPr>
              <w:t>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340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423,717</w:t>
            </w:r>
          </w:p>
        </w:tc>
        <w:tc>
          <w:tcPr>
            <w:tcW w:w="16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343,940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787,064</w:t>
            </w:r>
          </w:p>
        </w:tc>
        <w:tc>
          <w:tcPr>
            <w:tcW w:w="4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642,871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112,449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217,316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15,706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5,005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569,238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461,817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1,067,123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393,298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320,481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727,470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598,851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66,068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14,008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26,706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481,272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390,067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87,966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57,572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23,787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180" w:type="dxa"/>
            <w:vAlign w:val="bottom"/>
            <w:gridSpan w:val="3"/>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14,867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26,444</w:t>
            </w:r>
          </w:p>
        </w:tc>
        <w:tc>
          <w:tcPr>
            <w:tcW w:w="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340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2"/>
                <w:szCs w:val="22"/>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4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 per common share – Diluted</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1.05</w:t>
            </w:r>
          </w:p>
        </w:tc>
        <w:tc>
          <w:tcPr>
            <w:tcW w:w="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-6690360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-6690360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20"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w:t>
            </w:r>
          </w:p>
        </w:tc>
        <w:tc>
          <w:tcPr>
            <w:tcW w:w="28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24,064</w:t>
            </w:r>
          </w:p>
        </w:tc>
        <w:tc>
          <w:tcPr>
            <w:tcW w:w="26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24,853</w:t>
            </w:r>
          </w:p>
        </w:tc>
        <w:tc>
          <w:tcPr>
            <w:tcW w:w="26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23,998</w:t>
            </w:r>
          </w:p>
        </w:tc>
        <w:tc>
          <w:tcPr>
            <w:tcW w:w="60" w:type="dxa"/>
            <w:vAlign w:val="bottom"/>
            <w:tcBorders>
              <w:bottom w:val="single" w:sz="8" w:color="CCEEFF"/>
            </w:tcBorders>
          </w:tcPr>
          <w:p>
            <w:pPr>
              <w:spacing w:after="0"/>
              <w:rPr>
                <w:sz w:val="23"/>
                <w:szCs w:val="23"/>
                <w:color w:val="auto"/>
              </w:rPr>
            </w:pPr>
          </w:p>
        </w:tc>
      </w:tr>
      <w:tr>
        <w:trPr>
          <w:trHeight w:val="197"/>
        </w:trPr>
        <w:tc>
          <w:tcPr>
            <w:tcW w:w="68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25,215</w:t>
            </w: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24,855</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25,174</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24,826</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6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Six Months Ended</w:t>
      </w:r>
    </w:p>
    <w:p>
      <w:pPr>
        <w:jc w:val="center"/>
        <w:ind w:left="9240"/>
        <w:spacing w:after="0" w:line="221"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1"/>
              <w:spacing w:after="0" w:line="136"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1"/>
              <w:spacing w:after="0" w:line="136"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26,444</w:t>
            </w:r>
          </w:p>
        </w:tc>
        <w:tc>
          <w:tcPr>
            <w:tcW w:w="26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(Gain) on sale of property and equipment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Provision for deferred income tax expense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Tax benefit realized from exercise of stock options by employees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accounts receivable, net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Change in inventories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(65,940)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prepaid expenses and other, net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520"/>
              <w:spacing w:after="0"/>
              <w:rPr>
                <w:sz w:val="20"/>
                <w:szCs w:val="20"/>
                <w:color w:val="auto"/>
              </w:rPr>
            </w:pPr>
            <w:r>
              <w:rPr>
                <w:rFonts w:ascii="Arial" w:cs="Arial" w:eastAsia="Arial" w:hAnsi="Arial"/>
                <w:sz w:val="18"/>
                <w:szCs w:val="18"/>
                <w:color w:val="auto"/>
              </w:rPr>
              <w:t>Change in trade accounts payable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accrued expenses</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Acquisition of property and equipment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(42,110)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(26,473)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(22,477)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other assets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36,398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capital lease obligations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Principal payments on long-term debt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(22,037)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Draws on lines of credit, net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on floor plan notes payable, net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Issuance of shares relating to employee stock options and employee stock purchases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(Expenses) related to stock offering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133,069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140,502</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8"/>
                <w:szCs w:val="18"/>
                <w:color w:val="auto"/>
              </w:rPr>
              <w:t>Income taxes</w:t>
            </w:r>
          </w:p>
        </w:tc>
        <w:tc>
          <w:tcPr>
            <w:tcW w:w="1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12,366</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125" w:right="239" w:bottom="3"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ind w:right="80" w:firstLine="360"/>
        <w:spacing w:after="0" w:line="270" w:lineRule="auto"/>
        <w:rPr>
          <w:sz w:val="20"/>
          <w:szCs w:val="20"/>
          <w:color w:val="auto"/>
        </w:rPr>
      </w:pPr>
      <w:r>
        <w:rPr>
          <w:rFonts w:ascii="Arial" w:cs="Arial" w:eastAsia="Arial" w:hAnsi="Arial"/>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2005. Results of operations for interim periods are not necessarily indicative of results that may be expected for any other interim periods or the full fiscal year. Certain prior year balances have been reclassified for comparative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20" w:firstLine="360"/>
        <w:spacing w:after="0" w:line="297" w:lineRule="auto"/>
        <w:rPr>
          <w:sz w:val="20"/>
          <w:szCs w:val="20"/>
          <w:color w:val="auto"/>
        </w:rPr>
      </w:pPr>
      <w:r>
        <w:rPr>
          <w:rFonts w:ascii="Arial" w:cs="Arial" w:eastAsia="Arial" w:hAnsi="Arial"/>
          <w:sz w:val="16"/>
          <w:szCs w:val="16"/>
          <w:color w:val="auto"/>
        </w:rPr>
        <w:t>On January 1, 2006, the Company adopted Statement of Financial Accounting Standards No. 123 (revised 2004), “Share-Based Payment,” (“SFAS 123(R)”) which requires the measurement and recognition of compensation expense for all share-based payment awards made to employees and directors including grants of stock options and employee stock purchases under the Company’s Employee Stock Purchase Plan based on estimated fair values. SFAS 123(R) supersedes the Company’s previous accounting under Accounting Principles Board Opinion No. 25, “Accounting for Stock Issued to Employees” (“APB 25”) for periods beginning in 2006. In March 2005, the SEC issued Staff Accounting Bulletin No. 107 (“SAB 107”) relating to SFAS 123(R).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adopted SFAS 123(R) using the modified prospective transition method, which requires the application of the accounting standard as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January 1, 2006. The Company’s Consolidated Financial Statements as of June 30, 2006 and for the three and six months ended June 30, 2006 reflect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impact of SFAS 123(R). In accordance with the modified prospective transition method, the Company’s Consolidated Financial Statements for prior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not been restated to reflect, and do not include, the impact of SFAS 123(R). As a result of adopting SFAS 123(R), the Company’s income before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taxes is $931,000 lower for the three months ended June 30, 2006 and net income is $582,000 lower for the three months ended June 30, 2006, than if it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continued to account for share-based compensation under APB 25. As a result of adopting SFAS 123(R), the Company’s income before income taxes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$1,895,000 lower for the six months ended June 30, 2006 and net income is $1,184,000 lower for the six months ended June 30, 2006, than if it had continued</w:t>
      </w:r>
    </w:p>
    <w:p>
      <w:pPr>
        <w:spacing w:after="0" w:line="3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to account for share-based compensation under APB 25.</w:t>
      </w:r>
      <w:r>
        <w:rPr>
          <w:sz w:val="20"/>
          <w:szCs w:val="20"/>
          <w:color w:val="auto"/>
        </w:rPr>
        <w:tab/>
      </w:r>
      <w:r>
        <w:rPr>
          <w:rFonts w:ascii="Arial" w:cs="Arial" w:eastAsia="Arial" w:hAnsi="Arial"/>
          <w:sz w:val="16"/>
          <w:szCs w:val="16"/>
          <w:color w:val="auto"/>
        </w:rPr>
        <w:t>Basic and diluted earnings per share for the three months ended June 30, 2006 are each $0.02 lower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than if the Company had continued to account for share based compensation under APB 25. Basic and diluted earnings per share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2006 are each $0.05 lower than if the Company had continued to account for share-based compensation under APB 25.</w:t>
      </w:r>
    </w:p>
    <w:p>
      <w:pPr>
        <w:spacing w:after="0" w:line="21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SFAS 123(R) requires companies to estimate the fair value of share-based payment awards on the date of grant using an option-pricing model. The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pacing w:after="0" w:line="189"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Stock-based compensation expense recognized during the three months and six months ended June 30, 2006 is based on the value of the portion of share-based payment awards that is ultimately expected to vest during the period. Stock-based compensation expense recognized in the Company’s Consolidated Statement of Operations for the three months and six months ended June 30, 2006 included compensation expense for share-based payment awards granted prior to, but not yet vested as of December 31, 2005, based on the grant date fair value estimated in accordance with the pro forma provisions of SFAS 123 and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 single-option method. As stock-based compensation expense recognized in the Consolidated Statement of Operations for the three months and six months ended June 30, 2006 is based on awards ultimately expected to vest, it has been reduced for estimated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81"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color w:val="auto"/>
        </w:rPr>
        <w:t>Upon adoption of SFAS 123(R), the Company continues to use the Black-Scholes option-pricing model which was previously used for the Company’s pro forma information required under SFAS 123. For additional information, see Note 5.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SFAS 123(R) and SAB 107 using an option-pricing model, that value may not be indicative of the fair value observed in a market transaction between a willing buyer and a willing seller.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 Goodwill and Other Intangible Assets</w:t>
      </w:r>
    </w:p>
    <w:p>
      <w:pPr>
        <w:sectPr>
          <w:pgSz w:w="11900" w:h="16838" w:orient="portrait"/>
          <w:cols w:equalWidth="0" w:num="1">
            <w:col w:w="11420"/>
          </w:cols>
          <w:pgMar w:left="240" w:top="580" w:right="239" w:bottom="0" w:gutter="0" w:footer="0" w:header="0"/>
        </w:sectPr>
      </w:pPr>
    </w:p>
    <w:bookmarkStart w:id="5" w:name="page6"/>
    <w:bookmarkEnd w:id="5"/>
    <w:p>
      <w:pPr>
        <w:spacing w:after="0" w:line="1"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The Company is required to perform an annual impairment review of goodwill. The Company performs its annual review during the fourth quarter of each year and, therefore, did not record an impairment charge related to goodwill during the second quarter of 2006. Management is not aware of any impairment charge that may be required; however, a change in economic conditions, if one occurs, could result in an impairment charge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29" w:lineRule="exact"/>
        <w:rPr>
          <w:sz w:val="20"/>
          <w:szCs w:val="20"/>
          <w:color w:val="auto"/>
        </w:rPr>
      </w:pPr>
    </w:p>
    <w:p>
      <w:pPr>
        <w:ind w:right="100" w:firstLine="450"/>
        <w:spacing w:after="0" w:line="270"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The Company’s liability related to finance contracts sold with recourse is generally limited to 5% to 20% of the outstanding amount of each note initiated on behalf of the finance company. The Company has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approximately 1% of the Company’s portfolio balance related to finance contracts sold by the Company are under this 100% liability finance program. The Company does not expect to finance a significant percentage of its truck sales under this 100% liability finance program in the future. The Company provides an allowance for repossession losses and early repayment penalties that it may be liable for under finance contracts it has sold.</w:t>
      </w:r>
    </w:p>
    <w:p>
      <w:pPr>
        <w:spacing w:after="0" w:line="182" w:lineRule="exact"/>
        <w:rPr>
          <w:sz w:val="20"/>
          <w:szCs w:val="20"/>
          <w:color w:val="auto"/>
        </w:rPr>
      </w:pPr>
    </w:p>
    <w:p>
      <w:pPr>
        <w:ind w:right="20" w:firstLine="443"/>
        <w:spacing w:after="0" w:line="279" w:lineRule="auto"/>
        <w:rPr>
          <w:sz w:val="20"/>
          <w:szCs w:val="20"/>
          <w:color w:val="auto"/>
        </w:rPr>
      </w:pPr>
      <w:r>
        <w:rPr>
          <w:rFonts w:ascii="Arial" w:cs="Arial" w:eastAsia="Arial" w:hAnsi="Arial"/>
          <w:sz w:val="17"/>
          <w:szCs w:val="17"/>
          <w:color w:val="auto"/>
        </w:rPr>
        <w:t>As part of the acquisition of certain assets of American Truck Source, Inc. (“ATS”), which was effective January 1, 2005, the Company assumed certain liabilities to finance companies for notes that ATS initiated on behalf of such finance companies related to the sale of trucks. ATS’s portfolio to which the liability is related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71"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46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53"/>
              <w:spacing w:after="0" w:line="129"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3"/>
              <w:spacing w:after="0" w:line="129"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line="201" w:lineRule="exact"/>
              <w:rPr>
                <w:sz w:val="20"/>
                <w:szCs w:val="20"/>
                <w:color w:val="auto"/>
              </w:rPr>
            </w:pPr>
            <w:r>
              <w:rPr>
                <w:rFonts w:ascii="Arial" w:cs="Arial" w:eastAsia="Arial" w:hAnsi="Arial"/>
                <w:sz w:val="18"/>
                <w:szCs w:val="18"/>
                <w:color w:val="auto"/>
                <w:w w:val="93"/>
              </w:rPr>
              <w:t>Numerator for basic and diluted earnings per share, net income available to</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common shareholders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14,867,000</w:t>
            </w:r>
          </w:p>
        </w:tc>
        <w:tc>
          <w:tcPr>
            <w:tcW w:w="28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11,235,000</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26,444,000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18,919,000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Denominator for basic earnings per share, adjusted weighted average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outstanding</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24,998,226</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24,064,146</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24,853,185</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23,998,180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and Director stock options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216,438</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790,637</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321,160</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line="182" w:lineRule="exact"/>
              <w:rPr>
                <w:sz w:val="20"/>
                <w:szCs w:val="20"/>
                <w:color w:val="auto"/>
              </w:rPr>
            </w:pPr>
            <w:r>
              <w:rPr>
                <w:rFonts w:ascii="Arial" w:cs="Arial" w:eastAsia="Arial" w:hAnsi="Arial"/>
                <w:sz w:val="18"/>
                <w:szCs w:val="18"/>
                <w:color w:val="auto"/>
                <w:w w:val="96"/>
              </w:rPr>
              <w:t>Denominator for diluted earnings per share, adjusted weighted 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25,214,664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24,854,783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25,174,345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9"/>
              </w:rPr>
              <w:t>24,826,459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shares outstanding and assumed conversions</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2"/>
                <w:szCs w:val="22"/>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 Stock Options</w:t>
            </w: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0" w:firstLine="360"/>
        <w:spacing w:after="0" w:line="259" w:lineRule="auto"/>
        <w:rPr>
          <w:sz w:val="20"/>
          <w:szCs w:val="20"/>
          <w:color w:val="auto"/>
        </w:rPr>
      </w:pPr>
      <w:r>
        <w:rPr>
          <w:rFonts w:ascii="Arial" w:cs="Arial" w:eastAsia="Arial" w:hAnsi="Arial"/>
          <w:sz w:val="17"/>
          <w:szCs w:val="17"/>
          <w:color w:val="auto"/>
        </w:rPr>
        <w:t>The Company has implemented an Employee Stock Purchase Plan that allows eligible employees to contribute up to 10% of their base earnings toward the semi-annual purchase of the Company’s Class A Common Stock. The employee’s purchase price is 85% of the lesser of the closing price of the Class A Common Stock on the first business day or the last business day of the semi-annual offering period, as reported by The Nasdaq National Market</w:t>
      </w:r>
      <w:r>
        <w:rPr>
          <w:rFonts w:ascii="Arial" w:cs="Arial" w:eastAsia="Arial" w:hAnsi="Arial"/>
          <w:sz w:val="22"/>
          <w:szCs w:val="22"/>
          <w:color w:val="auto"/>
          <w:vertAlign w:val="superscript"/>
        </w:rPr>
        <w:t>®</w:t>
      </w:r>
      <w:r>
        <w:rPr>
          <w:rFonts w:ascii="Arial" w:cs="Arial" w:eastAsia="Arial" w:hAnsi="Arial"/>
          <w:sz w:val="17"/>
          <w:szCs w:val="17"/>
          <w:color w:val="auto"/>
        </w:rPr>
        <w:t>. Employees may purchase shares having a fair market value of up to $25,000 (measured as of the first day of each semi-annual offering period) for each calendar year. Under the Employee Stock Purchase Plan, 600,000 shares of the Company’s Class A Common Stock have been reserved for issuance. During the six months ended June 30, 2005, the Company issued 12,793 shares under the Employee Stock Purchase Plan. During the six months ended June 30, 2006, the Company issued 19,376 shares under the Employee Stock Purchase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The Board of Directors and shareholders adopted the Rush Enterprises, Inc. 2006 Non-Employee Director Stock Option Plan (the “Director Plan”), reserving 1,000,000 shares of Class A Common Stock for issuance upon exercise of any awards granted under the Plan. This Director Plan replaced the Company’s Amended and Restated 1997 Non-Employee Director Stock Option Plan (the “1997 Director Plan”) effective May 17, 2006. The Director Plan is designed to attract and retain highly qualified non-employee directors. Each non-employee director receives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vests immediately. During the six months ended June 30, 2005, the Company granted 80,000 options of Class A Common Stock under the 1997 Director Plan. During the six months ended June 30, 2006, the Company granted 80,000 options of Class A Common Stock under the 1997 Director Plan.</w:t>
      </w:r>
    </w:p>
    <w:p>
      <w:pPr>
        <w:sectPr>
          <w:pgSz w:w="11900" w:h="16839" w:orient="portrait"/>
          <w:cols w:equalWidth="0" w:num="1">
            <w:col w:w="11420"/>
          </w:cols>
          <w:pgMar w:left="240" w:top="125" w:right="239" w:bottom="0" w:gutter="0" w:footer="0" w:header="0"/>
        </w:sectPr>
      </w:pPr>
    </w:p>
    <w:bookmarkStart w:id="6" w:name="page7"/>
    <w:bookmarkEnd w:id="6"/>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Plans</w:t>
      </w:r>
    </w:p>
    <w:p>
      <w:pPr>
        <w:spacing w:after="0" w:line="225" w:lineRule="exact"/>
        <w:rPr>
          <w:sz w:val="20"/>
          <w:szCs w:val="20"/>
          <w:color w:val="auto"/>
        </w:rPr>
      </w:pPr>
    </w:p>
    <w:p>
      <w:pPr>
        <w:ind w:right="660" w:firstLine="360"/>
        <w:spacing w:after="0" w:line="312" w:lineRule="auto"/>
        <w:rPr>
          <w:sz w:val="20"/>
          <w:szCs w:val="20"/>
          <w:color w:val="auto"/>
        </w:rPr>
      </w:pPr>
      <w:r>
        <w:rPr>
          <w:rFonts w:ascii="Arial" w:cs="Arial" w:eastAsia="Arial" w:hAnsi="Arial"/>
          <w:sz w:val="16"/>
          <w:szCs w:val="16"/>
          <w:color w:val="auto"/>
        </w:rPr>
        <w:t>In April 1996, the Board of Directors and shareholders adopted the Rush Enterprises, Inc. Long-Term Incentive Plan (the “Incentive Plan”). The Incentive Plan provides for the grant of stock options (which may be nonqualified stock options or incentive stock options for tax purposes), stock appreciation rights issued independent of or in tandem with such options (“SARs”), restricted stock awards and performance awards.</w:t>
      </w:r>
    </w:p>
    <w:p>
      <w:pPr>
        <w:spacing w:after="0" w:line="147"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aggregate number of shares of common stock subject to stock options or SARs that may be granted to any one participant in any year under the Incentive Plan is 100,000 shares of Class A Common Stock and 100,000 shares of Class B</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Common Stock. Each option has a ten year term from the grant date and vests in three equal annual installments beginning on the third anniversary of the grant date. The Company has 2,600,000 shares of Class A Common Stock and 1,400,000 shares of Class B Common Stock reserved for issuance upon exercise of any awards granted under the Company’s Incentive Plan. During the six months ended June 30, 2005, the Company granted 288,325 options under the Incentive Plan. During the six months ended June 30, 2006, the Company granted 319,125 options under the Incentive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SFAS 123(R)</w:t>
      </w:r>
    </w:p>
    <w:p>
      <w:pPr>
        <w:spacing w:after="0" w:line="225"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On January 1, 2006, the Company adopted SFAS 123(R), which requires the measurement and recognition of compensation expense for all share-based payment awards made to the Company’s employees and directors including stock options and employee stock purchases related to the Employee Stock Purchase Plan based on estimated fair values. Stock-based compensation expense related to stock options and employee stock purchases under SFAS 123(R) for the three months ended June 30, 2006 was recorded as Selling, General &amp; Administrative expense in the amount of $931,000. Stock-based compensation expense related to stock options and employee stock purchases under SFAS 123(R) for the six months ended June 30, 2006 was $1,895,000. There was no stock-based compensation expense related to stock options and employee stock purchases recognized during the three and six months ended June 30, 2005.</w:t>
      </w:r>
    </w:p>
    <w:p>
      <w:pPr>
        <w:spacing w:after="0" w:line="16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Prior to the adoption of SFAS 123(R), the Company presented all tax benefits of deductions resulting from the exercise of stock options as operating cash flows in the Statement of Cash Flows. SFAS 123(R) requires the cash flows resulting from the tax benefits resulting from tax deductions in excess of the compensation cost recognized for those options (excess tax benefits) to be classified as financing cash flows. For the six months ended June 30, 2006, the $2.1 million excess tax benefit classified as a financing cash inflow would have been classified as an operating cash inflow if the Company had not adopted SFAS 123(R). Cash received from options exercised under all share-based payment arrangements for the six months ended June 30, 2006 was $1.6 million.</w:t>
      </w:r>
    </w:p>
    <w:p>
      <w:pPr>
        <w:spacing w:after="0" w:line="158"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In March 2005, the Company granted options under the Incentive Plan to purchase an aggregate of 288,325 shares of Class A Common Stock. In March 2006, the Company granted options under the Incentive Plan to purchase an aggregate of 319,125 shares of Class A Common Stock. In each of May 2005 and May 2006, the Company granted options under the 1997 Director Plan to purchase an aggregate of 80,000 shares of Class A Common Stock.</w:t>
      </w:r>
    </w:p>
    <w:p>
      <w:pPr>
        <w:spacing w:after="0" w:line="14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table below reflects pro forma net income and diluted net income per share for the three months and six months ended June 30, 2005 as follows (in thousands except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Three Months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center"/>
              <w:ind w:right="94"/>
              <w:spacing w:after="0" w:line="129" w:lineRule="exact"/>
              <w:rPr>
                <w:sz w:val="20"/>
                <w:szCs w:val="20"/>
                <w:color w:val="auto"/>
              </w:rPr>
            </w:pPr>
            <w:r>
              <w:rPr>
                <w:rFonts w:ascii="Arial" w:cs="Arial" w:eastAsia="Arial" w:hAnsi="Arial"/>
                <w:sz w:val="14"/>
                <w:szCs w:val="14"/>
                <w:b w:val="1"/>
                <w:bCs w:val="1"/>
                <w:color w:val="auto"/>
                <w:w w:val="92"/>
              </w:rPr>
              <w:t>June 30, 2005</w:t>
            </w:r>
          </w:p>
        </w:tc>
        <w:tc>
          <w:tcPr>
            <w:tcW w:w="3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center"/>
              <w:ind w:right="94"/>
              <w:spacing w:after="0" w:line="129" w:lineRule="exact"/>
              <w:rPr>
                <w:sz w:val="20"/>
                <w:szCs w:val="20"/>
                <w:color w:val="auto"/>
              </w:rPr>
            </w:pPr>
            <w:r>
              <w:rPr>
                <w:rFonts w:ascii="Arial" w:cs="Arial" w:eastAsia="Arial" w:hAnsi="Arial"/>
                <w:sz w:val="14"/>
                <w:szCs w:val="14"/>
                <w:b w:val="1"/>
                <w:bCs w:val="1"/>
                <w:color w:val="auto"/>
                <w:w w:val="92"/>
              </w:rPr>
              <w:t>June 30, 2005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 for the prior period (1)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Stock-based compensation expense related to stock options and employee stock purchases, net of tax</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income, including the effect of stock-based compensation expense</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10,783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Basic net income per share – as reported for the prior period (1)</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including the effect of stock-based compensation expense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 as reported for the prior period (1)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Diluted net income per share, including the effect of stock-based compensation expense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1" w:lineRule="exact"/>
        <w:rPr>
          <w:sz w:val="20"/>
          <w:szCs w:val="20"/>
          <w:color w:val="auto"/>
        </w:rPr>
      </w:pPr>
    </w:p>
    <w:p>
      <w:pPr>
        <w:ind w:left="340" w:right="240" w:hanging="332"/>
        <w:spacing w:after="0" w:line="277"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and net income per share prior to 2006 did not include stock-based compensation expense for stock options and employee stock purchases under SFAS 123 because the Company did not adopt the recognition provisions of SFAS 123.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Upon adoption of SFAS 123(R), the Company continues to use the Black-Scholes option-pricing model which was previously used for the Company’s pro forma information required under SFAS 123.</w:t>
      </w:r>
    </w:p>
    <w:p>
      <w:pPr>
        <w:spacing w:after="0" w:line="170" w:lineRule="exact"/>
        <w:rPr>
          <w:sz w:val="20"/>
          <w:szCs w:val="20"/>
          <w:color w:val="auto"/>
        </w:rPr>
      </w:pPr>
    </w:p>
    <w:p>
      <w:pPr>
        <w:ind w:right="60" w:firstLine="367"/>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49"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422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2"/>
              </w:rPr>
              <w:t>June 30, 2006</w:t>
            </w:r>
          </w:p>
        </w:tc>
        <w:tc>
          <w:tcPr>
            <w:tcW w:w="220" w:type="dxa"/>
            <w:vAlign w:val="bottom"/>
            <w:tcBorders>
              <w:top w:val="single" w:sz="8" w:color="auto"/>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June 30, 2005</w:t>
            </w:r>
          </w:p>
        </w:tc>
        <w:tc>
          <w:tcPr>
            <w:tcW w:w="2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2"/>
              </w:rPr>
              <w:t>June 30, 2006</w:t>
            </w:r>
          </w:p>
        </w:tc>
        <w:tc>
          <w:tcPr>
            <w:tcW w:w="220" w:type="dxa"/>
            <w:vAlign w:val="bottom"/>
            <w:tcBorders>
              <w:top w:val="single" w:sz="8" w:color="auto"/>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June 30, 2005</w:t>
            </w:r>
          </w:p>
        </w:tc>
        <w:tc>
          <w:tcPr>
            <w:tcW w:w="180" w:type="dxa"/>
            <w:vAlign w:val="bottom"/>
            <w:tcBorders>
              <w:bottom w:val="single" w:sz="8" w:color="CCEEFF"/>
            </w:tcBorders>
          </w:tcPr>
          <w:p>
            <w:pPr>
              <w:spacing w:after="0"/>
              <w:rPr>
                <w:sz w:val="11"/>
                <w:szCs w:val="1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r>
    </w:tbl>
    <w:p>
      <w:pPr>
        <w:sectPr>
          <w:pgSz w:w="11900" w:h="1687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Expected life (years)</w:t>
            </w:r>
          </w:p>
        </w:tc>
        <w:tc>
          <w:tcPr>
            <w:tcW w:w="5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fair value of stock options granted</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5.40</w:t>
            </w:r>
          </w:p>
        </w:tc>
      </w:tr>
    </w:tbl>
    <w:p>
      <w:pPr>
        <w:spacing w:after="0" w:line="202" w:lineRule="exact"/>
        <w:rPr>
          <w:sz w:val="20"/>
          <w:szCs w:val="20"/>
          <w:color w:val="auto"/>
        </w:rPr>
      </w:pPr>
    </w:p>
    <w:p>
      <w:pPr>
        <w:ind w:right="420" w:firstLine="360"/>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SFAS 123(R).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7"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 summary of the Company’s stock option activity and related information as of June 30, 2006 and changes during the six months ended June 30, 2006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5940" w:type="dxa"/>
            <w:vAlign w:val="bottom"/>
            <w:gridSpan w:val="4"/>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Life (in Years)</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1,719,820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399,125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19.20</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(20,950)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Balance at June 30, 2006</w:t>
            </w:r>
          </w:p>
        </w:tc>
        <w:tc>
          <w:tcPr>
            <w:tcW w:w="1140" w:type="dxa"/>
            <w:vAlign w:val="bottom"/>
          </w:tcPr>
          <w:p>
            <w:pPr>
              <w:jc w:val="right"/>
              <w:spacing w:after="0"/>
              <w:rPr>
                <w:sz w:val="20"/>
                <w:szCs w:val="20"/>
                <w:color w:val="auto"/>
              </w:rPr>
            </w:pPr>
            <w:r>
              <w:rPr>
                <w:rFonts w:ascii="Arial" w:cs="Arial" w:eastAsia="Arial" w:hAnsi="Arial"/>
                <w:sz w:val="18"/>
                <w:szCs w:val="18"/>
                <w:color w:val="auto"/>
              </w:rPr>
              <w:t>1,712,028</w:t>
            </w:r>
          </w:p>
        </w:tc>
        <w:tc>
          <w:tcPr>
            <w:tcW w:w="16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11.06</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w:t>
            </w:r>
          </w:p>
        </w:tc>
        <w:tc>
          <w:tcPr>
            <w:tcW w:w="28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11,726,038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3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Vested and Exercisable at June 30, 2006</w:t>
            </w:r>
          </w:p>
        </w:tc>
        <w:tc>
          <w:tcPr>
            <w:tcW w:w="1140" w:type="dxa"/>
            <w:vAlign w:val="bottom"/>
          </w:tcPr>
          <w:p>
            <w:pPr>
              <w:jc w:val="right"/>
              <w:spacing w:after="0"/>
              <w:rPr>
                <w:sz w:val="20"/>
                <w:szCs w:val="20"/>
                <w:color w:val="auto"/>
              </w:rPr>
            </w:pPr>
            <w:r>
              <w:rPr>
                <w:rFonts w:ascii="Arial" w:cs="Arial" w:eastAsia="Arial" w:hAnsi="Arial"/>
                <w:sz w:val="18"/>
                <w:szCs w:val="18"/>
                <w:color w:val="auto"/>
              </w:rPr>
              <w:t>458,571</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4,035,476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The aggregate intrinsic value in the preceding table represents the total pretax intrinsic value, based on the Company’s Class A Common Stock closing price of $17.52 as of June 30, 2006. The total intrinsic value of options exercised during the six months ended June 30, 2006 was $5.6 million and the total intrinsic value of options exercised during the six months ended June 30, 2005 was $2.8 million.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the status of the Company’s non-vested shares as of June 30, 2006 and changes during the six months ended June 30, 2006 follows:</w:t>
      </w:r>
    </w:p>
    <w:p>
      <w:pPr>
        <w:spacing w:after="0" w:line="210"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62"/>
        </w:trPr>
        <w:tc>
          <w:tcPr>
            <w:tcW w:w="5220" w:type="dxa"/>
            <w:vAlign w:val="bottom"/>
            <w:gridSpan w:val="3"/>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1,365,950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399,125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(490,668)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(20,950)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Non-vested at June 30, 2006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1,253,457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As of June 30, 2006, there was $4.0 million of total unrecognized compensation cost related to non-vested share-based compensation arrangements granted under the Incentive Plan. That cost is expected to be recognized over a weighted-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average period of 3.5 years. The total fair value of options vested during the six months ended June 30, 2006 was $2.8 million and during the six months ended June 30, 2005 was $2.2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 Acquisitions</w:t>
      </w:r>
    </w:p>
    <w:p>
      <w:pPr>
        <w:spacing w:after="0" w:line="229" w:lineRule="exact"/>
        <w:rPr>
          <w:sz w:val="20"/>
          <w:szCs w:val="20"/>
          <w:color w:val="auto"/>
        </w:rPr>
      </w:pPr>
    </w:p>
    <w:p>
      <w:pPr>
        <w:jc w:val="both"/>
        <w:ind w:right="420" w:firstLine="360"/>
        <w:spacing w:after="0" w:line="264" w:lineRule="auto"/>
        <w:rPr>
          <w:sz w:val="20"/>
          <w:szCs w:val="20"/>
          <w:color w:val="auto"/>
        </w:rPr>
      </w:pPr>
      <w:r>
        <w:rPr>
          <w:rFonts w:ascii="Arial" w:cs="Arial" w:eastAsia="Arial" w:hAnsi="Arial"/>
          <w:sz w:val="18"/>
          <w:szCs w:val="18"/>
          <w:color w:val="auto"/>
        </w:rPr>
        <w:t>In March 2006, the Company purchased certain assets of Great Southern Peterbilt, Inc., which consisted of a Peterbilt and Hino truck dealership in Jacksonville, Florida. The Company is operating the facility as a full-service Rush Truck Center offering heavy-duty and medium-duty trucks, parts and service. The transaction was valued at approximately $22.0 million, with the purchase price paid in cash.</w:t>
      </w:r>
    </w:p>
    <w:p>
      <w:pPr>
        <w:spacing w:after="0" w:line="181" w:lineRule="exact"/>
        <w:rPr>
          <w:sz w:val="20"/>
          <w:szCs w:val="20"/>
          <w:color w:val="auto"/>
        </w:rPr>
      </w:pPr>
    </w:p>
    <w:p>
      <w:pPr>
        <w:ind w:right="20" w:firstLine="720"/>
        <w:spacing w:after="0" w:line="259" w:lineRule="auto"/>
        <w:rPr>
          <w:sz w:val="20"/>
          <w:szCs w:val="20"/>
          <w:color w:val="auto"/>
        </w:rPr>
      </w:pPr>
      <w:r>
        <w:rPr>
          <w:rFonts w:ascii="Arial" w:cs="Arial" w:eastAsia="Arial" w:hAnsi="Arial"/>
          <w:sz w:val="18"/>
          <w:szCs w:val="18"/>
          <w:color w:val="auto"/>
        </w:rPr>
        <w:t>The Great Southern Peterbilt, Inc. acquisition was accounted for as a purchase; operations of the business acquired are included in the accompanying consolidated financial statements from the date of the acquisition. Pro forma information is not included because Great Southern Peterbilt’s results of operations would not have a material effect on the Company’s financial statements. The purchase price was allocated based on the fair values of the assets at the date of acquisition as follows (in thousands):</w:t>
      </w:r>
    </w:p>
    <w:p>
      <w:pPr>
        <w:spacing w:after="0" w:line="201" w:lineRule="exact"/>
        <w:rPr>
          <w:sz w:val="20"/>
          <w:szCs w:val="20"/>
          <w:color w:val="auto"/>
        </w:rPr>
      </w:pPr>
    </w:p>
    <w:tbl>
      <w:tblPr>
        <w:tblLayout w:type="fixed"/>
        <w:tblInd w:w="29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$ 10,525</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20" w:type="dxa"/>
            <w:vAlign w:val="bottom"/>
          </w:tcPr>
          <w:p>
            <w:pPr>
              <w:jc w:val="right"/>
              <w:spacing w:after="0"/>
              <w:rPr>
                <w:sz w:val="20"/>
                <w:szCs w:val="20"/>
                <w:color w:val="auto"/>
              </w:rPr>
            </w:pPr>
            <w:r>
              <w:rPr>
                <w:rFonts w:ascii="Arial" w:cs="Arial" w:eastAsia="Arial" w:hAnsi="Arial"/>
                <w:sz w:val="18"/>
                <w:szCs w:val="18"/>
                <w:color w:val="auto"/>
              </w:rPr>
              <w:t>2,475</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4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9,001</w:t>
            </w:r>
          </w:p>
        </w:tc>
        <w:tc>
          <w:tcPr>
            <w:tcW w:w="80" w:type="dxa"/>
            <w:vAlign w:val="bottom"/>
            <w:tcBorders>
              <w:bottom w:val="single" w:sz="8" w:color="CCEEFF"/>
            </w:tcBorders>
          </w:tcPr>
          <w:p>
            <w:pPr>
              <w:spacing w:after="0"/>
              <w:rPr>
                <w:sz w:val="18"/>
                <w:szCs w:val="18"/>
                <w:color w:val="auto"/>
              </w:rPr>
            </w:pPr>
          </w:p>
        </w:tc>
      </w:tr>
      <w:tr>
        <w:trPr>
          <w:trHeight w:val="210"/>
        </w:trPr>
        <w:tc>
          <w:tcPr>
            <w:tcW w:w="4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90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$ 21,983</w:t>
            </w:r>
          </w:p>
        </w:tc>
        <w:tc>
          <w:tcPr>
            <w:tcW w:w="8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All of the goodwill acquired in the Great Southern Peterbilt, Inc. acquisition will be amortized over 15 years for tax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ectPr>
          <w:pgSz w:w="11900" w:h="16838" w:orient="portrait"/>
          <w:cols w:equalWidth="0" w:num="1">
            <w:col w:w="11420"/>
          </w:cols>
          <w:pgMar w:left="240" w:top="125" w:right="239" w:bottom="0" w:gutter="0" w:footer="0" w:header="0"/>
        </w:sectPr>
      </w:pPr>
    </w:p>
    <w:bookmarkStart w:id="8" w:name="page9"/>
    <w:bookmarkEnd w:id="8"/>
    <w:p>
      <w:pPr>
        <w:ind w:firstLine="720"/>
        <w:spacing w:after="0" w:line="293" w:lineRule="auto"/>
        <w:rPr>
          <w:sz w:val="20"/>
          <w:szCs w:val="20"/>
          <w:color w:val="auto"/>
        </w:rPr>
      </w:pPr>
      <w:r>
        <w:rPr>
          <w:rFonts w:ascii="Arial" w:cs="Arial" w:eastAsia="Arial" w:hAnsi="Arial"/>
          <w:sz w:val="16"/>
          <w:szCs w:val="16"/>
          <w:color w:val="auto"/>
        </w:rPr>
        <w:t>The Company currently has two reportable business segments: the Truck Segment and the Construction Equipment Segment. The Truck Segment operates a network of Rush Truck Centers that provide an integrated one-stop source for the trucking needs of its customers, including retail sales of new and used medium-duty and heavy-duty trucks; aftermarket parts, service and body shop facilities; and a wide array of financial services, including the financing of new and used truck purchases, insurance products and truck leasing and rentals. The Construction Equipment Segment operates a full-service John Deere construction equipment dealership that serves the Houston, Texas metropolitan area. Construction Equipment Segment operations include the retail sale of new and used construction equipment, aftermarket parts and service facilities, and the financing of new and used construction equipment.</w:t>
      </w:r>
    </w:p>
    <w:p>
      <w:pPr>
        <w:spacing w:after="0" w:line="165" w:lineRule="exact"/>
        <w:rPr>
          <w:sz w:val="20"/>
          <w:szCs w:val="20"/>
          <w:color w:val="auto"/>
        </w:rPr>
      </w:pPr>
    </w:p>
    <w:p>
      <w:pPr>
        <w:ind w:right="60" w:firstLine="720"/>
        <w:spacing w:after="0" w:line="264"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contained in the Company’s Annual Report on Form 10-K for the year ended December 31, 2005. The Company evaluates performance based on income before income taxes not including extraordinary items.</w:t>
      </w:r>
    </w:p>
    <w:p>
      <w:pPr>
        <w:spacing w:after="0" w:line="181" w:lineRule="exact"/>
        <w:rPr>
          <w:sz w:val="20"/>
          <w:szCs w:val="20"/>
          <w:color w:val="auto"/>
        </w:rPr>
      </w:pPr>
    </w:p>
    <w:p>
      <w:pPr>
        <w:ind w:right="200" w:firstLine="720"/>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quarters ended June 30, 2006 and 2005.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720"/>
        <w:spacing w:after="0" w:line="259" w:lineRule="auto"/>
        <w:rPr>
          <w:sz w:val="20"/>
          <w:szCs w:val="20"/>
          <w:color w:val="auto"/>
        </w:rPr>
      </w:pPr>
      <w:r>
        <w:rPr>
          <w:rFonts w:ascii="Arial" w:cs="Arial" w:eastAsia="Arial" w:hAnsi="Arial"/>
          <w:sz w:val="18"/>
          <w:szCs w:val="18"/>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The following table contains summarized information about reportable segment profit or loss and segment assets for the periods ended June 30, 2005 and 2006 (in thousands):</w:t>
      </w:r>
    </w:p>
    <w:p>
      <w:pPr>
        <w:spacing w:after="0" w:line="148"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9"/>
              </w:rPr>
              <w:t>Truck</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Construction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60" w:type="dxa"/>
            <w:vAlign w:val="bottom"/>
            <w:gridSpan w:val="2"/>
          </w:tcPr>
          <w:p>
            <w:pPr>
              <w:jc w:val="right"/>
              <w:ind w:right="31"/>
              <w:spacing w:after="0" w:line="135" w:lineRule="exact"/>
              <w:rPr>
                <w:sz w:val="20"/>
                <w:szCs w:val="20"/>
                <w:color w:val="auto"/>
              </w:rPr>
            </w:pPr>
            <w:r>
              <w:rPr>
                <w:rFonts w:ascii="Arial" w:cs="Arial" w:eastAsia="Arial" w:hAnsi="Arial"/>
                <w:sz w:val="14"/>
                <w:szCs w:val="14"/>
                <w:b w:val="1"/>
                <w:bCs w:val="1"/>
                <w:color w:val="auto"/>
                <w:w w:val="99"/>
              </w:rPr>
              <w:t>Equipment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4"/>
                <w:szCs w:val="14"/>
                <w:color w:val="auto"/>
              </w:rPr>
            </w:pPr>
          </w:p>
        </w:tc>
        <w:tc>
          <w:tcPr>
            <w:tcW w:w="740" w:type="dxa"/>
            <w:vAlign w:val="bottom"/>
          </w:tcPr>
          <w:p>
            <w:pPr>
              <w:jc w:val="right"/>
              <w:ind w:right="91"/>
              <w:spacing w:after="0"/>
              <w:rPr>
                <w:sz w:val="20"/>
                <w:szCs w:val="20"/>
                <w:color w:val="auto"/>
              </w:rPr>
            </w:pPr>
            <w:r>
              <w:rPr>
                <w:rFonts w:ascii="Arial" w:cs="Arial" w:eastAsia="Arial" w:hAnsi="Arial"/>
                <w:sz w:val="14"/>
                <w:szCs w:val="14"/>
                <w:b w:val="1"/>
                <w:bCs w:val="1"/>
                <w:color w:val="auto"/>
                <w:w w:val="91"/>
              </w:rPr>
              <w:t>Segment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1,018,156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1,067,123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Three months ended June 30, 2005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Six months ended June 30, 2005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720"/>
        <w:spacing w:after="0" w:line="264" w:lineRule="auto"/>
        <w:rPr>
          <w:sz w:val="20"/>
          <w:szCs w:val="20"/>
          <w:color w:val="auto"/>
        </w:rPr>
      </w:pPr>
      <w:r>
        <w:rPr>
          <w:rFonts w:ascii="Arial" w:cs="Arial" w:eastAsia="Arial" w:hAnsi="Arial"/>
          <w:sz w:val="18"/>
          <w:szCs w:val="18"/>
          <w:color w:val="auto"/>
        </w:rPr>
        <w:t>Revenues from segments below the quantitative thresholds requiring them to be reported separately are attributable to three operating segments of the Company. These segments include a tire company, an insurance agency, and a hunting lease operation. None of these segments has ever met any of the quantitative thresholds that would require them to be reported separately.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 news releases, conferences, website postings or otherwise) that are not statements of historical fact constitute “forward-looking statements” within the meaning of the Section 27A of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w:t>
      </w:r>
    </w:p>
    <w:p>
      <w:pPr>
        <w:sectPr>
          <w:pgSz w:w="11900" w:h="16838" w:orient="portrait"/>
          <w:cols w:equalWidth="0" w:num="1">
            <w:col w:w="11420"/>
          </w:cols>
          <w:pgMar w:left="240" w:top="125" w:right="239" w:bottom="0" w:gutter="0" w:footer="0" w:header="0"/>
        </w:sectPr>
      </w:pPr>
    </w:p>
    <w:bookmarkStart w:id="9" w:name="page10"/>
    <w:bookmarkEnd w:id="9"/>
    <w:p>
      <w:pPr>
        <w:spacing w:after="0" w:line="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2005 (as updated in Part II, Item 1A of this Quarterly Report on Form 10-Q)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other reports filed with the SEC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Company is a full-service, integrated retailer of premium transportation and construction equipment and related services. The Company’s Rush Truck Centers primarily sell heavy-duty trucks manufactured by Peterbilt Motors Company (“Peterbilt”), a division of PACCAR, Inc. Certain Rush Truck Centers sell medium-duty trucks manufactured by Peterbilt, GMC, Hino, UD or Isuzu.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 of new and used trucks and construction equipment, aftermarket parts sales, service and repair facilities, financing, leasing and rental, and insurance services.</w:t>
      </w:r>
    </w:p>
    <w:p>
      <w:pPr>
        <w:spacing w:after="0" w:line="178"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March 2006, the Company purchased certain assets of Great Southern Peterbilt, Inc., which consisted of a Peterbilt and Hino truck dealership in Jacksonville, Florida, for a total purchase price of $22.0 million. The Company is operating the facility as a full-service Rush Truck Center offering heavy-duty and medium-duty trucks, parts and service. See Note 6, “Acquisitions” of the Notes to the Consolidated Financial Statements for a detailed discussion of the allocation of the purchase price of certain assets of Great Southern Peterbilt, Inc.</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40 Rush Truck Centers in Alabama, Arizona, California, Colorado, Florida, New Mexico, Oklahoma, Tennessee and Texas.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Company’s Rush Equipment Center in Houston, Texas provides a full line of John Deere construction equipment, as well as a variety of construction equipment trailers.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applies the provisions of Statement of Financial Accounting Standards No. 142, “Goodwill and Other Intangible Assets (“SFAS 142”), in accounting for goodwill. SFAS 142 requires that goodwill and other intangible assets that have indefinite useful lives may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performs its annual review during the fourth quarter of each year and, therefore, did not record an impairment charge related to goodwill during the second quarter of 2006. Management is not aware of any impairment charge, which may be required; however, a change in economic conditions, if one occurs, could result in an impairment charge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Income on the sale of a truck or a piece of construction equipment is recognized when the customer executes a purchase contract with us, the unit has been delivered to the customer and there are no significant uncertainties related to financing or collectibility. Lease and rental income is recognized over the period of the related lease or rental agreement. Parts and service revenue is recognized at the time the Company sells the parts to its customers or at the time</w:t>
      </w:r>
    </w:p>
    <w:p>
      <w:pPr>
        <w:sectPr>
          <w:pgSz w:w="11900" w:h="16912" w:orient="portrait"/>
          <w:cols w:equalWidth="0" w:num="1">
            <w:col w:w="11420"/>
          </w:cols>
          <w:pgMar w:left="240" w:top="125" w:right="239" w:bottom="0" w:gutter="0" w:footer="0" w:header="0"/>
        </w:sectPr>
      </w:pPr>
    </w:p>
    <w:bookmarkStart w:id="10" w:name="page11"/>
    <w:bookmarkEnd w:id="10"/>
    <w:p>
      <w:pPr>
        <w:ind w:right="460"/>
        <w:spacing w:after="0" w:line="277" w:lineRule="auto"/>
        <w:rPr>
          <w:sz w:val="20"/>
          <w:szCs w:val="20"/>
          <w:color w:val="auto"/>
        </w:rPr>
      </w:pPr>
      <w:r>
        <w:rPr>
          <w:rFonts w:ascii="Arial" w:cs="Arial" w:eastAsia="Arial" w:hAnsi="Arial"/>
          <w:sz w:val="18"/>
          <w:szCs w:val="18"/>
          <w:color w:val="auto"/>
        </w:rPr>
        <w:t>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Finance income related to the sale of a unit is recognized when the finance contract is sold to a finance company. During 2005 and 2006, finance contracts were not retained by the Company for any significant length of time because finance contracts are generally sold to finance companies concurrent with the sale of the related unit. The majority of finance contracts are sold without recourse against the Company. The Company’s liability related to finance contracts sold with recourse is generally limited to 5% to 20% of the outstanding amount of each note initiated on behalf of the finance company. The Company has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approximately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it has sold.</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part of the acquisition of certain assets of ATS, the Company assumed certain contingent liabilities to finance companies for notes that ATS initiated on behalf of such finance companies related to the sale of trucks. ATS’s portfolio to which the contingent liability is related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8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Company arranges financing for customers through various financial institutions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The Company is not the obligor under any of these contracts. In the case of finance contracts, a customer may prepay, or fail to pay, thereby terminating the contract. If the customer terminates a retail finance contract or other insurance product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other insurance products. The actual amount of historical charge-backs has not been significantly different than the Company’s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 is partially self-insured for medical, workers compensation, and property and casualty insurance and calculates a reserve for those claims that have been incurred but not reported and for the remaining portion of those claims that have been reported. The Company uses information provided by third-party administrators to determine the reasonableness of the calculations they perform.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has a valuation allowance related to deferred tax assets in certain states. Accordingly, the facts and financial circumstances impacting the state deferred income tax assets are reviewed quarterly and management’s judgment is applied to determine the amount of valuation allowance required in any given period.</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 Significant judgment is required in evaluating the Company’s tax contingencies. The Company’s tax contingencies are adjusted in light of changing facts and circumstances. The Company’s income tax expense includes the impact of reserve provisions and changes to reserves that it considers appropriate, as well as related interest. Unfavorable settlement of any particular issue would require use of the Company’s cash and a charge to income tax expense. Favorable resolution would be recognized as a reduction to income tax expense at the time of resolution.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January 1, 2006, the Company adopted SFAS 123(R), which requires the measurement and recognition of compensation expense for all share-based payment awards made to employees and directors including grants of stock options and employee stock purchases under the Company’s Employee Stock Purchase Plan based on estimated fair values. SFAS 123(R) supersedes the Company’s previous accounting under APB 25 for periods beginning in 2006. In March 2005, the SEC issued SAB 107 relating to SFAS 123(R).</w:t>
      </w:r>
    </w:p>
    <w:p>
      <w:pPr>
        <w:spacing w:after="0" w:line="187" w:lineRule="exact"/>
        <w:rPr>
          <w:sz w:val="20"/>
          <w:szCs w:val="20"/>
          <w:color w:val="auto"/>
        </w:rPr>
      </w:pPr>
    </w:p>
    <w:p>
      <w:pPr>
        <w:jc w:val="both"/>
        <w:ind w:right="40" w:firstLine="648"/>
        <w:spacing w:after="0" w:line="276" w:lineRule="auto"/>
        <w:rPr>
          <w:sz w:val="20"/>
          <w:szCs w:val="20"/>
          <w:color w:val="auto"/>
        </w:rPr>
      </w:pPr>
      <w:r>
        <w:rPr>
          <w:rFonts w:ascii="Arial" w:cs="Arial" w:eastAsia="Arial" w:hAnsi="Arial"/>
          <w:sz w:val="17"/>
          <w:szCs w:val="17"/>
          <w:color w:val="auto"/>
        </w:rPr>
        <w:t>The Company adopted SFAS 123(R) using the modified prospective transition method, which requires the application of the accounting standard as of January 1, 2006. The Company’s Consolidated Financial Statements as of June 30, 2006 and for the three and six months ended June 30, 2006 reflect the impact of SFAS 123(R). In accordance with the modified prospective transition method, the Company’s Consolidated Financial Statements for prior periods have not been restated to reflect, and do not include, the impact of SFAS 123(R). Stock-based compensation expense recognized under SFAS 123(R) for the three months ended June 30, 2006 was $931,000 and for the six months ended June 30, 2006 was</w:t>
      </w:r>
    </w:p>
    <w:p>
      <w:pPr>
        <w:sectPr>
          <w:pgSz w:w="11900" w:h="16838" w:orient="portrait"/>
          <w:cols w:equalWidth="0" w:num="1">
            <w:col w:w="11340"/>
          </w:cols>
          <w:pgMar w:left="240" w:top="125" w:right="319" w:bottom="0" w:gutter="0" w:footer="0" w:header="0"/>
        </w:sect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40"/>
          </w:cols>
          <w:pgMar w:left="240" w:top="125" w:right="319" w:bottom="0" w:gutter="0" w:footer="0" w:header="0"/>
          <w:type w:val="continuous"/>
        </w:sectPr>
      </w:pPr>
    </w:p>
    <w:bookmarkStart w:id="11" w:name="page12"/>
    <w:bookmarkEnd w:id="11"/>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$1,895,000, which consisted of stock-based compensation expense related to grants of stock options and employee stock purchases under the Employee Stock Purchase Plan. There was no stock-based compensation expense related to grants of stock options or employee stock purchases under the Employee Stock Purchase Plan recognized during the three and six months ended June 30, 2005.</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SFAS 123(R) requires companies to estimate the fair value of share-based payment awards on the date of grant using an option-pricing model. The value of the portion of the award that is ultimately expected to vest is recognized as expense over the requisite service periods in the Company’s Consolidated Statement of Operations. Prior to the adoption of SFAS 123(R), the Company accounted for stock-based awards to employees and directors using the intrinsic value method in accordance with APB 25 as allowed under Statement of Financial Accounting Standards No. 123, “Accounting for Stock-Based Compensation” (“SFAS 123”). Under the intrinsic value method, no stock-based compensation expense had been recognized in the Company’s Consolidated Statement of Operations because the exercise price of the Company’s stock options granted to employees and directors equaled the fair market value of the underlying stock at the date of grant.</w:t>
      </w:r>
    </w:p>
    <w:p>
      <w:pPr>
        <w:spacing w:after="0" w:line="18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Stock-based compensation expense recognized during the three months and six months ended June 30, 2006 is based on the value of the portion of share-based payment awards that is ultimately expected to vest during the period. Stock-based compensation expense recognized in the Company’s Consolidated Statement of Operations for the three months and six months ended June 30, 2006 included compensation expense for share-based payment awards granted prior to, but not yet vested as of December 31, 2005, based on the grant date fair value estimated in accordance with the pro forma provisions of SFAS 123 and compensation expense for the share-based payment awards granted subsequent to December 31, 2005 based on the grant date fair value estimated in accordance with the provisions of SFAS 123(R). In conjunction with the adoption of SFAS 123(R), compensation expense for all share-based payment awards is recognized using the straight-line single-option method. As stock-based compensation expense recognized in the Consolidated Statement of Operations for the three months and six months ended June 30, 2006 is based on awards ultimately expected to vest, it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2006, the Company accounted for forfeitures as they occurred.</w:t>
      </w:r>
    </w:p>
    <w:p>
      <w:pPr>
        <w:spacing w:after="0" w:line="18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Upon adoption of SFAS 123(R), the Company continues to use the Black-Scholes option-pricing model which was previously used for the Company’s pro forma information required under SFAS 123. For additional information, see Note 5, “Stock Options” of the Notes to Consolidated Financial Statements.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certain characteristics that are significantly different from traded options, and because changes in the subjective assumptions can materially affect the estimated value, in management’s opinion, the existing valuation models may not provide an accurate measure of the fair value of the Company’s stock options. Although the fair value of stock options is determined in accordance with SFAS 123(R) and SAB 107 using an option-pricing model, that value may not be indicative of the fair value observed in a market transaction between a willing buyer and a willing seller.</w:t>
      </w:r>
    </w:p>
    <w:p>
      <w:pPr>
        <w:spacing w:after="0" w:line="16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See Note 1, “Principles of Consolidation and Basis of Presentation,” of the Notes to Consolidated Financial Statements for additional information regarding the adoption of SFAS 123(R).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2006 and 2005.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187"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8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3"/>
              </w:rPr>
              <w:t>Three Months Ended</w:t>
            </w:r>
          </w:p>
        </w:tc>
        <w:tc>
          <w:tcPr>
            <w:tcW w:w="158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2"/>
              </w:rPr>
              <w:t>Six Months Ended</w:t>
            </w:r>
          </w:p>
        </w:tc>
      </w:tr>
      <w:tr>
        <w:trPr>
          <w:trHeight w:val="162"/>
        </w:trPr>
        <w:tc>
          <w:tcPr>
            <w:tcW w:w="468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CCEEFF"/>
            </w:tcBorders>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Parts and service</w:t>
            </w: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Lease and rental</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products sold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r>
      <w:tr>
        <w:trPr>
          <w:trHeight w:val="210"/>
        </w:trPr>
        <w:tc>
          <w:tcPr>
            <w:tcW w:w="4680" w:type="dxa"/>
            <w:vAlign w:val="bottom"/>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sale of assets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8"/>
                <w:szCs w:val="18"/>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2006 Compared to Three Months Ended June 30, 2005</w:t>
      </w:r>
    </w:p>
    <w:p>
      <w:pPr>
        <w:sectPr>
          <w:pgSz w:w="11900" w:h="16838" w:orient="portrait"/>
          <w:cols w:equalWidth="0" w:num="1">
            <w:col w:w="11420"/>
          </w:cols>
          <w:pgMar w:left="240" w:top="517"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ectPr>
          <w:pgSz w:w="11900" w:h="16838" w:orient="portrait"/>
          <w:cols w:equalWidth="0" w:num="1">
            <w:col w:w="11420"/>
          </w:cols>
          <w:pgMar w:left="240" w:top="517" w:right="239" w:bottom="0" w:gutter="0" w:footer="0" w:header="0"/>
          <w:type w:val="continuous"/>
        </w:sectPr>
      </w:pPr>
    </w:p>
    <w:bookmarkStart w:id="12" w:name="page13"/>
    <w:bookmarkEnd w:id="12"/>
    <w:p>
      <w:pPr>
        <w:ind w:right="60" w:firstLine="648"/>
        <w:spacing w:after="0" w:line="259" w:lineRule="auto"/>
        <w:rPr>
          <w:sz w:val="20"/>
          <w:szCs w:val="20"/>
          <w:color w:val="auto"/>
        </w:rPr>
      </w:pPr>
      <w:r>
        <w:rPr>
          <w:rFonts w:ascii="Arial" w:cs="Arial" w:eastAsia="Arial" w:hAnsi="Arial"/>
          <w:sz w:val="18"/>
          <w:szCs w:val="18"/>
          <w:color w:val="auto"/>
        </w:rPr>
        <w:t>Revenues increased $107.4 million, or 23.3%, from $461.8 million in the second quarter of 2005 to $569.2 million in the second quarter of 2006. Sales of new and used trucks increased $79.8 million, or 23.2%, from $343.9 million in the second quarter of 2005 to $423.7 million in the second quarter of 2006. This increase in new and used truck revenue is due to strong demand for Class 8 trucks, increased sales of medium-duty trucks due to acquisitions and strong demand, and strong demand for used trucks.</w:t>
      </w:r>
    </w:p>
    <w:p>
      <w:pPr>
        <w:spacing w:after="0" w:line="187"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Unit sales of new Class 8 trucks increased 9.2%, from 2,469 units in the second quarter of 2005 to 2,695 units in the second quarter of 2006. Based on estimates from A.C.T. Research Co., LLC, a truck industry data and forecasting service provider (“A.C.T. Research”), the Company believes that sales of Class 8 trucks in the United States will increase from approximately 259,000 units in 2005 to approximately 286,000 units in 2006. In 2005, the Company retained a 3.9% share of the Class 8 truck sales market in the U.S. The Company expects to maintain this share of the Class 8 truck sales market in 2006, which would result in the sale of approximately 11,000 Class 8 trucks based on retail sales of 286,000 units as estimated by A.C.T. Research. Industry expectations are for Class 8 truck sales to decline in 2007 primarily due to new diesel emissions laws, which are expected to increase the cost and potentially reduce the fuel efficiency of diesel engines built on or after January 1, 2007. Industry analysts believe that second and third quarter 2007 Class 8 truck sales will be down more significantly relative to 2006 than first quarter 2007 sales and that Class 8 truck sales will begin to recover in the fourth quarter of 2007. A.C.T. Research currently estimates U.S. Class 8 truck retail sales to total approximately 180,000 units in 2007.</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Unit sales of new medium-duty trucks increased 74.0%, from 681 units in the second quarter of 2005 to 1,185 units in the second quarter of 2006. The Company continues its concerted effort to improve its medium-duty truck sales by adding experienced medium-duty sales personnel and introducing new medium-duty franchises at some of the Company’s Rush Truck Centers to complement the existing medium-duty lines sold at such dealerships. Since July of 2005, the Company has acquired medium-duty truck franchises in Dallas and Texarkana, Texas, Orlando and Jacksonville, Florida and Fontana,</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California. Overall, new medium-duty truck sales revenue increased approximately $26.1 million, or 65.6%, in the second quarter of 2006 compared to the second quarter of 2005. A.C.T. Research currently expects United States retail sales of Class 5, 6, and 7 medium-duty trucks to increase from approximately 214,000 in 2005 to 227,000 in 2006. The Company expects to sell approximately 4,500 medium—duty trucks in 2006, compared to 2,807 in 2005. A.C.T.</w:t>
      </w:r>
    </w:p>
    <w:p>
      <w:pPr>
        <w:ind w:right="200"/>
        <w:spacing w:after="0" w:line="323" w:lineRule="auto"/>
        <w:rPr>
          <w:sz w:val="20"/>
          <w:szCs w:val="20"/>
          <w:color w:val="auto"/>
        </w:rPr>
      </w:pPr>
      <w:r>
        <w:rPr>
          <w:rFonts w:ascii="Arial" w:cs="Arial" w:eastAsia="Arial" w:hAnsi="Arial"/>
          <w:sz w:val="16"/>
          <w:szCs w:val="16"/>
          <w:color w:val="auto"/>
        </w:rPr>
        <w:t>Research expects United States retail sales of Class 5, 6, and 7 medium-duty trucks to decrease approximately 13% in 2007 to 197,000 units, however, the Company expects to continue to add medium-duty franchises to certain dealerships and to increase medium-duty sales and market share compared to 2006.</w:t>
      </w:r>
    </w:p>
    <w:p>
      <w:pPr>
        <w:spacing w:after="0" w:line="13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Unit sales of used trucks increased 9.2%, from 874 units in the second quarter of 2005 to 954 units in the second quarter of 2006. Used truck average revenue per unit increased by 4.2%. Historically, used truck demand is consistent with new truck demand. The Company expects used truck demand to remain high; however, the Company’s ability to sell used trucks is ultimately dependent upon its ability to acquire used trucks for resale. The Company expects to sell approximately 4,000 used trucks in 2006.</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Parts and service sales increased $20.4 million, or 22.2%, from $92.0 million in the second quarter of 2005 to $112.4 million in the second quarter of 2006. The parts and service sales increase was consistent with management’s expectations, which take into account general economic conditions, successful business development and price increases for parts and labor. The Company expects parts and service sales to maintain a 20% to 22% growth level during the remainder of 2006.</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Sales of new and used construction equipment increased $4.0 million, or 34.2%, from $11.7 million in the second quarter of 2005 to $15.7 million in the second quarter of 2006. During the second quarter of 2006, the Company made a concerted effort to increase its market share in the Houston area. Approximately 2,700 units of construction equipment were put into use in the Company’s area of responsibility in 2005, and the construction equipment industry expects to sell approximately 2,840 units of new construction equipment in the Houston area in 2006. John Deere’s market share in the Houston area construction equipment market increased from 18.6% in the second quarter of 2005 to 21.6% in the second quarter of 2006. The Company believes it can increase John Deere’s market share, in the Houston area, to approximately 25% in 2006.</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Lease and rental revenues increased $1.8 million, or 21.4%, from $8.4 million in the second quarter of 2005 to $10.2 million in the second quarter of 2006. This increase in lease and rental revenue is consistent with management’s expectations. The Company expects lease and rental revenue to increase approximately 20% during 2006 compared to 2005 due to an increased number of units in the lease and rental fleet.</w:t>
      </w:r>
    </w:p>
    <w:p>
      <w:pPr>
        <w:spacing w:after="0" w:line="166"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Finance and insurance revenues increased $0.9 million, or 22.0%, from $4.1 million in the second quarter of 2005 to $5.0 million in the second quarter of 2006. The Company expects finance and insurance revenues to continue to increase relative to 2005 as sales of new and used trucks remain strong. Finance and insurance revenues have limited direct costs and, therefore, contribute a disproportionate share of the Company’s operating profits.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Other income increased $0.4 million, or 23.5%, from $1.7 million in the second quarter of 2005 to $2.1 million in the second quarter of 2006. Other income revenue is primarily related to the gain on sale realized on trucks from the lease and rental fleet, commissions earned from John Deere for direct manufacturer sales in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Gross profit increased $16.2 million, or 22.6%, from $71.8 million in the second quarter of 2005 to $88.0 million in the second quarter of 2006. Gross profit as a percentage of sales was 15.5% in the second quarter of 2005 and the second quarter of 2006. Truck sales, a lower margin revenue item, remained relatively flat as a percent of total revenue at 74.5% in the second quarter of 2005 and 74.4% in the second quarter of 2006. Parts and service revenue, a higher margin revenue item, also remained relatively flat as a percent of total revenue at 19.9% in the second quarter of 2005 and 19.8% in the second quarter of 2006.</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Gross margins on Class 8 truck sales increased from 6.4% in the second quarter of 2005 to 6.8% in the second quarter of 2006. Manufacturers’ incentives for Class 8 trucks accounted for 17.1% of the gross margin in the second quarter of 2005 and 16.1% in the second quarter of 2006. Historically, manufacturers’ incentives have varied significantly on a quarterly basis. For 2006, the Company expects overall gross margins from Class 8 truck sales of approximately 7.0% to 7.5% compared to 6.7% for fiscal year 2005.</w:t>
      </w:r>
    </w:p>
    <w:p>
      <w:pPr>
        <w:spacing w:after="0" w:line="187" w:lineRule="exact"/>
        <w:rPr>
          <w:sz w:val="20"/>
          <w:szCs w:val="20"/>
          <w:color w:val="auto"/>
        </w:rPr>
      </w:pPr>
    </w:p>
    <w:p>
      <w:pPr>
        <w:ind w:right="1160" w:firstLine="648"/>
        <w:spacing w:after="0" w:line="277" w:lineRule="auto"/>
        <w:rPr>
          <w:sz w:val="20"/>
          <w:szCs w:val="20"/>
          <w:color w:val="auto"/>
        </w:rPr>
      </w:pPr>
      <w:r>
        <w:rPr>
          <w:rFonts w:ascii="Arial" w:cs="Arial" w:eastAsia="Arial" w:hAnsi="Arial"/>
          <w:sz w:val="18"/>
          <w:szCs w:val="18"/>
          <w:color w:val="auto"/>
        </w:rPr>
        <w:t>Gross margins on medium-duty truck sales increased from 6.9% in the second quarter of 2005 to 7.2% in the second quarter of 2006. Manufacturers’ incentives for medium-duty trucks accounted for 3.8% of the gross margin in the second</w:t>
      </w:r>
    </w:p>
    <w:p>
      <w:pPr>
        <w:sectPr>
          <w:pgSz w:w="11900" w:h="16838" w:orient="portrait"/>
          <w:cols w:equalWidth="0" w:num="1">
            <w:col w:w="11400"/>
          </w:cols>
          <w:pgMar w:left="240" w:top="125" w:right="259" w:bottom="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quarter of 2005 and 2.9% in the second quarter of 2006. For 2006, the Company expects overall gross margins from medium-duty truck sales of approximately 6.0% to 7.5% compared to 6.2% for fiscal year 2005. Gross margins on medium-duty truck sales are impacted by the mix of models sold and the Company’s 2006 gross margins on medium-duty trucks could vary significantly depending upon the ultimate product mix of medium-duty trucks actually sold.</w:t>
      </w:r>
    </w:p>
    <w:p>
      <w:pPr>
        <w:spacing w:after="0" w:line="187"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Gross margins on used truck sales increased from 9.4% in the second quarter of 2005 to 9.8% in the second quarter of 2006. The current challenge for the Company’s used truck business is procuring a sufficient quantity of quality used trucks for resale at an acceptable price, in a market where demand is exceeding supply. The Company believes it will be able to continue to achieve margins of approximately 8.0% to 10.0% during the remainder of 2006.</w:t>
      </w:r>
    </w:p>
    <w:p>
      <w:pPr>
        <w:spacing w:after="0" w:line="14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Gross margins from the Company’s parts, service and body shop operations decreased from 42.2% in the second quarter of 2005 to 41.3% in the second quarter of 2006. Gross profit dollars for the parts, service and body shop departments increased from $38.8 million in the second quarter of 2005 to $46.4 million in the second quarter of 2006. The Company expects to maintain gross margins of approximately 39.0% to 42.0% for the remainder of 2006.</w:t>
      </w:r>
    </w:p>
    <w:p>
      <w:pPr>
        <w:spacing w:after="0" w:line="147"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Gross margins on new and used construction equipment sales decreased from 14.2% in the second quarter of 2005 to 10.8% the second quarter of 2006. The lower gross margins for the second quarter of 2006 are due to the Company’s efforts to increase its market share in the Houston area. The Company expects 2006 gross margins to remain in a range of 10.0% to 12.0% depending on the mix of products sold.</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Gross margins from lease and rental sales decreased from approximately 24.5% in the second quarter of 2005 to 22.9% in the second quarter of 2006. The decrease in gross margins from lease and rental sales is primarily due to the increase in interest rates and the increase in the cost of new trucks for use in the lease and rental fleet. The Company expects to maintain gross margins from lease and rental sales of approximately 22.0% to 24.0% in 2006. The Company’s policy is to depreciate its lease and rental fleet using the shortest depreciable life established by generally accepted accounting principles. This policy results in the Company realizing small gross margins while the unit is in service and a corresponding larger gain on sale when the unit is sold at the end of the lease term.</w:t>
      </w:r>
    </w:p>
    <w:p>
      <w:pPr>
        <w:spacing w:after="0" w:line="193"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increase in finance and insurance revenues and other income, as described above, has limited direct costs and, therefore, contributes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Selling, General and Administrative (“SG&amp;A”) expenses increased $9.9 million, or 20.8%, from $47.7 million in the second quarter of 2005 to $57.6 million in the second quarter of 2006. This increase is attributable in part to increased commissions on truck sales, expansion of facilities in Mobile, Alabama and Nashville, Tennessee and new store openings in Alice and Texarkana, Texas and Orlando and Jacksonville, Florida. Additionally, on January 1, 2006, the Company implemented Statement No. 123 (revised 2004), “Share-Based Payment” (“SFAS 123(R)”), which resulted in stock-based compensation expense of $931,000 for the second quarter of 2006. SG&amp;A expenses as a percentage of sales decreased from 10.3% in the second quarter of 2005 to 10.1% in the second quarter of 2006. SG&amp;A expenses as a percentage of sales have historically ranged from 10.0% to 16.0%. The Company expects SG&amp;A expenses as a percentage of sales to remain at the lower end of this range through the remainder of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Net interest expense increased $0.3 million, or 9.4%, from $3.2 million in the second quarter of 2005 to $3.5 million in the second quarter of 2006. The increase in net interest expense is attributable to several factors. In the second quarter of 2006, floor plan interest expense increased $1.3 million compared to the second quarter of 2005 due to the increase in floor plan debt and increasing interest rates. To take advantage of increased truck demand, the Company currently maintains higher levels of truck inventory than it has traditionally maintained, which increases the Company’s floor plan debt. The increase in net interest expense in the second quarter of 2006 was offset by a $1.1 million increase in the Company’s interest income compared to the second quarter of 2005. The increase in net interest income is attributable to increased interest rates on investments and the Company having more cash available to invest.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Income before income taxes increased $5.5 million, or 30.1%, from $18.3 million in the second quarter of 2005 to $23.8 million in the second quarter of 2006, as a result of the factors described above. The Company believes that income in 2006 will continue to increase compared to 2005.</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Income taxes from continuing operations increased $1.9 million, or 27.1%, from $7.0 million in the second quarter of 2005 to $8.9 million in the second quarter of 2006. In the second quarter of 2006, the Company has provided for taxes at a 37.5% effective rate compared to 38.5% for the second quarter of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2006 Compared to Six Months Ended June 30, 2005</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Unless otherwise stated below, the Company’s future expectations with regards to the items discussed in this section are set forth in the discussion of the “Three Months Ended June 30, 2006 Compared to Three Months Ended June 30, 2005.”</w:t>
      </w:r>
    </w:p>
    <w:p>
      <w:pPr>
        <w:sectPr>
          <w:pgSz w:w="11900" w:h="16838" w:orient="portrait"/>
          <w:cols w:equalWidth="0" w:num="1">
            <w:col w:w="11420"/>
          </w:cols>
          <w:pgMar w:left="240" w:top="125" w:right="239" w:bottom="229"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Revenues</w:t>
      </w:r>
    </w:p>
    <w:p>
      <w:pPr>
        <w:sectPr>
          <w:pgSz w:w="11900" w:h="16838" w:orient="portrait"/>
          <w:cols w:equalWidth="0" w:num="1">
            <w:col w:w="11420"/>
          </w:cols>
          <w:pgMar w:left="240" w:top="125" w:right="239" w:bottom="229" w:gutter="0" w:footer="0" w:header="0"/>
          <w:type w:val="continuous"/>
        </w:sectPr>
      </w:pPr>
    </w:p>
    <w:bookmarkStart w:id="14" w:name="page15"/>
    <w:bookmarkEnd w:id="14"/>
    <w:p>
      <w:pPr>
        <w:jc w:val="both"/>
        <w:ind w:right="20" w:firstLine="648"/>
        <w:spacing w:after="0" w:line="286" w:lineRule="auto"/>
        <w:rPr>
          <w:sz w:val="20"/>
          <w:szCs w:val="20"/>
          <w:color w:val="auto"/>
        </w:rPr>
      </w:pPr>
      <w:r>
        <w:rPr>
          <w:rFonts w:ascii="Arial" w:cs="Arial" w:eastAsia="Arial" w:hAnsi="Arial"/>
          <w:sz w:val="17"/>
          <w:szCs w:val="17"/>
          <w:color w:val="auto"/>
        </w:rPr>
        <w:t>Revenues increased $203.2 million, or 23.5%, from $863.9 million in the first six months of 2005 to $1,067.1 million in the first six months of 2006. Sales of new and used trucks increased $144.2 million, or 22.4%, from $642.9 million in the first six months of 2005 to $787.1 million in the first six months of 2006. New and used truck revenue is affected by demand for Class 8 trucks, medium-duty trucks and used trucks as described below.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Unit sales of new Class 8 trucks increased 7.3%, from 4,654 units in the first six months of 2005 to 4,994 units in the first six months of 2006.</w:t>
      </w:r>
    </w:p>
    <w:p>
      <w:pPr>
        <w:spacing w:after="0" w:line="23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Unit sales of new medium-duty trucks increased 59.1%, from 1,305 units in the first six months of 2005 to 2,076 units in the first six months of 2006. Overall, new medium-duty truck sales revenue increased approximately $42.3 million, or 58.2%, in the first six months of 2006 compared to the first six months of 2005. The Company continues its concerted effort to improve its medium-duty truck sales by adding experienced medium-duty sales personnel and introducing new medium-duty franchises at some of our Rush Truck Centers to complement the existing medium-duty lines sold at such dealerships.</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Unit sales of used trucks increased 8.5%, from 1,854 units in the first six months of 2005 to 2,012 units in the first six months of 2006. Used truck average revenue per unit increased by 9.2%.</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Parts and service sales increased $42.3 million, or 24.2%, from $175.0 million in the first six months of 2005 to $217.3 million in the first six months of 2006. The parts and service sales increase was consistent with management’s expectations.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Sales of new and used construction equipment increased $10.4 million, or 52.8%, from $19.7 million in the first six months of 2005 to $30.1 million in the first six months of 2006. During the first six months of 2006, the Company made a concerted effort to increase its market share in the Houston area. Because the Company operates only one construction equipment location, new and used construction equipment revenue can fluctuate significantly from quarter to quarter depending on the mix of product sold and the timing of deliveries.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Lease and rental revenues increased $3.5 million, or 21.7%, from $16.1 million in the first six months of 2005 to $19.6 million in the first six months of 2006. This increase in lease and rental revenue was consistent with management’s expectations.</w:t>
      </w:r>
    </w:p>
    <w:p>
      <w:pPr>
        <w:spacing w:after="0" w:line="170"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Finance and insurance revenues increased $1.9 million, or 26.4%, from $7.2 million in the first six months of 2005 to $9.1 million in the first six months of 2006. The Company expects finance and insurance revenues to continue to increase relative to 2005 as sales of new and used trucks remain strong. Finance and insurance revenues have limited direct costs and, therefore, contribute a disproportionate share of the Company’s operating profits.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income increased $1.0 million, or 34.5%, from $2.9 million in the first six months of 2005 to $3.9 million in the first six months of 2006. Other income revenue is primarily related to the gain on sale realized on trucks from the lease and rental fleet, commissions earned from John Deere for direct manufacturer sales in our area of responsibility,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Gross profit increased $36.9 million, or 27.8%, from $132.7 million in the first six months of 2005 to $169.6 million in the first six months of 2006. Gross profit as a percentage of sales increased from 15.4% in the first six months of 2005 to 15.9% in the first six months of 2006. This increase is partially due to a change in our product mix. Truck sales, a lower margin revenue item, decreased as a percent of total revenue from 74.4% in the first six months of 2005 to 73.8% in the first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six months of 2006. Parts and service revenue, a higher margin revenue item, increased as a percent of total revenue from 20.3% in the first six months of 2005 to 20.4% in the first six months of 2006. The increase in gross profit is also attributable to increasing margins on new truck sales.</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Gross margins on Class 8 truck sales increased from 6.5% in the first six months of 2005 to 7.5% in the first six months of 2006. Manufacturers’ incentives for Class 8 trucks accounted for 17.0% of the gross margin in the first six months of 2005 and 23.3% in the first six months of 2006. Historically, manufacturers’ incentives have varied significantly on a quarterly basis.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Gross margins on medium-duty truck sales increased from 6.3% in the first six months of 2005 to 6.8% in the first six months of 2006. Manufacturers’ incentives for medium-duty trucks accounted for 3.8% of the gross margin in the first six months of 2005 and 3.4% in the first six months of 2006.</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Gross margins on used truck sales decreased from 9.5% in the first six months of 2005 to 9.0% in the first six months of 2006. The decrease in gross margins on used trucks during the first six months of 2006 is due primarily to low margins recognized on the sale of fleet trade-ins that were placed in inventory during the fourth quarter of 2005.</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decreased from 41.0% in the first six months of 2005 to 40.9% in the first six months of 2006. Gross profit dollars for the parts, service and body shop departments increased from $71.8 million in the first six months of 2005 to $89.0 million in the first six months of 2006.</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Gross margins on new and used construction equipment sales decreased from 13.3% in the first six months of 2005 to 11.4% in the first six months of 2006. The Company expects 2006 gross margins to remain in a range of 10.0% to 12.0%, depending on the mix of products sold, as the Company attempts to increase its market share.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Gross margins from lease and rental sales decreased from approximately 25.2% in the first six months of 2005 to 23.4% in the first six months of 2006. The decrease in gross margins from lease and rental sales is primarily due to the increase in interest rates and the increase in the cost of new trucks for use in the lease and rental fleet</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increase in finance and insurance revenues and other income, as described above, has limited direct costs and, therefore, contributes a disproportionate share of gross profit.</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w:t>
      </w:r>
    </w:p>
    <w:p>
      <w:pPr>
        <w:sectPr>
          <w:pgSz w:w="11900" w:h="16838" w:orient="portrait"/>
          <w:cols w:equalWidth="0" w:num="1">
            <w:col w:w="11400"/>
          </w:cols>
          <w:pgMar w:left="240" w:top="125" w:right="259" w:bottom="0" w:gutter="0" w:footer="0" w:header="0"/>
          <w:type w:val="continuous"/>
        </w:sectPr>
      </w:pPr>
    </w:p>
    <w:bookmarkStart w:id="15" w:name="page16"/>
    <w:bookmarkEnd w:id="15"/>
    <w:p>
      <w:pPr>
        <w:ind w:left="660"/>
        <w:spacing w:after="0"/>
        <w:rPr>
          <w:sz w:val="20"/>
          <w:szCs w:val="20"/>
          <w:color w:val="auto"/>
        </w:rPr>
      </w:pPr>
      <w:r>
        <w:rPr>
          <w:rFonts w:ascii="Arial" w:cs="Arial" w:eastAsia="Arial" w:hAnsi="Arial"/>
          <w:sz w:val="17"/>
          <w:szCs w:val="17"/>
          <w:color w:val="auto"/>
        </w:rPr>
        <w:t>Selling, General and Administrative (“SG&amp;A”) expenses increased $22.9 million, or 25.1%, from $91.3 million in the first six months of 2005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$114.2 million in the first six months of 2006. This increase is attributable in part to increased commissions on truck sales, expansion of facilities in Mobile,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Alabama and Nashville, Tennessee and new store openings in Alice and Texarkana, Texas and Orlando and Jacksonville, Florida. SFAS 123(R)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implementation resulted in stock-based compensation expense of $1.9 million for the first six months of 2006. SG&amp;A expenses as a percentage of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increased from 10.6% in the first six months of 2005 to 10.7% in the first six months of 2006. SG&amp;A expenses as a percentage of sales have historically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ranged from 10.0% to 16.0%.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Net interest expense increased $1.4 million, or 24.6%, from $5.7 million in the first six months of 2005 to $7.1 million in the first six months of 2006. The increase in net interest expense is attributable to several factors. In the first six months of 2006, floor plan interest expense increased $3.2 million compared to the first six months of 2005 due to the increase in floor plan debt and increasing interest rates. To take advantage of increased truck demand, the Company currently maintains higher levels of truck inventory than it has traditionally maintained, which increases the Company’s floor plan debt. The increase in net interest expense in the first six months of 2006, was offset by a $2.3 million increase in the Company’s interest income compared to the first six months of 2005. The increase in net interest income is attributable to increased interest rates on investments and the Company having more cash available to invest.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Income before income taxes increased $11.5 million, or 37.3%, from $30.8 million in the first six months of 2005 to $42.3 million in the first six months of 2006, as a result of the factors described above. The Company believes that income from continuing operations in 2006 will continue to increase compared to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Income taxes from continuing operations increased $4.1 million, or 34.7%, from $11.8 million in the first six months of 2005 to $15.9 million in the first six months of 2006. In the first six months of 2006, the Company has provided for taxes at a 37.5% effective rate compared to 38.5% for the first six months of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Company’s short-term cash needs are primarily for working capital, including inventory requirements, expansion of existing facilities and acquisitions of new facilities. These short-term cash needs have historically been financed with retention of profits and borrowings under credit facilities available to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June 30, 2006, the Company had working capital of approximately $129.9 million, including $140.5 million in cash and cash equivalents, $58.4</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in accounts receivable, $415.6 million in inventories, $2.0 million in prepaid expenses and other, and $4.6 million in deferred tax assets, offset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$374.9 million outstanding under floor plan notes payable, $24.1 million in current maturities of long-term debt, $2.7 million in current maturities of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obligations, $3.2 million in advances outstanding under lines of credit, $28.6 million of trade accounts payable and $57.6 million in accrued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request working capital advances in the minimum amount of $100,000 from General Electric Capital Corporation (“GE Capital”),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primary truck lender. However, such working capital advances may not cause the total indebtedness owed GE Capital to exceed an amount equal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wholesale advances made against the then current inventory less any payment reductions then due. There were no working capital advances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this agreement at June 30, 2006. The Company has three separate secured lines of credit that provide for an aggregate maximum borrowing of $17.3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Advances outstanding under these secured lines of credit in aggregate were $3.2 million, with an additional $6.3 million pledged to secure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 related to self-insurance products, leaving $7.8 million available for future borrowings as of June 30, 2006.</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has no material commitments for capital expenditures as of June 30, 2006. However, the Company will continue to purchase vehicles that are necessary to operate its lease and rental division. Furthermore, management will continue to authorize capital expenditures for new dealerships and expansion of existing dealership facilities based on market opportunities.</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During the first six months of 2006, operating activities resulted in net cash used in operations of $8.8 million. Cash provided by operations was primarily due to net income of $26.4 million coupled with provisions for depreciation and amortization of $12.5 million, an increase of $1.9 million in the stock-based compensation expense related to stock options and employee stock purchases under the Employee Stock Purchase Plan, an increase of accounts payable and accrued expenses of $11.7 million, and a decrease in accounts receivable of $5.1 million, which was offset by increases in inventories of $65.9 million.</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During the first six months of 2006, the Company used $61.5 million in investing activities. This consisted of purchases of property and equipment of $42.1 million and business acquisitions of $22.5 million which were offset by proceeds from the sale of property and equipment of $3.0 million. Property and equipment purchases are primarily related to the purchase of additional units for the rental and leasing operations of $20.8 million during the first six months of 2006. The Company expects to purchase more trucks for its leasing operations in 2006 based on expected increases in customer demand. The Company expects to make capital expenditures for recurring items such as computers, shop equipment and vehicles of approximately $9.0 million in 2006. The Company expects to make capital expenditures for real estate and leasehold improvements of approximately $13.0 million in the last half of 2006.</w:t>
      </w:r>
    </w:p>
    <w:p>
      <w:pPr>
        <w:spacing w:after="0" w:line="16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During the first six months of 2006, the Company’s financing activities resulted in net cash of $77.8 million. Net cash used in financing activities primarily consisted of an increase in notes payable of $36.4 million, and issuance of shares related to the exercise of stock options and employee stock purchases under the Employee Stock Purchase Plan of $1.6 million, excess tax benefits from stock-based compensation of $2.1 million, and net draws on floor plan notes payable of $59.0 million, offset by principal payments on notes payable of $22.0 million. The increase in notes payable primarily relates to the refinancing of the Company’s aircraft and the purchase of trucks for the leasing operations.</w:t>
      </w:r>
    </w:p>
    <w:p>
      <w:pPr>
        <w:sectPr>
          <w:pgSz w:w="11900" w:h="16838" w:orient="portrait"/>
          <w:cols w:equalWidth="0" w:num="1">
            <w:col w:w="11400"/>
          </w:cols>
          <w:pgMar w:left="240" w:top="125" w:right="259" w:bottom="0" w:gutter="0" w:footer="0" w:header="0"/>
        </w:sectPr>
      </w:pPr>
    </w:p>
    <w:bookmarkStart w:id="16" w:name="page17"/>
    <w:bookmarkEnd w:id="16"/>
    <w:p>
      <w:pPr>
        <w:ind w:right="60" w:firstLine="648"/>
        <w:spacing w:after="0" w:line="276" w:lineRule="auto"/>
        <w:rPr>
          <w:sz w:val="20"/>
          <w:szCs w:val="20"/>
          <w:color w:val="auto"/>
        </w:rPr>
      </w:pPr>
      <w:r>
        <w:rPr>
          <w:rFonts w:ascii="Arial" w:cs="Arial" w:eastAsia="Arial" w:hAnsi="Arial"/>
          <w:sz w:val="17"/>
          <w:szCs w:val="17"/>
          <w:color w:val="auto"/>
        </w:rPr>
        <w:t>Substantially all of the Company’s truck purchases are made on terms requiring payment within 15 days or less from the date the trucks are invoiced from the factory. On September 20, 2005, the Company entered into a three-year floor plan financing agreement with GE Capital. Interest under the floor plan financing agreement is payable monthly at a rate equal to LIBOR plus 1.68%. The Company finances substantially all of the purchase price of its new truck inventory and the loan value of its used truck inventory under the floor plan financing agreement with GE Capital under which GE Capital pays the manufacturer directly with respect to new trucks. The Company makes monthly interest payments to GE Capital on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amount financed, but is not required to commence loan principal repayments on any vehicle until such vehicle has been floor planned for 12 months or is sold. The agreement allows for prepayments and working capital advances with monthly adjustments to the interest due on outstanding advances. On June 30, 2006, the Company had approximately $360.1 million outstanding under its floor plan financing agreement with GE Capital.</w:t>
      </w:r>
    </w:p>
    <w:p>
      <w:pPr>
        <w:spacing w:after="0" w:line="166" w:lineRule="exact"/>
        <w:rPr>
          <w:sz w:val="20"/>
          <w:szCs w:val="20"/>
          <w:color w:val="auto"/>
        </w:rPr>
      </w:pPr>
    </w:p>
    <w:p>
      <w:pPr>
        <w:ind w:right="120" w:firstLine="648"/>
        <w:spacing w:after="0" w:line="256" w:lineRule="auto"/>
        <w:rPr>
          <w:sz w:val="20"/>
          <w:szCs w:val="20"/>
          <w:color w:val="auto"/>
        </w:rPr>
      </w:pPr>
      <w:r>
        <w:rPr>
          <w:rFonts w:ascii="Arial" w:cs="Arial" w:eastAsia="Arial" w:hAnsi="Arial"/>
          <w:sz w:val="17"/>
          <w:szCs w:val="17"/>
          <w:color w:val="auto"/>
        </w:rPr>
        <w:t>Substantially all of the Company’s new construction equipment purchases are financed by John Deere and CitiCapital. The Company finances substantially all of the purchase price of its new construction equipment inventory under its floor plan facilities.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10 days of the sale. If the construction equipment financed by John Deere is not sold within the interest free finance period, it is transferred to the CitiCapital floor plan arrangement. The Company makes principal payments for sold inventory to CitiCapital on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reduces. Principal payments on used construction equipment sales are made no later than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each month following the sale. The loans are collateralized by a lien on the construction equipment. The Company’s floor plan agreements limit the aggregate amount of borrowings based on the book value of new and used construction equipment units. As of June 30, 2006, the Company’s floor plan arrangement with CitiCapital permits the financing of up to $13.5 million in construction equipment. On June 30, 2006, the Company had $6.1 million outstanding under its floor plan financing arrangement with John Deere and $8.8 million outstanding under its floor plan financing arrangement with CitiCapital.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June 30, 2006, the Company’s backlog of truck orders was approximately $676.8 million as compared to a backlog of truck orders of approximately $434.5 million on June 30, 2005. The Company includes only confirmed orders in its backlog. It currently takes between 14 days and six months for the Company to receive delivery of a truck once a customer special order is placed depending on the truck specifications and demand for the particular model ordered. The Company sells the majority of its new trucks by customer special order, with the remainder sold out of inventory. Orders from a number of the Company’s major fleet customers are included in the Company’s backlog as of June 30, 2006.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Company’s truck business is moderately seasonal. Seasonal effects on new truck sales related to the seasonal purchasing patterns of any single customer type are mitigated by the Company’s diverse customer base, including small and large fleets, governments, corporations and owner operators. However, truck parts and service operations historically have experienced higher volumes of sales in the second and third quarters.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weather related.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A.C.T. Research, industry-wide domestic retail sales of Class 8 trucks in 2005 totaled approximately 259,000 units. A.C.T. Research currently forecasts U.S. heavy-duty new truck sales to increase to approximately 286,000 units in 2006 and decrease to 180,000 units in 2007. Through geographic expansion, concentration on higher margin parts and service operations and diversification of its customer base, the Company believes it can reduce the negative impact on the Company’s earnings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Our operations are subject to numerous federal, state and local laws and regulations, including laws and regulations designed to protect the environment by regulating the discharge of materials into the environment. EPA diesel emission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guidelines have a major impact on our operations. The EPA mandated that diesel engine manufacturers meet new, stricter emissions guidelines regarding nitrous oxides for all engines built subsequent to October 1, 2002 and the EPA has placed additional guidelines, further restricting the emissions of nitrous oxides for all diesel engines built subsequent to January 1, 2007. Demand for Class 8 trucks historically increases prior to implementation of new diesel engine emission standards by the EPA and is followed by a period of decreased demand. The Company believes that the 2007 emission guidelines will cause demand for heavy-duty trucks to remain high through 2006 and the first quarter of 2007. The Company expects a decrease in truck sales during the second and third quarters of 2007 and for demand for Class 8 trucks to begin to rebound in the fourth quarter of 2007. The severity of the decrease in demand for trucks in 2007 will depend upon several factors including, without limitation, new diesel engine prices, the results of tests on the new diesel engines designed</w:t>
      </w:r>
    </w:p>
    <w:p>
      <w:pPr>
        <w:sectPr>
          <w:pgSz w:w="11900" w:h="16838" w:orient="portrait"/>
          <w:cols w:equalWidth="0" w:num="1">
            <w:col w:w="11420"/>
          </w:cols>
          <w:pgMar w:left="240" w:top="125" w:right="239" w:bottom="0" w:gutter="0" w:footer="0" w:header="0"/>
        </w:sectPr>
      </w:pPr>
    </w:p>
    <w:bookmarkStart w:id="17" w:name="page18"/>
    <w:bookmarkEnd w:id="17"/>
    <w:p>
      <w:pPr>
        <w:ind w:right="100"/>
        <w:spacing w:after="0" w:line="308" w:lineRule="auto"/>
        <w:rPr>
          <w:sz w:val="20"/>
          <w:szCs w:val="20"/>
          <w:color w:val="auto"/>
        </w:rPr>
      </w:pPr>
      <w:r>
        <w:rPr>
          <w:rFonts w:ascii="Arial" w:cs="Arial" w:eastAsia="Arial" w:hAnsi="Arial"/>
          <w:sz w:val="17"/>
          <w:szCs w:val="17"/>
          <w:color w:val="auto"/>
        </w:rPr>
        <w:t>to meet the 2007 standards, projected maintenance and operation costs of the new diesel engines and general economic conditions. Industry expectations are for the new engines to add $6,000 to $8,000 to the cost of a new Class 8 truck and increase maintenance and operating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Company believes that the relatively moderate rate of inflation over the last few years has not had a significant impact on its revenues or profitability. Additionally, the Company does not expect inflation to have any short-term material effect on the sale of its products and services.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is exposed to some market risk through interest rates related to our floor plan borrowing arrangements, variable rate debt and discount rates related to finance sales. Floor plan borrowings are based on the LIBOR rate of interest and are used to meet working capital needs. As of June 30, 2006, the Company had floor plan borrowings of approximately $374.9 million. Assuming an increase in the LIBOR rate of interest of 100 basis points, interest expense could increase by approximately $3.7 million in 2006. The interest rate variability on all other debt would not have a material adverse effect on the Company’s financial position or results of operations.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7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of $140.5 million at June 30, 2006. These funds are generally invested in highly liquid money market accounts, government-sponsored enterprises and corporate bonds that do not expose the Company to a loss of principal.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interest income could correspondingly increase or decrease by approximately $1.4 million in 2006. We have not used derivative financial instruments in our investment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June 30, 2006 to provide reasonable assurance that information required to be disclosed in the reports filed or submitted under the Securities Exchange Act of 1934 is recorded, processed, summarized and reported within the time periods specified in the SEC’s rules and forms.</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June 30, 2006 that has materially affected, or is reasonably likely to materially affect, the Company’s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do not believe that the outcome of any of the Company’s pending claims or litigation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Investing in the Company’s Class A Common Stock or Class B Common Stock is subject to a number of risks and uncertainties. We have updated the following risk factors to reflect changes during the second quarter of fiscal 2006 we believe to be material to the risk factors set forth in our Annual Report on Form 10-K for the year ended December 31, 2005. The risks and uncertainties described below are not the only ones that we face and are more fully described in such Annual Report on Form 10-K and in other reports we file with the SEC. Additional risks and uncertainties not presently known to us or that we currently believe are immaterial also may negatively impact our business.</w:t>
      </w:r>
    </w:p>
    <w:p>
      <w:pPr>
        <w:sectPr>
          <w:pgSz w:w="11900" w:h="16838" w:orient="portrait"/>
          <w:cols w:equalWidth="0" w:num="1">
            <w:col w:w="11420"/>
          </w:cols>
          <w:pgMar w:left="240" w:top="125" w:right="239" w:bottom="217"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amount of taxes we pay could increase significantly as a result of changes in the Texas franchise tax law.</w:t>
      </w:r>
    </w:p>
    <w:p>
      <w:pPr>
        <w:sectPr>
          <w:pgSz w:w="11900" w:h="16838" w:orient="portrait"/>
          <w:cols w:equalWidth="0" w:num="1">
            <w:col w:w="11420"/>
          </w:cols>
          <w:pgMar w:left="240" w:top="125" w:right="239" w:bottom="217" w:gutter="0" w:footer="0" w:header="0"/>
          <w:type w:val="continuous"/>
        </w:sectPr>
      </w:pPr>
    </w:p>
    <w:bookmarkStart w:id="18" w:name="page19"/>
    <w:bookmarkEnd w:id="18"/>
    <w:p>
      <w:pPr>
        <w:ind w:firstLine="648"/>
        <w:spacing w:after="0" w:line="297" w:lineRule="auto"/>
        <w:rPr>
          <w:sz w:val="20"/>
          <w:szCs w:val="20"/>
          <w:color w:val="auto"/>
        </w:rPr>
      </w:pPr>
      <w:r>
        <w:rPr>
          <w:rFonts w:ascii="Arial" w:cs="Arial" w:eastAsia="Arial" w:hAnsi="Arial"/>
          <w:sz w:val="16"/>
          <w:szCs w:val="16"/>
          <w:color w:val="auto"/>
        </w:rPr>
        <w:t>Under current law, Texas imposes a franchise tax (which is based in part on net income) on corporations and limited liability companies that conduct business in Texas, but the Texas franchise tax is not currently imposed on limited partnerships that conduct business in Texas or on corporations and limited liability companies that are limited partners in such limited partnerships if the limited partners do not otherwise conduct business in Texas. A substantial portion of our assets located in Texas are held in Rush Truck Centers of Texas, L.P., a limited partnership, the limited partners of whom are subsidiary corporations. As a result, no Texas franchise tax is currently imposed on the assets or income of Rush Truck Centers of Texas, L.P.</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2006, the Texas legislature passed, and the Governor signed, House Bill 3 into law. House Bill 3 replaces the current franchise tax with a new franchise tax on most entities that conduct business in Texas, including limited partnerships. In general, taxable entities will now pay a franchise tax equal to 1% (or 0.5% for retailers such as the Company) of their net margin calculated as the lesser of either (i) 70% of their gross receipts; (ii) all of their gross receipts minus salaries and benefits; or (iii) all of their gross receipts minus the costs of producing or manufacturing their goods. The new franchise tax will be effective for franchise tax reports originally due on or after January 1, 2008, which will be based on economic activity in 2007. Accordingly, Rush Truck Centers of Texas, L.P. will be subject to a new entity-level tax on the portion of its net margin generated in Texas beginning in 2007. However, based on current available information, the Company does not believe House Bill 3 will have a material adverse effect on the Company’s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matters were voted upon at the Annual Meeting of Shareholders held on May 16, 2006, and received the votes set forth below:</w:t>
      </w:r>
    </w:p>
    <w:p>
      <w:pPr>
        <w:spacing w:after="0" w:line="237" w:lineRule="exact"/>
        <w:rPr>
          <w:sz w:val="20"/>
          <w:szCs w:val="20"/>
          <w:color w:val="auto"/>
        </w:rPr>
      </w:pPr>
    </w:p>
    <w:p>
      <w:pPr>
        <w:ind w:left="1300" w:right="540" w:hanging="644"/>
        <w:spacing w:after="0" w:line="277" w:lineRule="auto"/>
        <w:tabs>
          <w:tab w:leader="none" w:pos="1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following persons nominated were reelected to serve as directors and received the number of votes set forth opposite their respective names:</w:t>
      </w:r>
    </w:p>
    <w:p>
      <w:pPr>
        <w:spacing w:after="0" w:line="132"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23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Number of Votes</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Votes</w:t>
            </w:r>
          </w:p>
        </w:tc>
        <w:tc>
          <w:tcPr>
            <w:tcW w:w="0" w:type="dxa"/>
            <w:vAlign w:val="bottom"/>
          </w:tcPr>
          <w:p>
            <w:pPr>
              <w:spacing w:after="0"/>
              <w:rPr>
                <w:sz w:val="1"/>
                <w:szCs w:val="1"/>
                <w:color w:val="auto"/>
              </w:rPr>
            </w:pPr>
          </w:p>
        </w:tc>
      </w:tr>
      <w:tr>
        <w:trPr>
          <w:trHeight w:val="162"/>
        </w:trPr>
        <w:tc>
          <w:tcPr>
            <w:tcW w:w="2340" w:type="dxa"/>
            <w:vAlign w:val="bottom"/>
            <w:gridSpan w:val="2"/>
            <w:vMerge w:val="continue"/>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210"/>
        </w:trPr>
        <w:tc>
          <w:tcPr>
            <w:tcW w:w="2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Marvin Rush</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8,322,626</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W.M. “Rusty” Rush</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8,317,513</w:t>
            </w: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86,959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Rock</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8,320,530</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83,941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Harold D. Marshall</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8,312,730</w:t>
            </w: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91,741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Krause</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8,267,500</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136,972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Thomas A. Akin</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8,312,731</w:t>
            </w:r>
          </w:p>
        </w:tc>
        <w:tc>
          <w:tcPr>
            <w:tcW w:w="3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91,740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00" w:right="80" w:hanging="644"/>
        <w:spacing w:after="0" w:line="27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approve the adoption of the Company’s 2006 Non-Employee Director Stock Option Plan received 4,615,510 votes FOR and 2,817,895 votes AGAINST, with 30,132 abstentions and 947,607 broker non-votes.</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the Company’s independent registered public accounting firm for the 2006 fiscal year received 8,385,622 votes FOR and 16,394 votes AGAINST, with 2,456 abstentions.</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All three proposals submitted at the Annual Meeting of Shareholders held on May 16, 2006 received more than the number of favorable votes required for approval, and were therefore duly and validly approved by the Company’s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ind w:right="180" w:firstLine="1297"/>
        <w:spacing w:after="0" w:line="291" w:lineRule="auto"/>
        <w:rPr>
          <w:sz w:val="20"/>
          <w:szCs w:val="20"/>
          <w:color w:val="auto"/>
        </w:rPr>
      </w:pPr>
      <w:r>
        <w:rPr>
          <w:rFonts w:ascii="Arial" w:cs="Arial" w:eastAsia="Arial" w:hAnsi="Arial"/>
          <w:sz w:val="16"/>
          <w:szCs w:val="16"/>
          <w:color w:val="auto"/>
        </w:rPr>
        <w:t>The Company’s Definitive Proxy Statement, filed with the SEC on April 13, 2006 (the “Definitive Proxy Statement”), sets forth the procedures that must be followed by shareholders wishing to submit (i) candidates for consideration as a director nominee for the Company’s 2007 Annual Meeting of Shareholders, and (ii) shareholder proposals for the Company’s 2007 Annual Meeting of Shareholders. However, subsequent to the filing of the Definitive Proxy Statement, as disclosed in the Company’s Current Report on Form 8-K, filed with the SEC on May 17, 2006, the Company’s Board of Directors (the “Board”) approved an amendment and restatement of the Company’s Bylaws (the “Bylaws”) that specifies the notice procedures for shareholders to nominate individuals for election to the Board and to submit shareholder proposals to be brought before annual meetings of shareholders. Consequently, the Bylaws specify new advance notice deadlines that are different from the deadlines set forth in the Definitive Proxy Statement.</w:t>
      </w:r>
    </w:p>
    <w:p>
      <w:pPr>
        <w:spacing w:after="0" w:line="16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Shareholders wishing to nominate an individual for election to the Board or to submit a shareholder proposal for the 2007 Annual Meeting of Shareholders must comply with the new advance notice deadlines set forth in the Bylaws (which are summarized below). Accordingly, with respect to the 2007 Annual Meeting of Shareholders, shareholders must submit:</w:t>
      </w:r>
    </w:p>
    <w:p>
      <w:pPr>
        <w:spacing w:after="0" w:line="181" w:lineRule="exact"/>
        <w:rPr>
          <w:sz w:val="20"/>
          <w:szCs w:val="20"/>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director nominations to the Company no later than January 13, 2007, and no earlier than December 14, 2006;</w:t>
      </w:r>
    </w:p>
    <w:p>
      <w:pPr>
        <w:spacing w:after="0" w:line="23" w:lineRule="exact"/>
        <w:rPr>
          <w:rFonts w:ascii="Arial" w:cs="Arial" w:eastAsia="Arial" w:hAnsi="Arial"/>
          <w:sz w:val="18"/>
          <w:szCs w:val="18"/>
          <w:color w:val="auto"/>
        </w:rPr>
      </w:pPr>
    </w:p>
    <w:p>
      <w:pPr>
        <w:ind w:left="1300" w:right="240" w:hanging="644"/>
        <w:spacing w:after="0" w:line="250"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shareholder proposals to be included in the Company’s proxy materials, pursuant to Rule 14a-8 of the Exchange Act, to the Company no later than December 14, 2006; and</w:t>
      </w:r>
    </w:p>
    <w:p>
      <w:pPr>
        <w:ind w:left="1300" w:right="160" w:hanging="644"/>
        <w:spacing w:after="0" w:line="261"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shareholder proposals (which are submitted outside of Rule 14a-8) to the Company no later than January 13, 2007, and no earlier than December 14, 2006.</w:t>
      </w:r>
    </w:p>
    <w:p>
      <w:pPr>
        <w:spacing w:after="0" w:line="184"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Any shareholder proposal to be included in the Company’s proxy materials must comply with the requirements of Rule 14a-8. Additionally, any written notices of a director nomination must contain all of the information specified in the Definitive Proxy Statement. See “Shareholder Nominations of</w:t>
      </w:r>
    </w:p>
    <w:p>
      <w:pPr>
        <w:sectPr>
          <w:pgSz w:w="11900" w:h="16838" w:orient="portrait"/>
          <w:cols w:equalWidth="0" w:num="1">
            <w:col w:w="11360"/>
          </w:cols>
          <w:pgMar w:left="240" w:top="125" w:right="29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Candidates for Directors” in the Definitive Proxy Statement for a listing of such information.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new advance notice deadlines with respect to director nominations and shareholder proposals are set forth in Article II of the Bylaws, which are incorporated by reference into this Quarterly Report on Form 10-Q.</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1920" w:right="120" w:hanging="647"/>
        <w:spacing w:after="0" w:line="277" w:lineRule="auto"/>
        <w:tabs>
          <w:tab w:leader="none" w:pos="1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Articles of Incorporation of the Registrant (incorporated herein by reference to Exhibit 3.1 of the Company’s Annual Report on Form 10-K (File No. 000-20797), for the year ended December 31, 2004).</w:t>
      </w:r>
    </w:p>
    <w:p>
      <w:pPr>
        <w:spacing w:after="0" w:line="170" w:lineRule="exact"/>
        <w:rPr>
          <w:sz w:val="20"/>
          <w:szCs w:val="20"/>
          <w:color w:val="auto"/>
        </w:rPr>
      </w:pPr>
    </w:p>
    <w:p>
      <w:pPr>
        <w:ind w:left="1920" w:right="40" w:hanging="647"/>
        <w:spacing w:after="0" w:line="277" w:lineRule="auto"/>
        <w:tabs>
          <w:tab w:leader="none" w:pos="1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herein by reference to Exhibit 3.1 of the Company’s Form 8-K (File No. 000-20797) filed May 17, 2006).</w:t>
      </w:r>
    </w:p>
    <w:p>
      <w:pPr>
        <w:spacing w:after="0" w:line="170" w:lineRule="exact"/>
        <w:rPr>
          <w:sz w:val="20"/>
          <w:szCs w:val="20"/>
          <w:color w:val="auto"/>
        </w:rPr>
      </w:pPr>
    </w:p>
    <w:p>
      <w:pPr>
        <w:ind w:left="1960" w:right="280" w:hanging="647"/>
        <w:spacing w:after="0" w:line="277" w:lineRule="auto"/>
        <w:tabs>
          <w:tab w:leader="none" w:pos="1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Rush Enterprises, Inc. 2006 Non-Employee Director Stock Option Plan (incorporated herein by reference to Exhibit 10.1 of the Company’s Form 8-K (File No. 000-20797) filed May 17, 2006).</w:t>
      </w:r>
    </w:p>
    <w:p>
      <w:pPr>
        <w:spacing w:after="0" w:line="170" w:lineRule="exact"/>
        <w:rPr>
          <w:sz w:val="20"/>
          <w:szCs w:val="20"/>
          <w:color w:val="auto"/>
        </w:rPr>
      </w:pPr>
    </w:p>
    <w:p>
      <w:pPr>
        <w:ind w:left="1940" w:right="160" w:hanging="647"/>
        <w:spacing w:after="0" w:line="286" w:lineRule="auto"/>
        <w:tabs>
          <w:tab w:leader="none" w:pos="1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Form of Dealer Sales and Service Agreement by and among Peterbilt Motors Company, a division of PACCAR, Inc., Rush Enterprises, Inc. and the subsidiaries of Rush Enterprises, Inc. set forth therein (incorporated herein by reference to Exhibit 10.18 of the Company’s Form 10-K (File No. 000-20797) for the year ended December 31, 1999).</w:t>
      </w:r>
    </w:p>
    <w:p>
      <w:pPr>
        <w:spacing w:after="0" w:line="166" w:lineRule="exact"/>
        <w:rPr>
          <w:sz w:val="20"/>
          <w:szCs w:val="20"/>
          <w:color w:val="auto"/>
        </w:rPr>
      </w:pPr>
    </w:p>
    <w:p>
      <w:pPr>
        <w:ind w:left="1940" w:right="80" w:hanging="647"/>
        <w:spacing w:after="0" w:line="312" w:lineRule="auto"/>
        <w:tabs>
          <w:tab w:leader="none" w:pos="19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Amendment to Dealer Sales and Service Agreements, dated June 15, 2006, by and among Peterbilt Motors Company, a division of PACCAR, Inc., Rush Enterprises, Inc. and the subsidiaries of Rush Enterprises, Inc. set forth therein (incorporated herein by reference to Exhibit 10.2 of the Company’s Form 8-K (File No. 000-20797) filed June 16, 2006).</w:t>
      </w:r>
    </w:p>
    <w:p>
      <w:pPr>
        <w:spacing w:after="0" w:line="14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CEO pursuant to Rules 13a-14(a) and 15d-14(a) adopted pursuant to Section 302 of the Sarbanes-Oxley Act of</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CFO pursuant to Rules 13a-14(a) and 15d-14(a) adopted pursuant to Section 302 of the Sarbanes-Oxley Act of</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pursuant to 18 U.S.C. Section 1350 as adopted pursuant to Section 906 of the Sarbanes-Oxley Act of 2002.</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CFO pursuant to 18 U.S.C. Section 1350 as adopted pursuant to Section 906 of the Sarbanes-Oxley Act of 2002.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RUSH ENTERPRISES, INC.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280"/>
              <w:spacing w:after="0"/>
              <w:rPr>
                <w:sz w:val="20"/>
                <w:szCs w:val="20"/>
                <w:color w:val="auto"/>
              </w:rPr>
            </w:pPr>
            <w:r>
              <w:rPr>
                <w:rFonts w:ascii="Arial" w:cs="Arial" w:eastAsia="Arial" w:hAnsi="Arial"/>
                <w:sz w:val="18"/>
                <w:szCs w:val="18"/>
                <w:color w:val="auto"/>
              </w:rPr>
              <w:t>August 9, 2006</w:t>
            </w:r>
          </w:p>
        </w:tc>
        <w:tc>
          <w:tcPr>
            <w:tcW w:w="2580" w:type="dxa"/>
            <w:vAlign w:val="bottom"/>
          </w:tcPr>
          <w:p>
            <w:pPr>
              <w:ind w:left="18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r>
      <w:tr>
        <w:trPr>
          <w:trHeight w:val="195"/>
        </w:trPr>
        <w:tc>
          <w:tcPr>
            <w:tcW w:w="6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280"/>
              <w:spacing w:after="0"/>
              <w:rPr>
                <w:sz w:val="20"/>
                <w:szCs w:val="20"/>
                <w:color w:val="auto"/>
              </w:rPr>
            </w:pPr>
            <w:r>
              <w:rPr>
                <w:rFonts w:ascii="Arial" w:cs="Arial" w:eastAsia="Arial" w:hAnsi="Arial"/>
                <w:sz w:val="18"/>
                <w:szCs w:val="18"/>
                <w:color w:val="auto"/>
              </w:rPr>
              <w:t>August 9, 2006</w:t>
            </w:r>
          </w:p>
        </w:tc>
        <w:tc>
          <w:tcPr>
            <w:tcW w:w="2580" w:type="dxa"/>
            <w:vAlign w:val="bottom"/>
          </w:tcPr>
          <w:p>
            <w:pPr>
              <w:ind w:left="18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r>
      <w:tr>
        <w:trPr>
          <w:trHeight w:val="195"/>
        </w:trPr>
        <w:tc>
          <w:tcPr>
            <w:tcW w:w="6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r>
      <w:tr>
        <w:trPr>
          <w:trHeight w:val="216"/>
        </w:trPr>
        <w:tc>
          <w:tcPr>
            <w:tcW w:w="6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6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ectPr>
          <w:pgSz w:w="11900" w:h="16838" w:orient="portrait"/>
          <w:cols w:equalWidth="0" w:num="1">
            <w:col w:w="11420"/>
          </w:cols>
          <w:pgMar w:left="240" w:top="125" w:right="239" w:bottom="406"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06"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3940" w:type="dxa"/>
            <w:vAlign w:val="bottom"/>
          </w:tcPr>
          <w:p>
            <w:pPr>
              <w:ind w:left="2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2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940" w:type="dxa"/>
            <w:vAlign w:val="bottom"/>
            <w:vMerge w:val="restart"/>
          </w:tcPr>
          <w:p>
            <w:pPr>
              <w:ind w:left="32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7"/>
        </w:trPr>
        <w:tc>
          <w:tcPr>
            <w:tcW w:w="27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8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CEO pursuant to Rules 13a-14(a) and 15d-14(a) adopted pursuant to Section 302 of the Sarbanes-Oxley Act of 2002.</w:t>
      </w:r>
    </w:p>
    <w:p>
      <w:pPr>
        <w:spacing w:after="0" w:line="209"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CFO pursuant to Rules 13a-14(a) and 15d-14(a) adopted pursuant to Section 302 of the Sarbanes-Oxley Act of 2002.</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pursuant to 18 U.S.C. Section 1350 as adopted pursuant to Section 906 of the Sarbanes-Oxley Act of 2002.</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CFO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40" w:firstLine="8"/>
        <w:spacing w:after="0" w:line="342" w:lineRule="auto"/>
        <w:tabs>
          <w:tab w:leader="none" w:pos="632"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8"/>
        <w:spacing w:after="0" w:line="277"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60" w:firstLine="656"/>
        <w:spacing w:after="0" w:line="264" w:lineRule="auto"/>
        <w:tabs>
          <w:tab w:leader="none" w:pos="126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27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80" w:firstLine="656"/>
        <w:spacing w:after="0" w:line="342" w:lineRule="auto"/>
        <w:tabs>
          <w:tab w:leader="none" w:pos="1268"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40" w:firstLine="656"/>
        <w:spacing w:after="0" w:line="264" w:lineRule="auto"/>
        <w:tabs>
          <w:tab w:leader="none" w:pos="1279"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8"/>
        <w:spacing w:after="0" w:line="308" w:lineRule="auto"/>
        <w:tabs>
          <w:tab w:leader="none" w:pos="63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700" w:firstLine="656"/>
        <w:spacing w:after="0" w:line="308" w:lineRule="auto"/>
        <w:tabs>
          <w:tab w:leader="none" w:pos="1268"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656"/>
        <w:spacing w:after="0" w:line="277" w:lineRule="auto"/>
        <w:tabs>
          <w:tab w:leader="none" w:pos="127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August 9, 2006</w:t>
            </w:r>
          </w:p>
        </w:tc>
        <w:tc>
          <w:tcPr>
            <w:tcW w:w="3140" w:type="dxa"/>
            <w:vAlign w:val="bottom"/>
          </w:tcPr>
          <w:p>
            <w:pPr>
              <w:jc w:val="right"/>
              <w:ind w:right="39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c>
          <w:tcPr>
            <w:tcW w:w="40" w:type="dxa"/>
            <w:vAlign w:val="bottom"/>
          </w:tcPr>
          <w:p>
            <w:pPr>
              <w:spacing w:after="0"/>
              <w:rPr>
                <w:sz w:val="20"/>
                <w:szCs w:val="20"/>
                <w:color w:val="auto"/>
              </w:rPr>
            </w:pPr>
          </w:p>
        </w:tc>
      </w:tr>
      <w:tr>
        <w:trPr>
          <w:trHeight w:val="195"/>
        </w:trPr>
        <w:tc>
          <w:tcPr>
            <w:tcW w:w="37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W.M. “Rusty” Rush</w:t>
            </w:r>
          </w:p>
        </w:tc>
        <w:tc>
          <w:tcPr>
            <w:tcW w:w="4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864"/>
        </w:trPr>
        <w:tc>
          <w:tcPr>
            <w:tcW w:w="3720" w:type="dxa"/>
            <w:vAlign w:val="bottom"/>
          </w:tcPr>
          <w:p>
            <w:pPr>
              <w:spacing w:after="0"/>
              <w:rPr>
                <w:sz w:val="24"/>
                <w:szCs w:val="24"/>
                <w:color w:val="auto"/>
              </w:rPr>
            </w:pPr>
          </w:p>
        </w:tc>
        <w:tc>
          <w:tcPr>
            <w:tcW w:w="3140" w:type="dxa"/>
            <w:vAlign w:val="bottom"/>
          </w:tcPr>
          <w:p>
            <w:pPr>
              <w:jc w:val="right"/>
              <w:ind w:right="1010"/>
              <w:spacing w:after="0"/>
              <w:rPr>
                <w:sz w:val="20"/>
                <w:szCs w:val="20"/>
                <w:color w:val="auto"/>
              </w:rPr>
            </w:pPr>
            <w:r>
              <w:rPr>
                <w:rFonts w:ascii="Arial" w:cs="Arial" w:eastAsia="Arial" w:hAnsi="Arial"/>
                <w:sz w:val="18"/>
                <w:szCs w:val="18"/>
                <w:color w:val="auto"/>
              </w:rPr>
              <w:t>1</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372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A. Naegelin, Jr., certify that:</w:t>
      </w:r>
    </w:p>
    <w:p>
      <w:pPr>
        <w:spacing w:after="0" w:line="225"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right="340" w:firstLine="8"/>
        <w:spacing w:after="0" w:line="342"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8"/>
        <w:spacing w:after="0" w:line="277"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300" w:firstLine="8"/>
        <w:spacing w:after="0" w:line="264"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60" w:firstLine="656"/>
        <w:spacing w:after="0" w:line="264" w:lineRule="auto"/>
        <w:tabs>
          <w:tab w:leader="none" w:pos="126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60" w:firstLine="656"/>
        <w:spacing w:after="0" w:line="264" w:lineRule="auto"/>
        <w:tabs>
          <w:tab w:leader="none" w:pos="127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60" w:firstLine="656"/>
        <w:spacing w:after="0" w:line="342" w:lineRule="auto"/>
        <w:tabs>
          <w:tab w:leader="none" w:pos="1282"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20" w:firstLine="656"/>
        <w:spacing w:after="0" w:line="264" w:lineRule="auto"/>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8"/>
        <w:spacing w:after="0" w:line="308" w:lineRule="auto"/>
        <w:tabs>
          <w:tab w:leader="none" w:pos="63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680" w:firstLine="656"/>
        <w:spacing w:after="0" w:line="308" w:lineRule="auto"/>
        <w:tabs>
          <w:tab w:leader="none" w:pos="1282"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60" w:firstLine="656"/>
        <w:spacing w:after="0" w:line="277" w:lineRule="auto"/>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August 9, 2006</w:t>
            </w:r>
          </w:p>
        </w:tc>
        <w:tc>
          <w:tcPr>
            <w:tcW w:w="3140" w:type="dxa"/>
            <w:vAlign w:val="bottom"/>
          </w:tcPr>
          <w:p>
            <w:pPr>
              <w:jc w:val="right"/>
              <w:ind w:right="39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c>
          <w:tcPr>
            <w:tcW w:w="40" w:type="dxa"/>
            <w:vAlign w:val="bottom"/>
          </w:tcPr>
          <w:p>
            <w:pPr>
              <w:spacing w:after="0"/>
              <w:rPr>
                <w:sz w:val="20"/>
                <w:szCs w:val="20"/>
                <w:color w:val="auto"/>
              </w:rPr>
            </w:pPr>
          </w:p>
        </w:tc>
      </w:tr>
      <w:tr>
        <w:trPr>
          <w:trHeight w:val="195"/>
        </w:trPr>
        <w:tc>
          <w:tcPr>
            <w:tcW w:w="37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4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864"/>
        </w:trPr>
        <w:tc>
          <w:tcPr>
            <w:tcW w:w="3720" w:type="dxa"/>
            <w:vAlign w:val="bottom"/>
          </w:tcPr>
          <w:p>
            <w:pPr>
              <w:spacing w:after="0"/>
              <w:rPr>
                <w:sz w:val="24"/>
                <w:szCs w:val="24"/>
                <w:color w:val="auto"/>
              </w:rPr>
            </w:pPr>
          </w:p>
        </w:tc>
        <w:tc>
          <w:tcPr>
            <w:tcW w:w="3140" w:type="dxa"/>
            <w:vAlign w:val="bottom"/>
          </w:tcPr>
          <w:p>
            <w:pPr>
              <w:jc w:val="right"/>
              <w:ind w:right="1010"/>
              <w:spacing w:after="0"/>
              <w:rPr>
                <w:sz w:val="20"/>
                <w:szCs w:val="20"/>
                <w:color w:val="auto"/>
              </w:rPr>
            </w:pPr>
            <w:r>
              <w:rPr>
                <w:rFonts w:ascii="Arial" w:cs="Arial" w:eastAsia="Arial" w:hAnsi="Arial"/>
                <w:sz w:val="18"/>
                <w:szCs w:val="18"/>
                <w:color w:val="auto"/>
              </w:rPr>
              <w:t>1</w:t>
            </w: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372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2006,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280" w:hanging="624"/>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28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W.M. “RUSTY” RUSH</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spacing w:after="0"/>
              <w:rPr>
                <w:sz w:val="20"/>
                <w:szCs w:val="20"/>
                <w:color w:val="auto"/>
              </w:rPr>
            </w:pPr>
            <w:r>
              <w:rPr>
                <w:rFonts w:ascii="Arial" w:cs="Arial" w:eastAsia="Arial" w:hAnsi="Arial"/>
                <w:sz w:val="18"/>
                <w:szCs w:val="18"/>
                <w:color w:val="auto"/>
              </w:rPr>
              <w:t>August 9, 2006</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June 30, 2006,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Martin A. Naegelin, Jr.,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40" w:type="dxa"/>
            <w:vAlign w:val="bottom"/>
          </w:tcPr>
          <w:p>
            <w:pPr>
              <w:spacing w:after="0"/>
              <w:rPr>
                <w:sz w:val="20"/>
                <w:szCs w:val="20"/>
                <w:color w:val="auto"/>
              </w:rPr>
            </w:pPr>
            <w:r>
              <w:rPr>
                <w:rFonts w:ascii="Arial" w:cs="Arial" w:eastAsia="Arial" w:hAnsi="Arial"/>
                <w:sz w:val="18"/>
                <w:szCs w:val="18"/>
                <w:color w:val="auto"/>
              </w:rPr>
              <w:t>August 9, 2006</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2019-12-14T08:19:09Z</dcterms:created>
  <dcterms:modified xsi:type="dcterms:W3CDTF">2019-12-14T08:19:09Z</dcterms:modified>
</cp:coreProperties>
</file>