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10"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right="2180" w:firstLine="8"/>
        <w:spacing w:after="0" w:line="556" w:lineRule="auto"/>
        <w:tabs>
          <w:tab w:leader="none" w:pos="383"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___________________________ to ____________________________________________</w:t>
      </w:r>
    </w:p>
    <w:p>
      <w:pPr>
        <w:jc w:val="center"/>
        <w:spacing w:after="0"/>
        <w:rPr>
          <w:sz w:val="20"/>
          <w:szCs w:val="20"/>
          <w:color w:val="auto"/>
        </w:rPr>
      </w:pPr>
      <w:r>
        <w:rPr>
          <w:rFonts w:ascii="Arial" w:cs="Arial" w:eastAsia="Arial" w:hAnsi="Arial"/>
          <w:sz w:val="18"/>
          <w:szCs w:val="18"/>
          <w:color w:val="auto"/>
        </w:rPr>
        <w:t>Commission File Number 0-20797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0" w:lineRule="exact"/>
        <w:rPr>
          <w:sz w:val="24"/>
          <w:szCs w:val="24"/>
          <w:color w:val="auto"/>
        </w:rPr>
      </w:pPr>
    </w:p>
    <w:p>
      <w:pPr>
        <w:ind w:left="2600"/>
        <w:spacing w:after="0"/>
        <w:tabs>
          <w:tab w:leader="none" w:pos="7980" w:val="left"/>
        </w:tabs>
        <w:rPr>
          <w:sz w:val="20"/>
          <w:szCs w:val="20"/>
          <w:color w:val="auto"/>
        </w:rPr>
      </w:pPr>
      <w:r>
        <w:rPr>
          <w:rFonts w:ascii="Arial" w:cs="Arial" w:eastAsia="Arial" w:hAnsi="Arial"/>
          <w:sz w:val="18"/>
          <w:szCs w:val="18"/>
          <w:color w:val="auto"/>
        </w:rPr>
        <w:t>Texas</w:t>
      </w:r>
      <w:r>
        <w:rPr>
          <w:sz w:val="20"/>
          <w:szCs w:val="20"/>
          <w:color w:val="auto"/>
        </w:rPr>
        <w:tab/>
      </w:r>
      <w:r>
        <w:rPr>
          <w:rFonts w:ascii="Arial" w:cs="Arial" w:eastAsia="Arial" w:hAnsi="Arial"/>
          <w:sz w:val="18"/>
          <w:szCs w:val="18"/>
          <w:color w:val="auto"/>
        </w:rPr>
        <w:t>74-1733016</w:t>
      </w:r>
    </w:p>
    <w:p>
      <w:pPr>
        <w:spacing w:after="0" w:line="23" w:lineRule="exact"/>
        <w:rPr>
          <w:sz w:val="24"/>
          <w:szCs w:val="24"/>
          <w:color w:val="auto"/>
        </w:rPr>
      </w:pPr>
    </w:p>
    <w:p>
      <w:pPr>
        <w:ind w:left="1780"/>
        <w:spacing w:after="0"/>
        <w:tabs>
          <w:tab w:leader="none" w:pos="710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incorporation or organization)</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0" w:lineRule="exact"/>
        <w:rPr>
          <w:sz w:val="24"/>
          <w:szCs w:val="24"/>
          <w:color w:val="auto"/>
        </w:rPr>
      </w:pPr>
    </w:p>
    <w:p>
      <w:pPr>
        <w:jc w:val="both"/>
        <w:ind w:firstLine="64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5540"/>
        <w:spacing w:after="0" w:line="207" w:lineRule="exact"/>
        <w:tabs>
          <w:tab w:leader="none" w:pos="6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5" w:lineRule="exact"/>
        <w:rPr>
          <w:sz w:val="24"/>
          <w:szCs w:val="24"/>
          <w:color w:val="auto"/>
        </w:rPr>
      </w:pPr>
    </w:p>
    <w:p>
      <w:pPr>
        <w:jc w:val="both"/>
        <w:ind w:right="20" w:firstLine="646"/>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5540"/>
        <w:spacing w:after="0" w:line="207" w:lineRule="exact"/>
        <w:tabs>
          <w:tab w:leader="none" w:pos="6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5" w:lineRule="exact"/>
        <w:rPr>
          <w:sz w:val="24"/>
          <w:szCs w:val="24"/>
          <w:color w:val="auto"/>
        </w:rPr>
      </w:pPr>
    </w:p>
    <w:p>
      <w:pPr>
        <w:jc w:val="both"/>
        <w:ind w:firstLine="64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2800" w:val="left"/>
          <w:tab w:leader="none" w:pos="562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4" w:lineRule="exact"/>
        <w:rPr>
          <w:sz w:val="24"/>
          <w:szCs w:val="24"/>
          <w:color w:val="auto"/>
        </w:rPr>
      </w:pPr>
    </w:p>
    <w:p>
      <w:pPr>
        <w:ind w:left="86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7" w:lineRule="exact"/>
        <w:rPr>
          <w:sz w:val="24"/>
          <w:szCs w:val="24"/>
          <w:color w:val="auto"/>
        </w:rPr>
      </w:pPr>
    </w:p>
    <w:p>
      <w:pPr>
        <w:jc w:val="both"/>
        <w:ind w:firstLine="646"/>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660"/>
        <w:spacing w:after="0"/>
        <w:tabs>
          <w:tab w:leader="none" w:pos="1420" w:val="left"/>
          <w:tab w:leader="none" w:pos="1800" w:val="left"/>
          <w:tab w:leader="none" w:pos="2420" w:val="left"/>
          <w:tab w:leader="none" w:pos="2980" w:val="left"/>
          <w:tab w:leader="none" w:pos="3760" w:val="left"/>
          <w:tab w:leader="none" w:pos="4180" w:val="left"/>
          <w:tab w:leader="none" w:pos="5060" w:val="left"/>
          <w:tab w:leader="none" w:pos="5400" w:val="left"/>
          <w:tab w:leader="none" w:pos="5680" w:val="left"/>
          <w:tab w:leader="none" w:pos="6220" w:val="left"/>
          <w:tab w:leader="none" w:pos="7080" w:val="left"/>
          <w:tab w:leader="none" w:pos="7480" w:val="left"/>
          <w:tab w:leader="none" w:pos="8220" w:val="left"/>
          <w:tab w:leader="none" w:pos="8560" w:val="left"/>
          <w:tab w:leader="none" w:pos="9100" w:val="left"/>
          <w:tab w:leader="none" w:pos="9720" w:val="left"/>
          <w:tab w:leader="none" w:pos="10080" w:val="left"/>
          <w:tab w:leader="none" w:pos="10500" w:val="left"/>
        </w:tabs>
        <w:rPr>
          <w:sz w:val="20"/>
          <w:szCs w:val="20"/>
          <w:color w:val="auto"/>
        </w:rPr>
      </w:pPr>
      <w:r>
        <w:rPr>
          <w:rFonts w:ascii="Arial" w:cs="Arial" w:eastAsia="Arial" w:hAnsi="Arial"/>
          <w:sz w:val="18"/>
          <w:szCs w:val="18"/>
          <w:color w:val="auto"/>
        </w:rPr>
        <w:t>Indicate</w:t>
        <w:tab/>
        <w:t>by</w:t>
        <w:tab/>
        <w:t>check</w:t>
        <w:tab/>
        <w:t>mark</w:t>
        <w:tab/>
        <w:t>whether</w:t>
        <w:tab/>
        <w:t>the</w:t>
        <w:tab/>
        <w:t>registrant</w:t>
        <w:tab/>
        <w:t>is</w:t>
        <w:tab/>
        <w:t>a</w:t>
        <w:tab/>
        <w:t>shell</w:t>
        <w:tab/>
        <w:t>company</w:t>
        <w:tab/>
        <w:t>(as</w:t>
        <w:tab/>
        <w:t>defined</w:t>
        <w:tab/>
        <w:t>in</w:t>
        <w:tab/>
        <w:t>Rule</w:t>
        <w:tab/>
        <w:t>12b-2</w:t>
        <w:tab/>
        <w:t>of</w:t>
        <w:tab/>
        <w:t>the</w:t>
      </w:r>
      <w:r>
        <w:rPr>
          <w:sz w:val="20"/>
          <w:szCs w:val="20"/>
          <w:color w:val="auto"/>
        </w:rPr>
        <w:tab/>
      </w:r>
      <w:r>
        <w:rPr>
          <w:rFonts w:ascii="Arial" w:cs="Arial" w:eastAsia="Arial" w:hAnsi="Arial"/>
          <w:sz w:val="15"/>
          <w:szCs w:val="15"/>
          <w:color w:val="auto"/>
        </w:rPr>
        <w:t>Exchange</w:t>
      </w:r>
    </w:p>
    <w:p>
      <w:pPr>
        <w:spacing w:after="0" w:line="18" w:lineRule="exact"/>
        <w:rPr>
          <w:sz w:val="24"/>
          <w:szCs w:val="24"/>
          <w:color w:val="auto"/>
        </w:rPr>
      </w:pPr>
    </w:p>
    <w:p>
      <w:pPr>
        <w:spacing w:after="0" w:line="207" w:lineRule="exact"/>
        <w:tabs>
          <w:tab w:leader="none" w:pos="2580" w:val="left"/>
          <w:tab w:leader="none" w:pos="350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July 31, 2020.</w:t>
      </w:r>
    </w:p>
    <w:p>
      <w:pPr>
        <w:spacing w:after="0" w:line="224" w:lineRule="exact"/>
        <w:rPr>
          <w:sz w:val="24"/>
          <w:szCs w:val="24"/>
          <w:color w:val="auto"/>
        </w:rPr>
      </w:pPr>
    </w:p>
    <w:tbl>
      <w:tblPr>
        <w:tblLayout w:type="fixed"/>
        <w:tblInd w:w="660" w:type="dxa"/>
        <w:tblCellMar>
          <w:top w:w="0" w:type="dxa"/>
          <w:left w:w="0" w:type="dxa"/>
          <w:bottom w:w="0" w:type="dxa"/>
          <w:right w:w="0" w:type="dxa"/>
        </w:tblCellMar>
      </w:tblPr>
      <w:tr>
        <w:trPr>
          <w:trHeight w:val="215"/>
        </w:trPr>
        <w:tc>
          <w:tcPr>
            <w:tcW w:w="1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gridSpan w:val="3"/>
          </w:tcPr>
          <w:p>
            <w:pPr>
              <w:ind w:left="1500"/>
              <w:spacing w:after="0"/>
              <w:rPr>
                <w:sz w:val="20"/>
                <w:szCs w:val="20"/>
                <w:color w:val="auto"/>
              </w:rPr>
            </w:pPr>
            <w:r>
              <w:rPr>
                <w:rFonts w:ascii="Arial" w:cs="Arial" w:eastAsia="Arial" w:hAnsi="Arial"/>
                <w:sz w:val="18"/>
                <w:szCs w:val="18"/>
                <w:color w:val="auto"/>
                <w:w w:val="87"/>
              </w:rPr>
              <w:t>Number of Shares</w:t>
            </w:r>
          </w:p>
        </w:tc>
      </w:tr>
      <w:tr>
        <w:trPr>
          <w:trHeight w:val="189"/>
        </w:trPr>
        <w:tc>
          <w:tcPr>
            <w:tcW w:w="168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2"/>
              </w:rPr>
              <w:t>Title of Class</w:t>
            </w:r>
          </w:p>
        </w:tc>
        <w:tc>
          <w:tcPr>
            <w:tcW w:w="2980" w:type="dxa"/>
            <w:vAlign w:val="bottom"/>
          </w:tcPr>
          <w:p>
            <w:pPr>
              <w:spacing w:after="0"/>
              <w:rPr>
                <w:sz w:val="16"/>
                <w:szCs w:val="16"/>
                <w:color w:val="auto"/>
              </w:rPr>
            </w:pPr>
          </w:p>
        </w:tc>
        <w:tc>
          <w:tcPr>
            <w:tcW w:w="2800" w:type="dxa"/>
            <w:vAlign w:val="bottom"/>
            <w:gridSpan w:val="3"/>
          </w:tcPr>
          <w:p>
            <w:pPr>
              <w:ind w:left="1740"/>
              <w:spacing w:after="0" w:line="189" w:lineRule="exact"/>
              <w:rPr>
                <w:sz w:val="20"/>
                <w:szCs w:val="20"/>
                <w:color w:val="auto"/>
              </w:rPr>
            </w:pPr>
            <w:r>
              <w:rPr>
                <w:rFonts w:ascii="Arial" w:cs="Arial" w:eastAsia="Arial" w:hAnsi="Arial"/>
                <w:sz w:val="18"/>
                <w:szCs w:val="18"/>
                <w:color w:val="auto"/>
              </w:rPr>
              <w:t>Outstanding</w:t>
            </w:r>
          </w:p>
        </w:tc>
      </w:tr>
      <w:tr>
        <w:trPr>
          <w:trHeight w:val="20"/>
        </w:trPr>
        <w:tc>
          <w:tcPr>
            <w:tcW w:w="1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5620" w:type="dxa"/>
            <w:vAlign w:val="bottom"/>
            <w:gridSpan w:val="3"/>
          </w:tcPr>
          <w:p>
            <w:pPr>
              <w:jc w:val="center"/>
              <w:ind w:right="1300"/>
              <w:spacing w:after="0"/>
              <w:rPr>
                <w:sz w:val="20"/>
                <w:szCs w:val="20"/>
                <w:color w:val="auto"/>
              </w:rPr>
            </w:pPr>
            <w:r>
              <w:rPr>
                <w:rFonts w:ascii="Arial" w:cs="Arial" w:eastAsia="Arial" w:hAnsi="Arial"/>
                <w:sz w:val="18"/>
                <w:szCs w:val="18"/>
                <w:color w:val="auto"/>
                <w:w w:val="90"/>
              </w:rPr>
              <w:t>Class A Common Stock, $.01 Par Value</w:t>
            </w:r>
          </w:p>
        </w:tc>
        <w:tc>
          <w:tcPr>
            <w:tcW w:w="2620" w:type="dxa"/>
            <w:vAlign w:val="bottom"/>
            <w:gridSpan w:val="2"/>
          </w:tcPr>
          <w:p>
            <w:pPr>
              <w:jc w:val="right"/>
              <w:ind w:right="60"/>
              <w:spacing w:after="0"/>
              <w:rPr>
                <w:sz w:val="20"/>
                <w:szCs w:val="20"/>
                <w:color w:val="auto"/>
              </w:rPr>
            </w:pPr>
            <w:r>
              <w:rPr>
                <w:rFonts w:ascii="Arial" w:cs="Arial" w:eastAsia="Arial" w:hAnsi="Arial"/>
                <w:sz w:val="18"/>
                <w:szCs w:val="18"/>
                <w:color w:val="auto"/>
              </w:rPr>
              <w:t>27,989,698</w:t>
            </w:r>
          </w:p>
        </w:tc>
        <w:tc>
          <w:tcPr>
            <w:tcW w:w="180" w:type="dxa"/>
            <w:vAlign w:val="bottom"/>
          </w:tcPr>
          <w:p>
            <w:pPr>
              <w:spacing w:after="0"/>
              <w:rPr>
                <w:sz w:val="19"/>
                <w:szCs w:val="19"/>
                <w:color w:val="auto"/>
              </w:rPr>
            </w:pPr>
          </w:p>
        </w:tc>
      </w:tr>
      <w:tr>
        <w:trPr>
          <w:trHeight w:val="230"/>
        </w:trPr>
        <w:tc>
          <w:tcPr>
            <w:tcW w:w="562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Class B Common Stock, $.01 Par Value</w:t>
            </w:r>
          </w:p>
        </w:tc>
        <w:tc>
          <w:tcPr>
            <w:tcW w:w="2620" w:type="dxa"/>
            <w:vAlign w:val="bottom"/>
            <w:gridSpan w:val="2"/>
          </w:tcPr>
          <w:p>
            <w:pPr>
              <w:jc w:val="right"/>
              <w:ind w:right="100"/>
              <w:spacing w:after="0"/>
              <w:rPr>
                <w:sz w:val="20"/>
                <w:szCs w:val="20"/>
                <w:color w:val="auto"/>
              </w:rPr>
            </w:pPr>
            <w:r>
              <w:rPr>
                <w:rFonts w:ascii="Arial" w:cs="Arial" w:eastAsia="Arial" w:hAnsi="Arial"/>
                <w:sz w:val="18"/>
                <w:szCs w:val="18"/>
                <w:color w:val="auto"/>
              </w:rPr>
              <w:t>8,408,897</w:t>
            </w:r>
          </w:p>
        </w:tc>
        <w:tc>
          <w:tcPr>
            <w:tcW w:w="180" w:type="dxa"/>
            <w:vAlign w:val="bottom"/>
          </w:tcPr>
          <w:p>
            <w:pPr>
              <w:spacing w:after="0"/>
              <w:rPr>
                <w:sz w:val="19"/>
                <w:szCs w:val="19"/>
                <w:color w:val="auto"/>
              </w:rPr>
            </w:pPr>
          </w:p>
        </w:tc>
      </w:tr>
      <w:tr>
        <w:trPr>
          <w:trHeight w:val="431"/>
        </w:trPr>
        <w:tc>
          <w:tcPr>
            <w:tcW w:w="56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7136765" cy="541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541020"/>
                    </a:xfrm>
                    <a:prstGeom prst="rect">
                      <a:avLst/>
                    </a:prstGeom>
                    <a:noFill/>
                  </pic:spPr>
                </pic:pic>
              </a:graphicData>
            </a:graphic>
          </wp:anchor>
        </w:drawing>
      </w:r>
    </w:p>
    <w:p>
      <w:pPr>
        <w:sectPr>
          <w:pgSz w:w="11900" w:h="16838" w:orient="portrait"/>
          <w:cols w:equalWidth="0" w:num="1">
            <w:col w:w="11240"/>
          </w:cols>
          <w:pgMar w:left="320" w:top="475" w:right="339" w:bottom="622" w:gutter="0" w:footer="0" w:header="0"/>
        </w:sectPr>
      </w:pPr>
    </w:p>
    <w:p>
      <w:pPr>
        <w:spacing w:after="0" w:line="241"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Title of each class</w:t>
      </w:r>
    </w:p>
    <w:p>
      <w:pPr>
        <w:spacing w:after="0" w:line="76" w:lineRule="exact"/>
        <w:rPr>
          <w:sz w:val="24"/>
          <w:szCs w:val="24"/>
          <w:color w:val="auto"/>
        </w:rPr>
      </w:pPr>
    </w:p>
    <w:p>
      <w:pPr>
        <w:ind w:left="380" w:right="780" w:hanging="4"/>
        <w:spacing w:after="0" w:line="411" w:lineRule="auto"/>
        <w:rPr>
          <w:sz w:val="20"/>
          <w:szCs w:val="20"/>
          <w:color w:val="auto"/>
        </w:rPr>
      </w:pPr>
      <w:r>
        <w:rPr>
          <w:rFonts w:ascii="Arial" w:cs="Arial" w:eastAsia="Arial" w:hAnsi="Arial"/>
          <w:sz w:val="16"/>
          <w:szCs w:val="16"/>
          <w:color w:val="auto"/>
        </w:rPr>
        <w:t>Class A Common Stock, $0.01 par value Class B Common Stock, $0.01 par value</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Trading Symbol(s)</w:t>
      </w:r>
    </w:p>
    <w:p>
      <w:pPr>
        <w:spacing w:after="0" w:line="99"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RUSHA</w:t>
      </w:r>
    </w:p>
    <w:p>
      <w:pPr>
        <w:spacing w:after="0" w:line="62"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RUSHB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-3054985</wp:posOffset>
            </wp:positionH>
            <wp:positionV relativeFrom="paragraph">
              <wp:posOffset>399415</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560"/>
        <w:spacing w:after="0" w:line="333" w:lineRule="auto"/>
        <w:rPr>
          <w:sz w:val="20"/>
          <w:szCs w:val="20"/>
          <w:color w:val="auto"/>
        </w:rPr>
      </w:pPr>
      <w:r>
        <w:rPr>
          <w:rFonts w:ascii="Arial" w:cs="Arial" w:eastAsia="Arial" w:hAnsi="Arial"/>
          <w:sz w:val="18"/>
          <w:szCs w:val="18"/>
          <w:color w:val="auto"/>
        </w:rPr>
        <w:t>Name of each exchange on which registered NASDAQ Global Select Market NASDAQ Global Select Market</w:t>
      </w:r>
    </w:p>
    <w:p>
      <w:pPr>
        <w:sectPr>
          <w:pgSz w:w="11900" w:h="16838" w:orient="portrait"/>
          <w:cols w:equalWidth="0" w:num="3">
            <w:col w:w="4100" w:space="720"/>
            <w:col w:w="1960" w:space="720"/>
            <w:col w:w="3740"/>
          </w:cols>
          <w:pgMar w:left="320" w:top="475" w:right="339" w:bottom="622"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rFonts w:ascii="Arial" w:cs="Arial" w:eastAsia="Arial" w:hAnsi="Arial"/>
                <w:sz w:val="18"/>
                <w:szCs w:val="18"/>
                <w:u w:val="single" w:color="auto"/>
                <w:color w:val="0000EE"/>
                <w:w w:val="94"/>
              </w:rPr>
            </w:pPr>
            <w:hyperlink w:anchor="page2">
              <w:r>
                <w:rPr>
                  <w:rFonts w:ascii="Arial" w:cs="Arial" w:eastAsia="Arial" w:hAnsi="Arial"/>
                  <w:sz w:val="18"/>
                  <w:szCs w:val="18"/>
                  <w:u w:val="single" w:color="auto"/>
                  <w:color w:val="0000EE"/>
                  <w:w w:val="94"/>
                </w:rPr>
                <w:t>Table of Contents</w:t>
              </w:r>
            </w:hyperlink>
          </w:p>
        </w:tc>
        <w:tc>
          <w:tcPr>
            <w:tcW w:w="84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6"/>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8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8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880" w:type="dxa"/>
            <w:vAlign w:val="bottom"/>
            <w:gridSpan w:val="4"/>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452"/>
        </w:trPr>
        <w:tc>
          <w:tcPr>
            <w:tcW w:w="1360" w:type="dxa"/>
            <w:vAlign w:val="bottom"/>
          </w:tcPr>
          <w:p>
            <w:pPr>
              <w:ind w:left="660"/>
              <w:spacing w:after="0"/>
              <w:rPr>
                <w:sz w:val="20"/>
                <w:szCs w:val="20"/>
                <w:color w:val="auto"/>
              </w:rPr>
            </w:pPr>
            <w:r>
              <w:rPr>
                <w:rFonts w:ascii="Arial" w:cs="Arial" w:eastAsia="Arial" w:hAnsi="Arial"/>
                <w:sz w:val="18"/>
                <w:szCs w:val="18"/>
                <w:color w:val="auto"/>
              </w:rPr>
              <w:t>Item 1.</w:t>
            </w:r>
          </w:p>
        </w:tc>
        <w:tc>
          <w:tcPr>
            <w:tcW w:w="952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Financial Statements</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952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June 30, 2020 (unaudited) and December 31,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90"/>
        </w:trPr>
        <w:tc>
          <w:tcPr>
            <w:tcW w:w="1360" w:type="dxa"/>
            <w:vAlign w:val="bottom"/>
          </w:tcPr>
          <w:p>
            <w:pPr>
              <w:spacing w:after="0"/>
              <w:rPr>
                <w:sz w:val="24"/>
                <w:szCs w:val="24"/>
                <w:color w:val="auto"/>
              </w:rPr>
            </w:pPr>
          </w:p>
        </w:tc>
        <w:tc>
          <w:tcPr>
            <w:tcW w:w="9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and Comprehensive Income - For the Three and Six Months Ended June 30, 2020 and 2019</w:t>
              </w:r>
            </w:hyperlink>
          </w:p>
        </w:tc>
        <w:tc>
          <w:tcPr>
            <w:tcW w:w="32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840" w:type="dxa"/>
            <w:vAlign w:val="bottom"/>
            <w:vMerge w:val="restart"/>
          </w:tcPr>
          <w:p>
            <w:pPr>
              <w:spacing w:after="0" w:line="195"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w:t>
              </w:r>
            </w:hyperlink>
          </w:p>
        </w:tc>
        <w:tc>
          <w:tcPr>
            <w:tcW w:w="8680" w:type="dxa"/>
            <w:vAlign w:val="bottom"/>
            <w:gridSpan w:val="2"/>
            <w:vMerge w:val="restart"/>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360" w:type="dxa"/>
            <w:vAlign w:val="bottom"/>
          </w:tcPr>
          <w:p>
            <w:pPr>
              <w:spacing w:after="0"/>
              <w:rPr>
                <w:sz w:val="5"/>
                <w:szCs w:val="5"/>
                <w:color w:val="auto"/>
              </w:rPr>
            </w:pPr>
          </w:p>
        </w:tc>
        <w:tc>
          <w:tcPr>
            <w:tcW w:w="840" w:type="dxa"/>
            <w:vAlign w:val="bottom"/>
            <w:tcBorders>
              <w:bottom w:val="single" w:sz="8" w:color="0000EE"/>
            </w:tcBorders>
            <w:vMerge w:val="continue"/>
          </w:tcPr>
          <w:p>
            <w:pPr>
              <w:spacing w:after="0"/>
              <w:rPr>
                <w:sz w:val="5"/>
                <w:szCs w:val="5"/>
                <w:color w:val="auto"/>
              </w:rPr>
            </w:pPr>
          </w:p>
        </w:tc>
        <w:tc>
          <w:tcPr>
            <w:tcW w:w="8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2"/>
        </w:trPr>
        <w:tc>
          <w:tcPr>
            <w:tcW w:w="1360" w:type="dxa"/>
            <w:vAlign w:val="bottom"/>
          </w:tcPr>
          <w:p>
            <w:pPr>
              <w:spacing w:after="0"/>
              <w:rPr>
                <w:sz w:val="24"/>
                <w:szCs w:val="24"/>
                <w:color w:val="auto"/>
              </w:rPr>
            </w:pPr>
          </w:p>
        </w:tc>
        <w:tc>
          <w:tcPr>
            <w:tcW w:w="9520" w:type="dxa"/>
            <w:vAlign w:val="bottom"/>
            <w:gridSpan w:val="3"/>
          </w:tcPr>
          <w:p>
            <w:pPr>
              <w:spacing w:after="0"/>
              <w:rPr>
                <w:rFonts w:ascii="Arial" w:cs="Arial" w:eastAsia="Arial" w:hAnsi="Arial"/>
                <w:sz w:val="18"/>
                <w:szCs w:val="18"/>
                <w:u w:val="single" w:color="auto"/>
                <w:color w:val="0000EE"/>
                <w:w w:val="95"/>
              </w:rPr>
            </w:pPr>
            <w:hyperlink w:anchor="page4">
              <w:r>
                <w:rPr>
                  <w:rFonts w:ascii="Arial" w:cs="Arial" w:eastAsia="Arial" w:hAnsi="Arial"/>
                  <w:sz w:val="18"/>
                  <w:szCs w:val="18"/>
                  <w:u w:val="single" w:color="auto"/>
                  <w:color w:val="0000EE"/>
                  <w:w w:val="95"/>
                </w:rPr>
                <w:t>Consolidated Statements of Shareholders' Equity - For the Three and Six Months Ended June 30, 2020 and 2019 (unaudited)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95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 - For the Six Months Ended June 30, 2020 and 2019 (unaudited)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952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Consolidated Financial Statements (unaudited)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2.</w:t>
            </w:r>
          </w:p>
        </w:tc>
        <w:tc>
          <w:tcPr>
            <w:tcW w:w="9520" w:type="dxa"/>
            <w:vAlign w:val="bottom"/>
            <w:gridSpan w:val="3"/>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3.</w:t>
            </w:r>
          </w:p>
        </w:tc>
        <w:tc>
          <w:tcPr>
            <w:tcW w:w="952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4.</w:t>
            </w:r>
          </w:p>
        </w:tc>
        <w:tc>
          <w:tcPr>
            <w:tcW w:w="952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646"/>
        </w:trPr>
        <w:tc>
          <w:tcPr>
            <w:tcW w:w="10880" w:type="dxa"/>
            <w:vAlign w:val="bottom"/>
            <w:gridSpan w:val="4"/>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PART II. OTHER INFORMATION</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1.</w:t>
            </w:r>
          </w:p>
        </w:tc>
        <w:tc>
          <w:tcPr>
            <w:tcW w:w="952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1A.</w:t>
            </w:r>
          </w:p>
        </w:tc>
        <w:tc>
          <w:tcPr>
            <w:tcW w:w="952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2.</w:t>
            </w:r>
          </w:p>
        </w:tc>
        <w:tc>
          <w:tcPr>
            <w:tcW w:w="952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3.</w:t>
            </w:r>
          </w:p>
        </w:tc>
        <w:tc>
          <w:tcPr>
            <w:tcW w:w="952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4.</w:t>
            </w:r>
          </w:p>
        </w:tc>
        <w:tc>
          <w:tcPr>
            <w:tcW w:w="952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5.</w:t>
            </w:r>
          </w:p>
        </w:tc>
        <w:tc>
          <w:tcPr>
            <w:tcW w:w="952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1"/>
        </w:trPr>
        <w:tc>
          <w:tcPr>
            <w:tcW w:w="1360" w:type="dxa"/>
            <w:vAlign w:val="bottom"/>
          </w:tcPr>
          <w:p>
            <w:pPr>
              <w:ind w:left="660"/>
              <w:spacing w:after="0"/>
              <w:rPr>
                <w:sz w:val="20"/>
                <w:szCs w:val="20"/>
                <w:color w:val="auto"/>
              </w:rPr>
            </w:pPr>
            <w:r>
              <w:rPr>
                <w:rFonts w:ascii="Arial" w:cs="Arial" w:eastAsia="Arial" w:hAnsi="Arial"/>
                <w:sz w:val="18"/>
                <w:szCs w:val="18"/>
                <w:color w:val="auto"/>
              </w:rPr>
              <w:t>Item 6.</w:t>
            </w:r>
          </w:p>
        </w:tc>
        <w:tc>
          <w:tcPr>
            <w:tcW w:w="952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1"/>
        </w:trPr>
        <w:tc>
          <w:tcPr>
            <w:tcW w:w="136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SIGNATURES</w:t>
              </w:r>
            </w:hyperlink>
          </w:p>
        </w:tc>
        <w:tc>
          <w:tcPr>
            <w:tcW w:w="8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9200" w:type="dxa"/>
            <w:vAlign w:val="bottom"/>
            <w:gridSpan w:val="2"/>
          </w:tcPr>
          <w:p>
            <w:pPr>
              <w:jc w:val="center"/>
              <w:ind w:right="590"/>
              <w:spacing w:after="0"/>
              <w:rPr>
                <w:sz w:val="20"/>
                <w:szCs w:val="20"/>
                <w:color w:val="auto"/>
              </w:rPr>
            </w:pPr>
            <w:r>
              <w:rPr>
                <w:rFonts w:ascii="Arial" w:cs="Arial" w:eastAsia="Arial" w:hAnsi="Arial"/>
                <w:sz w:val="18"/>
                <w:szCs w:val="18"/>
                <w:color w:val="auto"/>
                <w:w w:val="79"/>
              </w:rPr>
              <w:t>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1360" w:type="dxa"/>
            <w:vAlign w:val="bottom"/>
          </w:tcPr>
          <w:p>
            <w:pPr>
              <w:spacing w:after="0"/>
              <w:rPr>
                <w:rFonts w:ascii="Arial" w:cs="Arial" w:eastAsia="Arial" w:hAnsi="Arial"/>
                <w:sz w:val="18"/>
                <w:szCs w:val="18"/>
                <w:u w:val="single" w:color="auto"/>
                <w:color w:val="0000EE"/>
                <w:w w:val="94"/>
              </w:rPr>
            </w:pPr>
            <w:hyperlink w:anchor="page2">
              <w:r>
                <w:rPr>
                  <w:rFonts w:ascii="Arial" w:cs="Arial" w:eastAsia="Arial" w:hAnsi="Arial"/>
                  <w:sz w:val="18"/>
                  <w:szCs w:val="18"/>
                  <w:u w:val="single" w:color="auto"/>
                  <w:color w:val="0000EE"/>
                  <w:w w:val="94"/>
                </w:rPr>
                <w:t>Table of Contents</w:t>
              </w:r>
            </w:hyperlink>
          </w:p>
        </w:tc>
        <w:tc>
          <w:tcPr>
            <w:tcW w:w="8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-213360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8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JUNE 30,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215,556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181,620</w:t>
            </w:r>
          </w:p>
        </w:tc>
      </w:tr>
      <w:tr>
        <w:trPr>
          <w:trHeight w:val="215"/>
        </w:trPr>
        <w:tc>
          <w:tcPr>
            <w:tcW w:w="8540" w:type="dxa"/>
            <w:vAlign w:val="bottom"/>
          </w:tcPr>
          <w:p>
            <w:pPr>
              <w:ind w:left="160"/>
              <w:spacing w:after="0"/>
              <w:rPr>
                <w:sz w:val="20"/>
                <w:szCs w:val="20"/>
                <w:color w:val="auto"/>
              </w:rPr>
            </w:pPr>
            <w:r>
              <w:rPr>
                <w:rFonts w:ascii="Arial" w:cs="Arial" w:eastAsia="Arial" w:hAnsi="Arial"/>
                <w:sz w:val="18"/>
                <w:szCs w:val="18"/>
                <w:color w:val="auto"/>
              </w:rPr>
              <w:t>Accounts receivable (less allowances for credit losses of $1,312 and $1,424,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162,677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183,704</w:t>
            </w: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1,004,624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1,326,080</w:t>
            </w:r>
          </w:p>
        </w:tc>
      </w:tr>
      <w:tr>
        <w:trPr>
          <w:trHeight w:val="215"/>
        </w:trPr>
        <w:tc>
          <w:tcPr>
            <w:tcW w:w="854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20,728</w:t>
            </w:r>
          </w:p>
        </w:tc>
      </w:tr>
      <w:tr>
        <w:trPr>
          <w:trHeight w:val="215"/>
        </w:trPr>
        <w:tc>
          <w:tcPr>
            <w:tcW w:w="8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1,398,339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1,712,551</w:t>
            </w: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1,251,876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1,279,931</w:t>
            </w:r>
          </w:p>
        </w:tc>
      </w:tr>
      <w:tr>
        <w:trPr>
          <w:trHeight w:val="215"/>
        </w:trPr>
        <w:tc>
          <w:tcPr>
            <w:tcW w:w="85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57,266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57,197</w:t>
            </w: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r>
      <w:tr>
        <w:trPr>
          <w:trHeight w:val="230"/>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65,508</w:t>
            </w:r>
          </w:p>
        </w:tc>
        <w:tc>
          <w:tcPr>
            <w:tcW w:w="100" w:type="dxa"/>
            <w:vAlign w:val="bottom"/>
            <w:tcBorders>
              <w:bottom w:val="single" w:sz="8" w:color="CCEEFF"/>
            </w:tcBorders>
          </w:tcPr>
          <w:p>
            <w:pPr>
              <w:spacing w:after="0"/>
              <w:rPr>
                <w:sz w:val="19"/>
                <w:szCs w:val="19"/>
                <w:color w:val="auto"/>
              </w:rPr>
            </w:pPr>
          </w:p>
        </w:tc>
      </w:tr>
    </w:tbl>
    <w:p>
      <w:pPr>
        <w:sectPr>
          <w:pgSz w:w="11900" w:h="16900" w:orient="portrait"/>
          <w:cols w:equalWidth="0" w:num="1">
            <w:col w:w="11240"/>
          </w:cols>
          <w:pgMar w:left="320" w:top="125"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3,407,329</w:t>
            </w:r>
          </w:p>
        </w:tc>
      </w:tr>
      <w:tr>
        <w:trPr>
          <w:trHeight w:val="189"/>
        </w:trPr>
        <w:tc>
          <w:tcPr>
            <w:tcW w:w="8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8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724,946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996,336</w:t>
            </w:r>
          </w:p>
        </w:tc>
      </w:tr>
      <w:tr>
        <w:trPr>
          <w:trHeight w:val="215"/>
        </w:trPr>
        <w:tc>
          <w:tcPr>
            <w:tcW w:w="85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189,265</w:t>
            </w: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finance lease obligations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22,892</w:t>
            </w:r>
          </w:p>
        </w:tc>
      </w:tr>
      <w:tr>
        <w:trPr>
          <w:trHeight w:val="215"/>
        </w:trPr>
        <w:tc>
          <w:tcPr>
            <w:tcW w:w="8540" w:type="dxa"/>
            <w:vAlign w:val="bottom"/>
          </w:tcPr>
          <w:p>
            <w:pPr>
              <w:ind w:left="160"/>
              <w:spacing w:after="0"/>
              <w:rPr>
                <w:sz w:val="20"/>
                <w:szCs w:val="20"/>
                <w:color w:val="auto"/>
              </w:rPr>
            </w:pPr>
            <w:r>
              <w:rPr>
                <w:rFonts w:ascii="Arial" w:cs="Arial" w:eastAsia="Arial" w:hAnsi="Arial"/>
                <w:sz w:val="18"/>
                <w:szCs w:val="18"/>
                <w:color w:val="auto"/>
              </w:rPr>
              <w:t>Current maturities of operating lease obligations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10,114</w:t>
            </w: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133,697</w:t>
            </w:r>
          </w:p>
        </w:tc>
      </w:tr>
      <w:tr>
        <w:trPr>
          <w:trHeight w:val="215"/>
        </w:trPr>
        <w:tc>
          <w:tcPr>
            <w:tcW w:w="854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42,695</w:t>
            </w:r>
          </w:p>
        </w:tc>
      </w:tr>
      <w:tr>
        <w:trPr>
          <w:trHeight w:val="215"/>
        </w:trPr>
        <w:tc>
          <w:tcPr>
            <w:tcW w:w="8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1,507,389</w:t>
            </w: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438,413</w:t>
            </w:r>
          </w:p>
        </w:tc>
      </w:tr>
      <w:tr>
        <w:trPr>
          <w:trHeight w:val="215"/>
        </w:trPr>
        <w:tc>
          <w:tcPr>
            <w:tcW w:w="8540" w:type="dxa"/>
            <w:vAlign w:val="bottom"/>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69,478</w:t>
            </w: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47,555</w:t>
            </w:r>
          </w:p>
        </w:tc>
      </w:tr>
      <w:tr>
        <w:trPr>
          <w:trHeight w:val="215"/>
        </w:trPr>
        <w:tc>
          <w:tcPr>
            <w:tcW w:w="85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20,704</w:t>
            </w: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164,297</w:t>
            </w:r>
          </w:p>
        </w:tc>
      </w:tr>
      <w:tr>
        <w:trPr>
          <w:trHeight w:val="215"/>
        </w:trPr>
        <w:tc>
          <w:tcPr>
            <w:tcW w:w="854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Preferred stock, par value $.01 per share; 1,000,000 shares authorized; 0 shares outstanding in 2020 and 2019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54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par value $.01 per share; 60,000,000 Class A shares and 20,000,000 Class B shares authorized;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8540" w:type="dxa"/>
            <w:vAlign w:val="bottom"/>
          </w:tcPr>
          <w:p>
            <w:pPr>
              <w:ind w:left="340"/>
              <w:spacing w:after="0"/>
              <w:rPr>
                <w:sz w:val="20"/>
                <w:szCs w:val="20"/>
                <w:color w:val="auto"/>
              </w:rPr>
            </w:pPr>
            <w:r>
              <w:rPr>
                <w:rFonts w:ascii="Arial" w:cs="Arial" w:eastAsia="Arial" w:hAnsi="Arial"/>
                <w:sz w:val="18"/>
                <w:szCs w:val="18"/>
                <w:color w:val="auto"/>
                <w:w w:val="88"/>
              </w:rPr>
              <w:t>27,728,493 Class A shares and 8,410,440 Class B shares outstanding in 2020; and 27,953,648 Class A shares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8,240,486 Class B shares outstanding in 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397,267</w:t>
            </w:r>
          </w:p>
        </w:tc>
      </w:tr>
      <w:tr>
        <w:trPr>
          <w:trHeight w:val="201"/>
        </w:trPr>
        <w:tc>
          <w:tcPr>
            <w:tcW w:w="8540" w:type="dxa"/>
            <w:vAlign w:val="bottom"/>
          </w:tcPr>
          <w:p>
            <w:pPr>
              <w:ind w:left="160"/>
              <w:spacing w:after="0" w:line="201" w:lineRule="exact"/>
              <w:rPr>
                <w:sz w:val="20"/>
                <w:szCs w:val="20"/>
                <w:color w:val="auto"/>
              </w:rPr>
            </w:pPr>
            <w:r>
              <w:rPr>
                <w:rFonts w:ascii="Arial" w:cs="Arial" w:eastAsia="Arial" w:hAnsi="Arial"/>
                <w:sz w:val="18"/>
                <w:szCs w:val="18"/>
                <w:color w:val="auto"/>
                <w:w w:val="93"/>
              </w:rPr>
              <w:t>Treasury stock, at cost: 5,610,906 Class A shares and 5,360,832 Class B shares in 2020 and 5,055,783 Class A</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shares and 5,306,341 Class B shares in 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(324,031)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(304,129)</w:t>
            </w:r>
          </w:p>
        </w:tc>
      </w:tr>
      <w:tr>
        <w:trPr>
          <w:trHeight w:val="215"/>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1,065,553</w:t>
            </w:r>
          </w:p>
        </w:tc>
      </w:tr>
      <w:tr>
        <w:trPr>
          <w:trHeight w:val="215"/>
        </w:trPr>
        <w:tc>
          <w:tcPr>
            <w:tcW w:w="8540" w:type="dxa"/>
            <w:vAlign w:val="bottom"/>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09"/>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1,186,560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3,064,601</w:t>
            </w:r>
          </w:p>
        </w:tc>
        <w:tc>
          <w:tcPr>
            <w:tcW w:w="100" w:type="dxa"/>
            <w:vAlign w:val="bottom"/>
          </w:tcPr>
          <w:p>
            <w:pPr>
              <w:spacing w:after="0"/>
              <w:rPr>
                <w:sz w:val="18"/>
                <w:szCs w:val="18"/>
                <w:color w:val="auto"/>
              </w:rPr>
            </w:pP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3,407,329</w:t>
            </w: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-3890645</wp:posOffset>
            </wp:positionV>
            <wp:extent cx="7132955" cy="136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559,062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1,024,801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1,348,616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1,863,084</w:t>
            </w:r>
          </w:p>
        </w:tc>
      </w:tr>
      <w:tr>
        <w:trPr>
          <w:trHeight w:val="215"/>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377,553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448,166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805,531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886,520</w:t>
            </w:r>
          </w:p>
        </w:tc>
      </w:tr>
      <w:tr>
        <w:trPr>
          <w:trHeight w:val="215"/>
        </w:trPr>
        <w:tc>
          <w:tcPr>
            <w:tcW w:w="5980" w:type="dxa"/>
            <w:vAlign w:val="bottom"/>
          </w:tcPr>
          <w:p>
            <w:pPr>
              <w:ind w:left="160"/>
              <w:spacing w:after="0"/>
              <w:rPr>
                <w:sz w:val="20"/>
                <w:szCs w:val="20"/>
                <w:color w:val="auto"/>
              </w:rPr>
            </w:pPr>
            <w:r>
              <w:rPr>
                <w:rFonts w:ascii="Arial" w:cs="Arial" w:eastAsia="Arial" w:hAnsi="Arial"/>
                <w:sz w:val="18"/>
                <w:szCs w:val="18"/>
                <w:color w:val="auto"/>
              </w:rPr>
              <w:t>Lease and rental sales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57,290</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61,591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118,071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121,024</w:t>
            </w:r>
          </w:p>
        </w:tc>
      </w:tr>
      <w:tr>
        <w:trPr>
          <w:trHeight w:val="215"/>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13,011</w:t>
            </w:r>
          </w:p>
        </w:tc>
      </w:tr>
      <w:tr>
        <w:trPr>
          <w:trHeight w:val="215"/>
        </w:trPr>
        <w:tc>
          <w:tcPr>
            <w:tcW w:w="598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9,239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1,544,561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2,289,175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2,892,878</w:t>
            </w: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521,494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951,121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1,719,538</w:t>
            </w:r>
          </w:p>
        </w:tc>
      </w:tr>
      <w:tr>
        <w:trPr>
          <w:trHeight w:val="215"/>
        </w:trPr>
        <w:tc>
          <w:tcPr>
            <w:tcW w:w="598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237,196</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272,636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508,611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545,825</w:t>
            </w:r>
          </w:p>
        </w:tc>
      </w:tr>
      <w:tr>
        <w:trPr>
          <w:trHeight w:val="215"/>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 sales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101,093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810,181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1,275,055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1,862,343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2,366,456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269,506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526,422</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156,195</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193,981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341,269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381,162</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26,519</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118,659</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1,720</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54,410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103,968</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16,816</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41,621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39,923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78,725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5"/>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36,847</w:t>
            </w:r>
          </w:p>
        </w:tc>
      </w:tr>
    </w:tbl>
    <w:p>
      <w:pPr>
        <w:sectPr>
          <w:pgSz w:w="11900" w:h="16839" w:orient="portrait"/>
          <w:cols w:equalWidth="0" w:num="1">
            <w:col w:w="11240"/>
          </w:cols>
          <w:pgMar w:left="320" w:top="140" w:right="339" w:bottom="0" w:gutter="0" w:footer="0" w:header="0"/>
        </w:sectPr>
      </w:pPr>
    </w:p>
    <w:bookmarkStart w:id="3" w:name="page4"/>
    <w:bookmarkEnd w:id="3"/>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37,695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37,113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37,764</w:t>
            </w:r>
          </w:p>
        </w:tc>
      </w:tr>
      <w:tr>
        <w:trPr>
          <w:trHeight w:val="215"/>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r>
      <w:tr>
        <w:trPr>
          <w:trHeight w:val="215"/>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17,741</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41,116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38,918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78,604</w:t>
            </w: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6"/>
                <w:szCs w:val="16"/>
                <w:color w:val="auto"/>
                <w:w w:val="93"/>
              </w:rPr>
              <w:t>Common Stock</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Accumulated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40" w:type="dxa"/>
            <w:vAlign w:val="bottom"/>
          </w:tcPr>
          <w:p>
            <w:pPr>
              <w:spacing w:after="0"/>
              <w:rPr>
                <w:sz w:val="17"/>
                <w:szCs w:val="17"/>
                <w:color w:val="auto"/>
              </w:rPr>
            </w:pPr>
          </w:p>
        </w:tc>
        <w:tc>
          <w:tcPr>
            <w:tcW w:w="1120" w:type="dxa"/>
            <w:vAlign w:val="bottom"/>
            <w:gridSpan w:val="3"/>
          </w:tcPr>
          <w:p>
            <w:pPr>
              <w:jc w:val="center"/>
              <w:ind w:left="599"/>
              <w:spacing w:after="0"/>
              <w:rPr>
                <w:sz w:val="20"/>
                <w:szCs w:val="20"/>
                <w:color w:val="auto"/>
              </w:rPr>
            </w:pPr>
            <w:r>
              <w:rPr>
                <w:rFonts w:ascii="Arial" w:cs="Arial" w:eastAsia="Arial" w:hAnsi="Arial"/>
                <w:sz w:val="16"/>
                <w:szCs w:val="16"/>
                <w:color w:val="auto"/>
                <w:w w:val="86"/>
              </w:rPr>
              <w:t>Shares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140" w:type="dxa"/>
            <w:vAlign w:val="bottom"/>
          </w:tcPr>
          <w:p>
            <w:pPr>
              <w:spacing w:after="0"/>
              <w:rPr>
                <w:sz w:val="18"/>
                <w:szCs w:val="18"/>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6"/>
                <w:szCs w:val="16"/>
                <w:color w:val="auto"/>
                <w:w w:val="92"/>
              </w:rPr>
              <w:t>Outstanding</w:t>
            </w:r>
          </w:p>
        </w:tc>
        <w:tc>
          <w:tcPr>
            <w:tcW w:w="14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6"/>
                <w:szCs w:val="16"/>
                <w:color w:val="auto"/>
              </w:rPr>
              <w:t>Par</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Paid-In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88"/>
              </w:rPr>
              <w:t>Treasury</w:t>
            </w: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Retained</w:t>
            </w:r>
          </w:p>
        </w:tc>
        <w:tc>
          <w:tcPr>
            <w:tcW w:w="1240" w:type="dxa"/>
            <w:vAlign w:val="bottom"/>
            <w:gridSpan w:val="3"/>
          </w:tcPr>
          <w:p>
            <w:pPr>
              <w:spacing w:after="0"/>
              <w:rPr>
                <w:sz w:val="20"/>
                <w:szCs w:val="20"/>
                <w:color w:val="auto"/>
              </w:rPr>
            </w:pPr>
            <w:r>
              <w:rPr>
                <w:rFonts w:ascii="Arial" w:cs="Arial" w:eastAsia="Arial" w:hAnsi="Arial"/>
                <w:sz w:val="16"/>
                <w:szCs w:val="16"/>
                <w:color w:val="auto"/>
              </w:rPr>
              <w:t>Comprehensive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140" w:type="dxa"/>
            <w:vAlign w:val="bottom"/>
          </w:tcPr>
          <w:p>
            <w:pPr>
              <w:spacing w:after="0"/>
              <w:rPr>
                <w:sz w:val="17"/>
                <w:szCs w:val="17"/>
                <w:color w:val="auto"/>
              </w:rPr>
            </w:pPr>
          </w:p>
        </w:tc>
        <w:tc>
          <w:tcPr>
            <w:tcW w:w="112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color w:val="auto"/>
              </w:rPr>
              <w:t>Class A</w:t>
            </w: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0"/>
              </w:rPr>
              <w:t>Class B</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Capital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Stock</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color w:val="auto"/>
                <w:w w:val="95"/>
              </w:rPr>
              <w:t>Income</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r>
      <w:tr>
        <w:trPr>
          <w:trHeight w:val="195"/>
        </w:trPr>
        <w:tc>
          <w:tcPr>
            <w:tcW w:w="3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27,954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397,267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(304,129)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$ 1,065,553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$ 1,159,493</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Stock options exercised and stock awards</w:t>
            </w: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1,421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1,422</w:t>
            </w:r>
          </w:p>
        </w:tc>
      </w:tr>
      <w:tr>
        <w:trPr>
          <w:trHeight w:val="19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related to stock</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 restricted shares and employee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purchase plan</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8,553</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Vesting of restricted share awards</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(2,416)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(2,414)</w:t>
            </w:r>
          </w:p>
        </w:tc>
      </w:tr>
      <w:tr>
        <w:trPr>
          <w:trHeight w:val="19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employee</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purchase plan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1,901</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Common stock repurchases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(19,902)</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(19,902)</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Dividend Class A common stock</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(3,646)</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(3,646)</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Dividend Class B common stock</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(1,108)</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(1,108)</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(1,930)</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23,107</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23,107</w:t>
            </w:r>
          </w:p>
        </w:tc>
        <w:tc>
          <w:tcPr>
            <w:tcW w:w="100" w:type="dxa"/>
            <w:vAlign w:val="bottom"/>
          </w:tcPr>
          <w:p>
            <w:pPr>
              <w:spacing w:after="0"/>
              <w:rPr>
                <w:sz w:val="17"/>
                <w:szCs w:val="17"/>
                <w:color w:val="auto"/>
              </w:rPr>
            </w:pPr>
          </w:p>
        </w:tc>
      </w:tr>
      <w:tr>
        <w:trPr>
          <w:trHeight w:val="195"/>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27,533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406,725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(324,031)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$ 1,083,906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(1,593)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$ 1,165,476</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Stock options exercised and stock awards</w:t>
            </w:r>
          </w:p>
        </w:tc>
        <w:tc>
          <w:tcPr>
            <w:tcW w:w="780" w:type="dxa"/>
            <w:vAlign w:val="bottom"/>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4,529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4,531</w:t>
            </w:r>
          </w:p>
        </w:tc>
      </w:tr>
      <w:tr>
        <w:trPr>
          <w:trHeight w:val="19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related to stock</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 restricted shares and employee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purchase plan</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3,586</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Vesting of restricted share awards</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Dividend Class A common stock</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(3,581)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(3,581)</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Dividend Class B common stock</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(1,165)</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(1,165)</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9251,681</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16,816</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16,816</w:t>
            </w:r>
          </w:p>
        </w:tc>
        <w:tc>
          <w:tcPr>
            <w:tcW w:w="100" w:type="dxa"/>
            <w:vAlign w:val="bottom"/>
          </w:tcPr>
          <w:p>
            <w:pPr>
              <w:spacing w:after="0"/>
              <w:rPr>
                <w:sz w:val="17"/>
                <w:szCs w:val="17"/>
                <w:color w:val="auto"/>
              </w:rPr>
            </w:pPr>
          </w:p>
        </w:tc>
      </w:tr>
      <w:tr>
        <w:trPr>
          <w:trHeight w:val="235"/>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27,728</w:t>
            </w:r>
          </w:p>
        </w:tc>
        <w:tc>
          <w:tcPr>
            <w:tcW w:w="2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8,410</w:t>
            </w:r>
          </w:p>
        </w:tc>
        <w:tc>
          <w:tcPr>
            <w:tcW w:w="2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471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414,812</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(324,031)</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$ 1,095,976</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(668)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$ 1,186,560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6"/>
                <w:szCs w:val="16"/>
                <w:color w:val="auto"/>
                <w:w w:val="93"/>
              </w:rPr>
              <w:t>Common Stock</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Accumulated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40" w:type="dxa"/>
            <w:vAlign w:val="bottom"/>
          </w:tcPr>
          <w:p>
            <w:pPr>
              <w:spacing w:after="0"/>
              <w:rPr>
                <w:sz w:val="17"/>
                <w:szCs w:val="17"/>
                <w:color w:val="auto"/>
              </w:rPr>
            </w:pPr>
          </w:p>
        </w:tc>
        <w:tc>
          <w:tcPr>
            <w:tcW w:w="1120" w:type="dxa"/>
            <w:vAlign w:val="bottom"/>
            <w:gridSpan w:val="3"/>
          </w:tcPr>
          <w:p>
            <w:pPr>
              <w:jc w:val="center"/>
              <w:ind w:left="599"/>
              <w:spacing w:after="0"/>
              <w:rPr>
                <w:sz w:val="20"/>
                <w:szCs w:val="20"/>
                <w:color w:val="auto"/>
              </w:rPr>
            </w:pPr>
            <w:r>
              <w:rPr>
                <w:rFonts w:ascii="Arial" w:cs="Arial" w:eastAsia="Arial" w:hAnsi="Arial"/>
                <w:sz w:val="16"/>
                <w:szCs w:val="16"/>
                <w:color w:val="auto"/>
                <w:w w:val="86"/>
              </w:rPr>
              <w:t>Shares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140" w:type="dxa"/>
            <w:vAlign w:val="bottom"/>
          </w:tcPr>
          <w:p>
            <w:pPr>
              <w:spacing w:after="0"/>
              <w:rPr>
                <w:sz w:val="18"/>
                <w:szCs w:val="18"/>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6"/>
                <w:szCs w:val="16"/>
                <w:color w:val="auto"/>
                <w:w w:val="92"/>
              </w:rPr>
              <w:t>Outstanding</w:t>
            </w:r>
          </w:p>
        </w:tc>
        <w:tc>
          <w:tcPr>
            <w:tcW w:w="14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6"/>
                <w:szCs w:val="16"/>
                <w:color w:val="auto"/>
              </w:rPr>
              <w:t>Par</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Paid-In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88"/>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87"/>
              </w:rPr>
              <w:t>Retained</w:t>
            </w: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140" w:type="dxa"/>
            <w:vAlign w:val="bottom"/>
          </w:tcPr>
          <w:p>
            <w:pPr>
              <w:spacing w:after="0"/>
              <w:rPr>
                <w:sz w:val="17"/>
                <w:szCs w:val="17"/>
                <w:color w:val="auto"/>
              </w:rPr>
            </w:pPr>
          </w:p>
        </w:tc>
        <w:tc>
          <w:tcPr>
            <w:tcW w:w="112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color w:val="auto"/>
              </w:rPr>
              <w:t>Class A</w:t>
            </w: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0"/>
              </w:rPr>
              <w:t>Class B</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Capital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88"/>
              </w:rPr>
              <w:t>Earnings</w:t>
            </w:r>
          </w:p>
        </w:tc>
        <w:tc>
          <w:tcPr>
            <w:tcW w:w="18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color w:val="auto"/>
                <w:w w:val="95"/>
              </w:rPr>
              <w:t>Income</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r>
      <w:tr>
        <w:trPr>
          <w:trHeight w:val="195"/>
        </w:trPr>
        <w:tc>
          <w:tcPr>
            <w:tcW w:w="3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28,710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8,290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370,025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(245,842)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942,287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$ 1,066,928</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Stock options exercised and stock awards</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1,231</w:t>
            </w:r>
          </w:p>
        </w:tc>
      </w:tr>
      <w:tr>
        <w:trPr>
          <w:trHeight w:val="19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related to stock</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 restricted shares and employee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purchase plan</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8,836</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Vesting of restricted share awards</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(2,317)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(2,315)</w:t>
            </w:r>
          </w:p>
        </w:tc>
      </w:tr>
      <w:tr>
        <w:trPr>
          <w:trHeight w:val="19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employee</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purchase plan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1,681</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Common stock repurchases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(26,048)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(26,048)</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Dividend Class A common stock</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(3,389)</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(3,389)</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Dividend Class B common stock</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(991)</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384</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37,104</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37,104</w:t>
            </w:r>
          </w:p>
        </w:tc>
        <w:tc>
          <w:tcPr>
            <w:tcW w:w="100" w:type="dxa"/>
            <w:vAlign w:val="bottom"/>
          </w:tcPr>
          <w:p>
            <w:pPr>
              <w:spacing w:after="0"/>
              <w:rPr>
                <w:sz w:val="17"/>
                <w:szCs w:val="17"/>
                <w:color w:val="auto"/>
              </w:rPr>
            </w:pPr>
          </w:p>
        </w:tc>
      </w:tr>
      <w:tr>
        <w:trPr>
          <w:trHeight w:val="195"/>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March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28,187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8,463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379,454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(271,890)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975,011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$ 1,083,421</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Stock options exercised and stock awards</w:t>
            </w: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1,745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1,745</w:t>
            </w:r>
          </w:p>
        </w:tc>
      </w:tr>
      <w:tr>
        <w:trPr>
          <w:trHeight w:val="19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related to stock</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 restricted shares and employee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purchase plan</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4,258</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Vesting of restricted share awards</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(517)</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Common stock repurchases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(12,062)</w:t>
            </w:r>
          </w:p>
        </w:tc>
      </w:tr>
      <w:tr>
        <w:trPr>
          <w:trHeight w:val="206"/>
        </w:trPr>
        <w:tc>
          <w:tcPr>
            <w:tcW w:w="3140" w:type="dxa"/>
            <w:vAlign w:val="bottom"/>
          </w:tcPr>
          <w:p>
            <w:pPr>
              <w:spacing w:after="0"/>
              <w:rPr>
                <w:sz w:val="20"/>
                <w:szCs w:val="20"/>
                <w:color w:val="auto"/>
              </w:rPr>
            </w:pPr>
            <w:r>
              <w:rPr>
                <w:rFonts w:ascii="Arial" w:cs="Arial" w:eastAsia="Arial" w:hAnsi="Arial"/>
                <w:sz w:val="16"/>
                <w:szCs w:val="16"/>
                <w:color w:val="auto"/>
              </w:rPr>
              <w:t>Dividend Class A common stock</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(3,387)</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(3,387)</w:t>
            </w:r>
          </w:p>
        </w:tc>
      </w:tr>
    </w:tbl>
    <w:p>
      <w:pPr>
        <w:sectPr>
          <w:pgSz w:w="11900" w:h="16910" w:orient="portrait"/>
          <w:cols w:equalWidth="0" w:num="1">
            <w:col w:w="11240"/>
          </w:cols>
          <w:pgMar w:left="320" w:top="125"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Dividend Class B common stock</w:t>
            </w: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(1,050)</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(505)</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41,621</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41,621</w:t>
            </w:r>
          </w:p>
        </w:tc>
        <w:tc>
          <w:tcPr>
            <w:tcW w:w="100" w:type="dxa"/>
            <w:vAlign w:val="bottom"/>
            <w:shd w:val="clear" w:color="auto" w:fill="CCEEFF"/>
          </w:tcPr>
          <w:p>
            <w:pPr>
              <w:spacing w:after="0"/>
              <w:rPr>
                <w:sz w:val="17"/>
                <w:szCs w:val="17"/>
                <w:color w:val="auto"/>
              </w:rPr>
            </w:pPr>
          </w:p>
        </w:tc>
      </w:tr>
      <w:tr>
        <w:trPr>
          <w:trHeight w:val="202"/>
        </w:trPr>
        <w:tc>
          <w:tcPr>
            <w:tcW w:w="3140" w:type="dxa"/>
            <w:vAlign w:val="bottom"/>
          </w:tcPr>
          <w:p>
            <w:pPr>
              <w:spacing w:after="0"/>
              <w:rPr>
                <w:sz w:val="20"/>
                <w:szCs w:val="20"/>
                <w:color w:val="auto"/>
              </w:rPr>
            </w:pPr>
            <w:r>
              <w:rPr>
                <w:rFonts w:ascii="Arial" w:cs="Arial" w:eastAsia="Arial" w:hAnsi="Arial"/>
                <w:sz w:val="16"/>
                <w:szCs w:val="16"/>
                <w:b w:val="1"/>
                <w:bCs w:val="1"/>
                <w:color w:val="auto"/>
              </w:rPr>
              <w:t>Balance, June 30, 2019</w:t>
            </w: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28,023</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8,396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462</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384,940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(283,952)</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$ 1,012,195</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$ 1,113,524</w:t>
            </w:r>
          </w:p>
        </w:tc>
        <w:tc>
          <w:tcPr>
            <w:tcW w:w="100" w:type="dxa"/>
            <w:vAlign w:val="bottom"/>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5"/>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3"/>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2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620" w:type="dxa"/>
            <w:vAlign w:val="bottom"/>
          </w:tcPr>
          <w:p>
            <w:pPr>
              <w:spacing w:after="0"/>
              <w:rPr>
                <w:sz w:val="17"/>
                <w:szCs w:val="17"/>
                <w:color w:val="auto"/>
              </w:rPr>
            </w:pPr>
          </w:p>
        </w:tc>
        <w:tc>
          <w:tcPr>
            <w:tcW w:w="4180" w:type="dxa"/>
            <w:vAlign w:val="bottom"/>
            <w:gridSpan w:val="4"/>
          </w:tcPr>
          <w:p>
            <w:pPr>
              <w:jc w:val="center"/>
              <w:ind w:right="180"/>
              <w:spacing w:after="0" w:line="195" w:lineRule="exact"/>
              <w:rPr>
                <w:sz w:val="20"/>
                <w:szCs w:val="20"/>
                <w:color w:val="auto"/>
              </w:rPr>
            </w:pPr>
            <w:r>
              <w:rPr>
                <w:rFonts w:ascii="Arial" w:cs="Arial" w:eastAsia="Arial" w:hAnsi="Arial"/>
                <w:sz w:val="18"/>
                <w:szCs w:val="18"/>
                <w:color w:val="auto"/>
                <w:w w:val="94"/>
              </w:rPr>
              <w:t>CONSOLIDATED STATEMENTS OF CASH FLOWS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39,923</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78,725</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89,897</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84,982</w:t>
            </w: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Loss (gain) on sale of property and equipment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12,139</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13,094</w:t>
            </w: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income tax expense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w:t>
            </w: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Change in accounts and notes receivable,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21,027</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(39,008)</w:t>
            </w: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Change in inventories, net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358,945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(136,611)</w:t>
            </w: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5,246</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(5,297)</w:t>
            </w: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Change in trade accounts payable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(36,147)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15,717</w:t>
            </w: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Payments on floor plan notes payable – trade,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(32,609)</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(9,801)</w:t>
            </w: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Change in customer deposits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(25,086)</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(7,297)</w:t>
            </w: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Change in accrued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(1,207)</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(30,571)</w:t>
            </w: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r>
      <w:tr>
        <w:trPr>
          <w:trHeight w:val="20"/>
        </w:trPr>
        <w:tc>
          <w:tcPr>
            <w:tcW w:w="3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800" w:type="dxa"/>
            <w:vAlign w:val="bottom"/>
            <w:gridSpan w:val="5"/>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418,210</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(31,943)</w:t>
            </w:r>
          </w:p>
        </w:tc>
      </w:tr>
      <w:tr>
        <w:trPr>
          <w:trHeight w:val="209"/>
        </w:trPr>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(82,236)</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(153,073)</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Business acquisitions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(10,168)</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Purchase of equity method investment and call option</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(22,499)</w:t>
            </w: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Change in other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2,515</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r>
      <w:tr>
        <w:trPr>
          <w:trHeight w:val="20"/>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80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(74,379)</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(181,681)</w:t>
            </w:r>
          </w:p>
        </w:tc>
      </w:tr>
      <w:tr>
        <w:trPr>
          <w:trHeight w:val="209"/>
        </w:trPr>
        <w:tc>
          <w:tcPr>
            <w:tcW w:w="7800" w:type="dxa"/>
            <w:vAlign w:val="bottom"/>
            <w:tcBorders>
              <w:top w:val="single" w:sz="8" w:color="CCEEFF"/>
            </w:tcBorders>
            <w:gridSpan w:val="5"/>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(Payments) draws on floor plan notes payable – non-trade, net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(238,781)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176,918</w:t>
            </w: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Proceeds from long-term debt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119,348</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106,083</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Draws on line of credit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(160,704)</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(99,982)</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Principal payments on finance lease obligations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(4,358)</w:t>
            </w: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Payments on line of credit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(75,000)</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w w:val="94"/>
              </w:rPr>
              <w:t>Proceeds from issuance of shares relating to employee stock options and employee stock purchases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Payments of cash dividends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(8,817)</w:t>
            </w: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Common stock repurchased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(19,902)</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(37,694)</w:t>
            </w:r>
          </w:p>
        </w:tc>
      </w:tr>
      <w:tr>
        <w:trPr>
          <w:trHeight w:val="20"/>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80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(309,895)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193,244</w:t>
            </w:r>
          </w:p>
        </w:tc>
      </w:tr>
      <w:tr>
        <w:trPr>
          <w:trHeight w:val="20"/>
        </w:trPr>
        <w:tc>
          <w:tcPr>
            <w:tcW w:w="3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800" w:type="dxa"/>
            <w:vAlign w:val="bottom"/>
            <w:gridSpan w:val="5"/>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33,936</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(20,380)</w:t>
            </w:r>
          </w:p>
        </w:tc>
      </w:tr>
      <w:tr>
        <w:trPr>
          <w:trHeight w:val="215"/>
        </w:trPr>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181,620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131,726</w:t>
            </w:r>
          </w:p>
        </w:tc>
      </w:tr>
      <w:tr>
        <w:trPr>
          <w:trHeight w:val="20"/>
        </w:trPr>
        <w:tc>
          <w:tcPr>
            <w:tcW w:w="3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800" w:type="dxa"/>
            <w:vAlign w:val="bottom"/>
            <w:gridSpan w:val="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215,556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111,346</w:t>
            </w:r>
          </w:p>
        </w:tc>
      </w:tr>
      <w:tr>
        <w:trPr>
          <w:trHeight w:val="20"/>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7800" w:type="dxa"/>
            <w:vAlign w:val="bottom"/>
            <w:gridSpan w:val="5"/>
          </w:tcPr>
          <w:p>
            <w:pPr>
              <w:ind w:left="16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22,559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28,573</w:t>
            </w: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Income taxes, net of refunds</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33,771</w:t>
            </w:r>
          </w:p>
        </w:tc>
      </w:tr>
      <w:tr>
        <w:trPr>
          <w:trHeight w:val="215"/>
        </w:trPr>
        <w:tc>
          <w:tcPr>
            <w:tcW w:w="7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Noncash activities: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Assets acquired under finance leases</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26,492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15,327</w:t>
            </w:r>
          </w:p>
        </w:tc>
      </w:tr>
      <w:tr>
        <w:trPr>
          <w:trHeight w:val="215"/>
        </w:trPr>
        <w:tc>
          <w:tcPr>
            <w:tcW w:w="78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30"/>
        </w:trPr>
        <w:tc>
          <w:tcPr>
            <w:tcW w:w="7800" w:type="dxa"/>
            <w:vAlign w:val="bottom"/>
            <w:gridSpan w:val="5"/>
          </w:tcPr>
          <w:p>
            <w:pPr>
              <w:ind w:left="340"/>
              <w:spacing w:after="0"/>
              <w:rPr>
                <w:sz w:val="20"/>
                <w:szCs w:val="20"/>
                <w:color w:val="auto"/>
              </w:rPr>
            </w:pPr>
            <w:r>
              <w:rPr>
                <w:rFonts w:ascii="Arial" w:cs="Arial" w:eastAsia="Arial" w:hAnsi="Arial"/>
                <w:sz w:val="18"/>
                <w:szCs w:val="18"/>
                <w:color w:val="auto"/>
              </w:rPr>
              <w:t>Guaranty agreement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r>
    </w:tbl>
    <w:p>
      <w:pPr>
        <w:spacing w:after="0" w:line="18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40" w:right="339" w:bottom="17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8"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2019. Results of operations for interim periods are not necessarily indicative of results that may be expected for any other interim periods or the full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224"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 xml:space="preserve">Accounting Standards Update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was issued in June 2016. Under Topic 326, existing guidance on reporting credit losses for trade and other receivables, held-to-maturity debt securities and other instruments have been replaced with a new forward-looking "expected loss" model that has resulted in the earlier recognition of allowances for losses. Under Topic 326, the Company is required to use a current expected credit loss (“CECL”) model that immediately recognizes an estimate of credit losses that are expected to occur over the life of the financial instruments that are within the scope of Topic 326. The CECL model uses a broader range of reasonable and supportable information in the development of credit loss estimates. The Company adopted Topic 326 on January 1, 2020, and the new standard did not result in a material impact on its consolidated financial statements. For a complete discussion of accounting for credit losses, see Note 12 – Accounts Receivable and Allowance for Credit Losses of the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4"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In March 2020, the World Health Organization made the assessment that COVID-19 could be characterized as a pandemic, and the President of the United States declared the COVID-19 outbreak a national emergency. The Company’s nationwide network of commercial vehicle dealerships are classified as “essential businesses” and have remained operational across the Company’s dealership network. Despite the dealerships remaining open, the COVID-19 pandemic had a significant negative impact on our financial results during the quarter ended June 30, 2020. The Company is unable to predict the impact that the COVID-19 pandemic will have on its future business and operating results due to numerous uncertainties, including the duration and severity of the outbreak.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4"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The total capitalized costs of the Company’s SAP enterprise resource planning software platform (“the ERP Platform”) of $7.9 million are recorded on the Consolidated Balance Sheet in Other Assets. Amortization expense relating to the ERP Platform, which is recognized in depreciation and amortization expense in the Consolidated Statements of Income and Comprehensive Income, was $0.5 million for the three months ended June 30, 2020 and $0.5 million for the three months ended June 30, 2019, and $1.0 million for the six months ended June 30, 2020 and $1.0 million for the six months ended June 30, 2019. The Company estimates that amortization expense relating to the ERP Platform will be approximately $1.5 million for the next year and $1.2 million for each of the next four years.</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4"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as of June 30, 2020 and December 31, 2019,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4"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7"/>
          <w:szCs w:val="17"/>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73"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9"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No impairment write-down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June 30, 2020, and is reported in Other Assets on the Consolidated Balance Sheet.</w:t>
      </w:r>
    </w:p>
    <w:p>
      <w:pPr>
        <w:spacing w:after="0" w:line="189"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$4.9 million as of June 30, 2020 and $5.1 million as of December 31, 2019, and is included in the investment in RTC Canada. As of June 30, 2020, the Company’s investment in RTC Canada is $27.2 million. The Company’s equity income in RTC Canada is included in Other income on the Consolidated Statements of Income.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8"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3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160"/>
              <w:spacing w:after="0" w:line="201" w:lineRule="exact"/>
              <w:rPr>
                <w:sz w:val="20"/>
                <w:szCs w:val="20"/>
                <w:color w:val="auto"/>
              </w:rPr>
            </w:pPr>
            <w:r>
              <w:rPr>
                <w:rFonts w:ascii="Arial" w:cs="Arial" w:eastAsia="Arial" w:hAnsi="Arial"/>
                <w:sz w:val="18"/>
                <w:szCs w:val="18"/>
                <w:color w:val="auto"/>
                <w:w w:val="94"/>
              </w:rPr>
              <w:t>Numerator for basic and diluted earnings per share – Net income available to</w:t>
            </w: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16,816</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41,621</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39,923</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78,725</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16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36,291</w:t>
            </w:r>
          </w:p>
        </w:tc>
        <w:tc>
          <w:tcPr>
            <w:tcW w:w="2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36,852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36,847</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Employee stock options and restricted stock awards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8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w w:val="91"/>
              </w:rPr>
              <w:t>Denominator for diluted earnings per share – adjusted weighted average shares</w:t>
            </w:r>
          </w:p>
        </w:tc>
        <w:tc>
          <w:tcPr>
            <w:tcW w:w="2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220" w:type="dxa"/>
            <w:vAlign w:val="bottom"/>
            <w:vMerge w:val="restart"/>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37,695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37,113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37,764</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outstanding and assumed conversions</w:t>
            </w: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2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1.13</w:t>
            </w: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1.10</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1.10</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1.08</w:t>
            </w:r>
          </w:p>
        </w:tc>
        <w:tc>
          <w:tcPr>
            <w:tcW w:w="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400" w:firstLine="646"/>
        <w:spacing w:after="0" w:line="263" w:lineRule="auto"/>
        <w:rPr>
          <w:sz w:val="20"/>
          <w:szCs w:val="20"/>
          <w:color w:val="auto"/>
        </w:rPr>
      </w:pPr>
      <w:r>
        <w:rPr>
          <w:rFonts w:ascii="Arial" w:cs="Arial" w:eastAsia="Arial" w:hAnsi="Arial"/>
          <w:sz w:val="18"/>
          <w:szCs w:val="18"/>
          <w:color w:val="auto"/>
        </w:rPr>
        <w:t>Options to purchase shares of common stock that were outstanding for the three months and six months ended June 30, 2020, and 2019, which were not included in the computation of diluted earnings per share because the effect would have been anti-dilutive are as follows (in thousands):</w:t>
      </w:r>
    </w:p>
    <w:p>
      <w:pPr>
        <w:spacing w:after="0" w:line="182"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Three Months Ended</w:t>
            </w:r>
          </w:p>
        </w:tc>
        <w:tc>
          <w:tcPr>
            <w:tcW w:w="2720" w:type="dxa"/>
            <w:vAlign w:val="bottom"/>
            <w:gridSpan w:val="5"/>
          </w:tcPr>
          <w:p>
            <w:pPr>
              <w:jc w:val="right"/>
              <w:ind w:right="520"/>
              <w:spacing w:after="0"/>
              <w:rPr>
                <w:sz w:val="20"/>
                <w:szCs w:val="20"/>
                <w:color w:val="auto"/>
              </w:rPr>
            </w:pPr>
            <w:r>
              <w:rPr>
                <w:rFonts w:ascii="Arial" w:cs="Arial" w:eastAsia="Arial" w:hAnsi="Arial"/>
                <w:sz w:val="18"/>
                <w:szCs w:val="18"/>
                <w:color w:val="auto"/>
              </w:rPr>
              <w:t>Six Months Ended</w:t>
            </w:r>
          </w:p>
        </w:tc>
      </w:tr>
      <w:tr>
        <w:trPr>
          <w:trHeight w:val="230"/>
        </w:trPr>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gridSpan w:val="3"/>
          </w:tcPr>
          <w:p>
            <w:pPr>
              <w:jc w:val="center"/>
              <w:ind w:right="1040"/>
              <w:spacing w:after="0"/>
              <w:rPr>
                <w:sz w:val="20"/>
                <w:szCs w:val="20"/>
                <w:color w:val="auto"/>
              </w:rPr>
            </w:pPr>
            <w:r>
              <w:rPr>
                <w:rFonts w:ascii="Arial" w:cs="Arial" w:eastAsia="Arial" w:hAnsi="Arial"/>
                <w:sz w:val="18"/>
                <w:szCs w:val="18"/>
                <w:color w:val="auto"/>
                <w:w w:val="86"/>
              </w:rPr>
              <w:t>June 30,</w:t>
            </w:r>
          </w:p>
        </w:tc>
        <w:tc>
          <w:tcPr>
            <w:tcW w:w="1840" w:type="dxa"/>
            <w:vAlign w:val="bottom"/>
            <w:gridSpan w:val="3"/>
          </w:tcPr>
          <w:p>
            <w:pPr>
              <w:ind w:left="1240"/>
              <w:spacing w:after="0"/>
              <w:rPr>
                <w:sz w:val="20"/>
                <w:szCs w:val="20"/>
                <w:color w:val="auto"/>
              </w:rPr>
            </w:pPr>
            <w:r>
              <w:rPr>
                <w:rFonts w:ascii="Arial" w:cs="Arial" w:eastAsia="Arial" w:hAnsi="Arial"/>
                <w:sz w:val="18"/>
                <w:szCs w:val="18"/>
                <w:color w:val="auto"/>
                <w:w w:val="83"/>
              </w:rPr>
              <w:t>June 30,</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2019</w:t>
            </w:r>
          </w:p>
        </w:tc>
        <w:tc>
          <w:tcPr>
            <w:tcW w:w="80" w:type="dxa"/>
            <w:vAlign w:val="bottom"/>
          </w:tcPr>
          <w:p>
            <w:pPr>
              <w:spacing w:after="0"/>
              <w:rPr>
                <w:sz w:val="18"/>
                <w:szCs w:val="18"/>
                <w:color w:val="auto"/>
              </w:rPr>
            </w:pPr>
          </w:p>
        </w:tc>
      </w:tr>
      <w:tr>
        <w:trPr>
          <w:trHeight w:val="209"/>
        </w:trPr>
        <w:tc>
          <w:tcPr>
            <w:tcW w:w="4160" w:type="dxa"/>
            <w:vAlign w:val="bottom"/>
            <w:gridSpan w:val="3"/>
            <w:shd w:val="clear" w:color="auto" w:fill="CCEEFF"/>
          </w:tcPr>
          <w:p>
            <w:pPr>
              <w:jc w:val="right"/>
              <w:ind w:right="1270"/>
              <w:spacing w:after="0"/>
              <w:rPr>
                <w:sz w:val="20"/>
                <w:szCs w:val="20"/>
                <w:color w:val="auto"/>
              </w:rPr>
            </w:pPr>
            <w:r>
              <w:rPr>
                <w:rFonts w:ascii="Arial" w:cs="Arial" w:eastAsia="Arial" w:hAnsi="Arial"/>
                <w:sz w:val="18"/>
                <w:szCs w:val="18"/>
                <w:color w:val="auto"/>
                <w:w w:val="91"/>
              </w:rPr>
              <w:t>Weighted average anti-dilutive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1,671</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1,433</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1,186</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4" w:lineRule="exact"/>
        <w:rPr>
          <w:sz w:val="20"/>
          <w:szCs w:val="20"/>
          <w:color w:val="auto"/>
        </w:rPr>
      </w:pPr>
    </w:p>
    <w:p>
      <w:pPr>
        <w:jc w:val="both"/>
        <w:ind w:right="400" w:firstLine="646"/>
        <w:spacing w:after="0" w:line="258"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measurement and recognition of compensation expense for all share-based payment awards made to our employees and directors, including employee stock options, restricted stock unit awards, restricted stock awards and employee stock purchases related to the Employee Stock Purchase Plan based on estimated fair values.</w:t>
      </w:r>
    </w:p>
    <w:p>
      <w:pPr>
        <w:spacing w:after="0" w:line="187" w:lineRule="exact"/>
        <w:rPr>
          <w:sz w:val="20"/>
          <w:szCs w:val="20"/>
          <w:color w:val="auto"/>
        </w:rPr>
      </w:pPr>
    </w:p>
    <w:p>
      <w:pPr>
        <w:jc w:val="both"/>
        <w:ind w:right="380" w:firstLine="646"/>
        <w:spacing w:after="0" w:line="258"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$3.6 million for the three months ended June 30, 2020, and $4.3 million for the three months ended June 30, 2019. Stock-based compensation expense, included in selling, general and administrative expense, for the six months ended June 30, 2020, was $12.1 million and for the six months ended June 30, 2019, was $13.1 million.</w:t>
      </w:r>
    </w:p>
    <w:p>
      <w:pPr>
        <w:spacing w:after="0" w:line="187" w:lineRule="exact"/>
        <w:rPr>
          <w:sz w:val="20"/>
          <w:szCs w:val="20"/>
          <w:color w:val="auto"/>
        </w:rPr>
      </w:pPr>
    </w:p>
    <w:p>
      <w:pPr>
        <w:jc w:val="both"/>
        <w:ind w:right="360" w:firstLine="646"/>
        <w:spacing w:after="0" w:line="263" w:lineRule="auto"/>
        <w:rPr>
          <w:sz w:val="20"/>
          <w:szCs w:val="20"/>
          <w:color w:val="auto"/>
        </w:rPr>
      </w:pPr>
      <w:r>
        <w:rPr>
          <w:rFonts w:ascii="Arial" w:cs="Arial" w:eastAsia="Arial" w:hAnsi="Arial"/>
          <w:sz w:val="18"/>
          <w:szCs w:val="18"/>
          <w:color w:val="auto"/>
        </w:rPr>
        <w:t>As of June 30, 2020, the Company had $10.0 million of unrecognized compensation cost related to non-vested employee stock options to be recognized over a weighted-average period of 2.3 years and $11.6 million of unrecognized compensation cost related to non-vested restricted stock units and restricted stock awards to be recognized over a weighted-average period of 1.4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8" w:lineRule="exact"/>
        <w:rPr>
          <w:sz w:val="20"/>
          <w:szCs w:val="20"/>
          <w:color w:val="auto"/>
        </w:rPr>
      </w:pPr>
    </w:p>
    <w:p>
      <w:pPr>
        <w:jc w:val="both"/>
        <w:ind w:right="360" w:firstLine="646"/>
        <w:spacing w:after="0" w:line="275"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June 30, 2020, and December 31, 2019. The carrying value of current assets and current liabilities approximates the fair value due to the short maturity of these items.</w:t>
      </w:r>
    </w:p>
    <w:p>
      <w:pPr>
        <w:spacing w:after="0" w:line="173" w:lineRule="exact"/>
        <w:rPr>
          <w:sz w:val="20"/>
          <w:szCs w:val="20"/>
          <w:color w:val="auto"/>
        </w:rPr>
      </w:pPr>
    </w:p>
    <w:p>
      <w:pPr>
        <w:jc w:val="both"/>
        <w:ind w:right="360" w:firstLine="646"/>
        <w:spacing w:after="0" w:line="301" w:lineRule="auto"/>
        <w:rPr>
          <w:sz w:val="20"/>
          <w:szCs w:val="20"/>
          <w:color w:val="auto"/>
        </w:rPr>
      </w:pPr>
      <w:r>
        <w:rPr>
          <w:rFonts w:ascii="Arial" w:cs="Arial" w:eastAsia="Arial" w:hAnsi="Arial"/>
          <w:sz w:val="16"/>
          <w:szCs w:val="16"/>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ectPr>
          <w:pgSz w:w="11900" w:h="16838" w:orient="portrait"/>
          <w:cols w:equalWidth="0" w:num="1">
            <w:col w:w="11240"/>
          </w:cols>
          <w:pgMar w:left="320" w:top="125" w:right="339"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8" w:lineRule="exact"/>
        <w:rPr>
          <w:sz w:val="20"/>
          <w:szCs w:val="20"/>
          <w:color w:val="auto"/>
        </w:rPr>
      </w:pPr>
    </w:p>
    <w:p>
      <w:pPr>
        <w:jc w:val="both"/>
        <w:ind w:right="480" w:firstLine="646"/>
        <w:spacing w:after="0" w:line="271" w:lineRule="auto"/>
        <w:rPr>
          <w:sz w:val="20"/>
          <w:szCs w:val="20"/>
          <w:color w:val="auto"/>
        </w:rPr>
      </w:pPr>
      <w:r>
        <w:rPr>
          <w:rFonts w:ascii="Arial" w:cs="Arial" w:eastAsia="Arial" w:hAnsi="Arial"/>
          <w:sz w:val="17"/>
          <w:szCs w:val="17"/>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79" w:lineRule="exact"/>
        <w:rPr>
          <w:sz w:val="20"/>
          <w:szCs w:val="20"/>
          <w:color w:val="auto"/>
        </w:rPr>
      </w:pPr>
    </w:p>
    <w:p>
      <w:pPr>
        <w:jc w:val="both"/>
        <w:ind w:right="480" w:firstLine="646"/>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2" w:lineRule="exact"/>
        <w:rPr>
          <w:sz w:val="20"/>
          <w:szCs w:val="20"/>
          <w:color w:val="auto"/>
        </w:rPr>
      </w:pPr>
    </w:p>
    <w:p>
      <w:pPr>
        <w:jc w:val="both"/>
        <w:ind w:right="480" w:firstLine="646"/>
        <w:spacing w:after="0" w:line="258"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jc w:val="right"/>
        <w:spacing w:after="0"/>
        <w:rPr>
          <w:sz w:val="20"/>
          <w:szCs w:val="20"/>
          <w:color w:val="auto"/>
        </w:rPr>
      </w:pPr>
      <w:r>
        <w:rPr>
          <w:rFonts w:ascii="Arial" w:cs="Arial" w:eastAsia="Arial" w:hAnsi="Arial"/>
          <w:sz w:val="18"/>
          <w:szCs w:val="18"/>
          <w:color w:val="auto"/>
        </w:rPr>
        <w:t>The</w:t>
      </w:r>
    </w:p>
    <w:p>
      <w:pPr>
        <w:spacing w:after="0" w:line="9"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following table contains summarized information about reportable segment revenues, segment income or loss from continuing operations and segment assets for the periods ended June 30, 2020 and 2019 (in thousands):</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Truck</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Segment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As of and for the three months ended June 30, 2020</w:t>
            </w:r>
          </w:p>
        </w:tc>
        <w:tc>
          <w:tcPr>
            <w:tcW w:w="4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998,739</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1,002,512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3,021,241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i w:val="1"/>
                <w:iCs w:val="1"/>
                <w:color w:val="auto"/>
              </w:rPr>
              <w:t>For the six months ended June 30, 2020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2,282,118</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58,129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As of and for the three months ended June 30, 2019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1,540,237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1,544,561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3,490,254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i w:val="1"/>
                <w:iCs w:val="1"/>
                <w:color w:val="auto"/>
              </w:rPr>
              <w:t>For the six months ended June 30, 2019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2,884,686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118,321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8" w:lineRule="exact"/>
        <w:rPr>
          <w:sz w:val="20"/>
          <w:szCs w:val="20"/>
          <w:color w:val="auto"/>
        </w:rPr>
      </w:pPr>
    </w:p>
    <w:p>
      <w:pPr>
        <w:jc w:val="both"/>
        <w:ind w:right="480" w:firstLine="646"/>
        <w:spacing w:after="0" w:line="275" w:lineRule="auto"/>
        <w:rPr>
          <w:sz w:val="20"/>
          <w:szCs w:val="20"/>
          <w:color w:val="auto"/>
        </w:rPr>
      </w:pPr>
      <w:r>
        <w:rPr>
          <w:rFonts w:ascii="Arial" w:cs="Arial" w:eastAsia="Arial" w:hAnsi="Arial"/>
          <w:sz w:val="17"/>
          <w:szCs w:val="17"/>
          <w:color w:val="auto"/>
        </w:rPr>
        <w:t>The Company had unrecognized income tax benefits totaling $3.0 million as a component of accrued liabilities as of June 30, 2020 and December 31, 2019, the total of which, if recognized, would impact the Company’s effective tax rate. An unfavorable settlement may require a charge to income tax expense and a favorable resolution would be recognized as a reduction to income tax expense. The Company recognizes accrued interest related to unrecognized tax benefits in income tax expense. The Company had approximately $144,000 accrued for the payment of interest as of June 30, 2020 and December 31, 2019. No amounts were accrued for penalties.</w:t>
      </w:r>
    </w:p>
    <w:p>
      <w:pPr>
        <w:spacing w:after="0" w:line="173" w:lineRule="exact"/>
        <w:rPr>
          <w:sz w:val="20"/>
          <w:szCs w:val="20"/>
          <w:color w:val="auto"/>
        </w:rPr>
      </w:pPr>
    </w:p>
    <w:p>
      <w:pPr>
        <w:jc w:val="both"/>
        <w:ind w:right="480" w:firstLine="646"/>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2020, the tax years ended December 31, 2016 through 2019 remained subject to audit by federal tax authorities, and the tax years ended December 31, 2015 through 2019 remained subject to audit by state tax authorities.</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Coronavirus Aid, Relief, and Economic Security Act (the CARES Act)</w:t>
      </w:r>
    </w:p>
    <w:p>
      <w:pPr>
        <w:spacing w:after="0" w:line="224" w:lineRule="exact"/>
        <w:rPr>
          <w:sz w:val="20"/>
          <w:szCs w:val="20"/>
          <w:color w:val="auto"/>
        </w:rPr>
      </w:pPr>
    </w:p>
    <w:p>
      <w:pPr>
        <w:jc w:val="both"/>
        <w:ind w:right="460" w:firstLine="646"/>
        <w:spacing w:after="0" w:line="263" w:lineRule="auto"/>
        <w:rPr>
          <w:sz w:val="20"/>
          <w:szCs w:val="20"/>
          <w:color w:val="auto"/>
        </w:rPr>
      </w:pPr>
      <w:r>
        <w:rPr>
          <w:rFonts w:ascii="Arial" w:cs="Arial" w:eastAsia="Arial" w:hAnsi="Arial"/>
          <w:sz w:val="18"/>
          <w:szCs w:val="18"/>
          <w:color w:val="auto"/>
        </w:rPr>
        <w:t>In response to the COVID-19 pandemic, on March 27, 2020, President Donald Trump signed into law the CARES Act. The Company evaluated the provisions of the CARES Act as of June 30, 2020, with no material effect on the financial statements. Provisions of the CARES Act may result in deferral of payment of certain taxes.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Revenue</w:t>
      </w:r>
    </w:p>
    <w:p>
      <w:pPr>
        <w:spacing w:after="0" w:line="228" w:lineRule="exact"/>
        <w:rPr>
          <w:sz w:val="20"/>
          <w:szCs w:val="20"/>
          <w:color w:val="auto"/>
        </w:rPr>
      </w:pPr>
    </w:p>
    <w:p>
      <w:pPr>
        <w:jc w:val="both"/>
        <w:ind w:right="460" w:firstLine="646"/>
        <w:spacing w:after="0" w:line="255" w:lineRule="auto"/>
        <w:rPr>
          <w:sz w:val="20"/>
          <w:szCs w:val="20"/>
          <w:color w:val="auto"/>
        </w:rPr>
      </w:pPr>
      <w:r>
        <w:rPr>
          <w:rFonts w:ascii="Arial" w:cs="Arial" w:eastAsia="Arial" w:hAnsi="Arial"/>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9" w:lineRule="exact"/>
        <w:rPr>
          <w:sz w:val="20"/>
          <w:szCs w:val="20"/>
          <w:color w:val="auto"/>
        </w:rPr>
      </w:pPr>
    </w:p>
    <w:p>
      <w:pPr>
        <w:ind w:right="460" w:firstLine="646"/>
        <w:spacing w:after="0" w:line="276"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and six months ended June 30, 2020 and 2019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4"/>
          </w:tcPr>
          <w:p>
            <w:pPr>
              <w:jc w:val="right"/>
              <w:ind w:right="96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9"/>
                <w:szCs w:val="19"/>
                <w:color w:val="auto"/>
              </w:rPr>
            </w:pPr>
          </w:p>
        </w:tc>
        <w:tc>
          <w:tcPr>
            <w:tcW w:w="2920" w:type="dxa"/>
            <w:vAlign w:val="bottom"/>
            <w:gridSpan w:val="4"/>
          </w:tcPr>
          <w:p>
            <w:pPr>
              <w:jc w:val="right"/>
              <w:ind w:right="900"/>
              <w:spacing w:after="0"/>
              <w:rPr>
                <w:sz w:val="20"/>
                <w:szCs w:val="20"/>
                <w:color w:val="auto"/>
              </w:rPr>
            </w:pPr>
            <w:r>
              <w:rPr>
                <w:rFonts w:ascii="Arial" w:cs="Arial" w:eastAsia="Arial" w:hAnsi="Arial"/>
                <w:sz w:val="18"/>
                <w:szCs w:val="18"/>
                <w:color w:val="auto"/>
              </w:rPr>
              <w:t>Six Months Ended</w:t>
            </w:r>
          </w:p>
        </w:tc>
      </w:tr>
      <w:tr>
        <w:trPr>
          <w:trHeight w:val="222"/>
        </w:trPr>
        <w:tc>
          <w:tcPr>
            <w:tcW w:w="20" w:type="dxa"/>
            <w:vAlign w:val="bottom"/>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June 30, 2020</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June 30, 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June 30, 2020</w:t>
            </w: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June 30, 2019</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559,062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1,348,616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1,863,084</w:t>
            </w:r>
          </w:p>
        </w:tc>
      </w:tr>
      <w:tr>
        <w:trPr>
          <w:trHeight w:val="215"/>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Parts revenue</w:t>
            </w: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211,804</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254,664</w:t>
            </w: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448,402</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501,981</w:t>
            </w:r>
          </w:p>
        </w:tc>
      </w:tr>
      <w:tr>
        <w:trPr>
          <w:trHeight w:val="215"/>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165,749</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193,502</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357,129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384,539</w:t>
            </w:r>
          </w:p>
        </w:tc>
      </w:tr>
      <w:tr>
        <w:trPr>
          <w:trHeight w:val="215"/>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Finance revenue</w:t>
            </w: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3,558</w:t>
            </w: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4,879</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7,653</w:t>
            </w:r>
          </w:p>
        </w:tc>
      </w:tr>
      <w:tr>
        <w:trPr>
          <w:trHeight w:val="215"/>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w:t>
            </w:r>
          </w:p>
        </w:tc>
      </w:tr>
      <w:tr>
        <w:trPr>
          <w:trHeight w:val="215"/>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3,647</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3,602</w:t>
            </w: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7,530</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9,239</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945,222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1,482,970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2,171,104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2,771,854</w:t>
            </w: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ind w:right="460" w:firstLine="646"/>
        <w:spacing w:after="0" w:line="311" w:lineRule="auto"/>
        <w:rPr>
          <w:sz w:val="20"/>
          <w:szCs w:val="20"/>
          <w:color w:val="auto"/>
        </w:rPr>
      </w:pPr>
      <w:r>
        <w:rPr>
          <w:rFonts w:ascii="Arial" w:cs="Arial" w:eastAsia="Arial" w:hAnsi="Arial"/>
          <w:sz w:val="16"/>
          <w:szCs w:val="16"/>
          <w:color w:val="auto"/>
        </w:rPr>
        <w:t>All of the Company's performance obligations are generally transferred to customers at a point in time. The Company does not have any material contract assets or contract liabilities on the balance sheet as of June 30, 2020 or December 31, 2019. Revenues related to commercial vehicle sales, parts sales, commercial vehicle repair service, finance and the majority of other revenues are related to the Truck Segment.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Leases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4" w:lineRule="exact"/>
        <w:rPr>
          <w:sz w:val="20"/>
          <w:szCs w:val="20"/>
          <w:color w:val="auto"/>
        </w:rPr>
      </w:pPr>
    </w:p>
    <w:p>
      <w:pPr>
        <w:jc w:val="both"/>
        <w:ind w:right="460" w:firstLine="646"/>
        <w:spacing w:after="0" w:line="285" w:lineRule="auto"/>
        <w:rPr>
          <w:sz w:val="20"/>
          <w:szCs w:val="20"/>
          <w:color w:val="auto"/>
        </w:rPr>
      </w:pPr>
      <w:r>
        <w:rPr>
          <w:rFonts w:ascii="Arial" w:cs="Arial" w:eastAsia="Arial" w:hAnsi="Arial"/>
          <w:sz w:val="17"/>
          <w:szCs w:val="17"/>
          <w:color w:val="auto"/>
        </w:rPr>
        <w:t>The Company leases commercial vehicles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66" w:lineRule="exact"/>
        <w:rPr>
          <w:sz w:val="20"/>
          <w:szCs w:val="20"/>
          <w:color w:val="auto"/>
        </w:rPr>
      </w:pPr>
    </w:p>
    <w:p>
      <w:pPr>
        <w:jc w:val="both"/>
        <w:ind w:right="460" w:firstLine="646"/>
        <w:spacing w:after="0" w:line="311" w:lineRule="auto"/>
        <w:rPr>
          <w:sz w:val="20"/>
          <w:szCs w:val="20"/>
          <w:color w:val="auto"/>
        </w:rPr>
      </w:pPr>
      <w:r>
        <w:rPr>
          <w:rFonts w:ascii="Arial" w:cs="Arial" w:eastAsia="Arial" w:hAnsi="Arial"/>
          <w:sz w:val="16"/>
          <w:szCs w:val="16"/>
          <w:color w:val="auto"/>
        </w:rPr>
        <w:t>The Company’s policy is to depreciate its lease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7" w:lineRule="exact"/>
        <w:rPr>
          <w:sz w:val="20"/>
          <w:szCs w:val="20"/>
          <w:color w:val="auto"/>
        </w:rPr>
      </w:pPr>
    </w:p>
    <w:p>
      <w:pPr>
        <w:jc w:val="both"/>
        <w:ind w:right="460" w:firstLine="646"/>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as of June 30, 2020 and December 31, 2019, in the amount of $5.6 million is reflected in Other Assets on the Consolidated Balance Sheet.</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income during the three and six months ended June 30, 2020 and June 30, 2019 consisted of the following (in thousands):</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gridSpan w:val="4"/>
          </w:tcPr>
          <w:p>
            <w:pPr>
              <w:jc w:val="right"/>
              <w:ind w:right="390"/>
              <w:spacing w:after="0"/>
              <w:rPr>
                <w:sz w:val="20"/>
                <w:szCs w:val="20"/>
                <w:color w:val="auto"/>
              </w:rPr>
            </w:pPr>
            <w:r>
              <w:rPr>
                <w:rFonts w:ascii="Arial" w:cs="Arial" w:eastAsia="Arial" w:hAnsi="Arial"/>
                <w:sz w:val="18"/>
                <w:szCs w:val="18"/>
                <w:color w:val="auto"/>
                <w:w w:val="99"/>
              </w:rPr>
              <w:t>Three Months Ended</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5"/>
          </w:tcPr>
          <w:p>
            <w:pPr>
              <w:ind w:left="220"/>
              <w:spacing w:after="0"/>
              <w:rPr>
                <w:sz w:val="20"/>
                <w:szCs w:val="20"/>
                <w:color w:val="auto"/>
              </w:rPr>
            </w:pPr>
            <w:r>
              <w:rPr>
                <w:rFonts w:ascii="Arial" w:cs="Arial" w:eastAsia="Arial" w:hAnsi="Arial"/>
                <w:sz w:val="18"/>
                <w:szCs w:val="18"/>
                <w:color w:val="auto"/>
              </w:rPr>
              <w:t>Six Months Ended</w:t>
            </w: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2020</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June 30, 2019</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2020</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June 30, 2019</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1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50,195</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53,585</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103,368</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105,327</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Nonlease payments</w:t>
            </w:r>
          </w:p>
        </w:tc>
        <w:tc>
          <w:tcPr>
            <w:tcW w:w="1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57,290</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61,591</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118,071</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Accumulated Other Comprehensive (Loss) Income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income (in thousands):</w:t>
      </w:r>
    </w:p>
    <w:p>
      <w:pPr>
        <w:spacing w:after="0" w:line="238"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r>
      <w:tr>
        <w:trPr>
          <w:trHeight w:val="215"/>
        </w:trPr>
        <w:tc>
          <w:tcPr>
            <w:tcW w:w="7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(1,930)</w:t>
            </w:r>
          </w:p>
        </w:tc>
      </w:tr>
      <w:tr>
        <w:trPr>
          <w:trHeight w:val="20"/>
        </w:trPr>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r>
      <w:tr>
        <w:trPr>
          <w:trHeight w:val="215"/>
        </w:trPr>
        <w:tc>
          <w:tcPr>
            <w:tcW w:w="7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r>
      <w:tr>
        <w:trPr>
          <w:trHeight w:val="20"/>
        </w:trPr>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ind w:right="380" w:firstLine="646"/>
        <w:spacing w:after="0" w:line="276" w:lineRule="auto"/>
        <w:rPr>
          <w:sz w:val="20"/>
          <w:szCs w:val="20"/>
          <w:color w:val="auto"/>
        </w:rPr>
      </w:pPr>
      <w:r>
        <w:rPr>
          <w:rFonts w:ascii="Arial" w:cs="Arial" w:eastAsia="Arial" w:hAnsi="Arial"/>
          <w:sz w:val="18"/>
          <w:szCs w:val="18"/>
          <w:color w:val="auto"/>
        </w:rPr>
        <w:t>The equity method investment in RTC Canada was valued using the exchange rate of one US Dollar equals 1.3587 Canadian dollars as of June 30, 2020. The adjustment is reflected in Other Assets on the Consolidated Balance Sheet.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Accounts Receivable and Allowance for Credit Losses</w:t>
      </w:r>
    </w:p>
    <w:p>
      <w:pPr>
        <w:spacing w:after="0" w:line="228" w:lineRule="exact"/>
        <w:rPr>
          <w:sz w:val="20"/>
          <w:szCs w:val="20"/>
          <w:color w:val="auto"/>
        </w:rPr>
      </w:pPr>
    </w:p>
    <w:p>
      <w:pPr>
        <w:jc w:val="both"/>
        <w:ind w:right="380" w:firstLine="646"/>
        <w:spacing w:after="0" w:line="256" w:lineRule="auto"/>
        <w:rPr>
          <w:sz w:val="20"/>
          <w:szCs w:val="20"/>
          <w:color w:val="auto"/>
        </w:rPr>
      </w:pPr>
      <w:r>
        <w:rPr>
          <w:rFonts w:ascii="Arial" w:cs="Arial" w:eastAsia="Arial" w:hAnsi="Arial"/>
          <w:sz w:val="18"/>
          <w:szCs w:val="18"/>
          <w:color w:val="auto"/>
        </w:rPr>
        <w:t>The Company adopted Topic 326 on January 1, 2020. The Company did not recognize an adjustment to the beginning balance of retained earnings because the new accounting standard did not have a material impact on its consolidated financial statements. The Company establishes an allowance for credit losses to present the net amount of accounts receivable expected to be collected. Under Topic 326, the Company is required to remeasure expected credit losses for financial instruments held on the reporting date based on historical experience, current conditions and reasonable forecasts.</w:t>
      </w:r>
    </w:p>
    <w:p>
      <w:pPr>
        <w:spacing w:after="0" w:line="189" w:lineRule="exact"/>
        <w:rPr>
          <w:sz w:val="20"/>
          <w:szCs w:val="20"/>
          <w:color w:val="auto"/>
        </w:rPr>
      </w:pPr>
    </w:p>
    <w:p>
      <w:pPr>
        <w:jc w:val="both"/>
        <w:ind w:right="380" w:firstLine="646"/>
        <w:spacing w:after="0" w:line="296" w:lineRule="auto"/>
        <w:rPr>
          <w:sz w:val="20"/>
          <w:szCs w:val="20"/>
          <w:color w:val="auto"/>
        </w:rPr>
      </w:pPr>
      <w:r>
        <w:rPr>
          <w:rFonts w:ascii="Arial" w:cs="Arial" w:eastAsia="Arial" w:hAnsi="Arial"/>
          <w:sz w:val="16"/>
          <w:szCs w:val="16"/>
          <w:color w:val="auto"/>
        </w:rPr>
        <w:t>Accounts receivable consists primarily of commercial vehicle sales, manufacturers’ receivables, leasing and parts and service receivables and other trade receivables. The Company maintains an allowance for credit losses based on the probability of default, its historical rate of losses, aging and current economic conditions. The Company’s assessment of future losses in the first six months of 2020 considered the impact of the COVID-19 pandemic on forecasted economic trends. The Company writes off account balances when it has exhausted reasonable collection efforts and determined that the likelihood of collection is remote. These write-offs are charged against the allowance for credit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Write offs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Provision for</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Against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the Six</w:t>
            </w: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Allowance,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Months Ended</w:t>
            </w: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net of</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Balance</w:t>
            </w:r>
          </w:p>
        </w:tc>
        <w:tc>
          <w:tcPr>
            <w:tcW w:w="2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2020</w:t>
            </w: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Recoveries</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June 30, 2020</w:t>
            </w:r>
          </w:p>
        </w:tc>
        <w:tc>
          <w:tcPr>
            <w:tcW w:w="24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1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receivables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2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0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13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8" w:lineRule="exact"/>
        <w:rPr>
          <w:sz w:val="20"/>
          <w:szCs w:val="20"/>
          <w:color w:val="auto"/>
        </w:rPr>
      </w:pPr>
    </w:p>
    <w:p>
      <w:pPr>
        <w:jc w:val="both"/>
        <w:ind w:right="20" w:firstLine="646"/>
        <w:spacing w:after="0" w:line="266"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2019, as supplemented by Item 1A. Risk Factors in the Company’s Quarterly Report on Form 10-Q for the quarter ended March 31, 2020,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28"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Ford Motor Company. SAP</w:t>
      </w:r>
      <w:r>
        <w:rPr>
          <w:rFonts w:ascii="Arial" w:cs="Arial" w:eastAsia="Arial" w:hAnsi="Arial"/>
          <w:sz w:val="12"/>
          <w:szCs w:val="12"/>
          <w:i w:val="1"/>
          <w:iCs w:val="1"/>
          <w:color w:val="auto"/>
        </w:rPr>
        <w:t>®</w:t>
      </w:r>
      <w:r>
        <w:rPr>
          <w:rFonts w:ascii="Arial" w:cs="Arial" w:eastAsia="Arial" w:hAnsi="Arial"/>
          <w:sz w:val="16"/>
          <w:szCs w:val="16"/>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8"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7"/>
          <w:szCs w:val="17"/>
          <w:color w:val="auto"/>
        </w:rPr>
        <w:t>Rush Truck Centers are classified as “essential businesses” and our dealership network has remained operational since the beginning of the COVID-19 pandemic, although some hours of operation have been modified. Despite our dealerships remaining open, the COVID-19 pandemic had a significant negative impact on our revenues in the second quarter of 2020, and we expect that the negative impact of the COVID-19 pandemic on our revenues, and business in general, will be substantial for the foreseeable future. However, based on current market conditions and the steps we have taken to reduce expenses, we believe the worst of the pandemic’s effect on our business may be behind us.</w:t>
      </w:r>
    </w:p>
    <w:p>
      <w:pPr>
        <w:spacing w:after="0" w:line="173" w:lineRule="exact"/>
        <w:rPr>
          <w:sz w:val="20"/>
          <w:szCs w:val="20"/>
          <w:color w:val="auto"/>
        </w:rPr>
      </w:pPr>
    </w:p>
    <w:p>
      <w:pPr>
        <w:jc w:val="both"/>
        <w:ind w:firstLine="646"/>
        <w:spacing w:after="0" w:line="301" w:lineRule="auto"/>
        <w:rPr>
          <w:sz w:val="20"/>
          <w:szCs w:val="20"/>
          <w:color w:val="auto"/>
        </w:rPr>
      </w:pPr>
      <w:r>
        <w:rPr>
          <w:rFonts w:ascii="Arial" w:cs="Arial" w:eastAsia="Arial" w:hAnsi="Arial"/>
          <w:sz w:val="16"/>
          <w:szCs w:val="16"/>
          <w:color w:val="auto"/>
        </w:rPr>
        <w:t>We are monitoring and complying with CDC guidelines for limiting the spread of COVID-19 and complying with all applicable federal, state and local executive orders. We also provide employees who are unable to work as a direct result of COVID-19 with up to two weeks of additional sick leave despite the fact that we are not legally obligated to do so. In accordance with CDC guidelines, we have mandated that all employees stay at least 6 feet away from each other and our customers. In addition, we are requiring all our employees to wear face coverings, regardless of whether state or</w:t>
      </w:r>
    </w:p>
    <w:p>
      <w:pPr>
        <w:sectPr>
          <w:pgSz w:w="11900" w:h="16838" w:orient="portrait"/>
          <w:cols w:equalWidth="0" w:num="1">
            <w:col w:w="10880"/>
          </w:cols>
          <w:pgMar w:left="320" w:top="125" w:right="699" w:bottom="0" w:gutter="0" w:footer="0" w:header="0"/>
        </w:sectPr>
      </w:pPr>
    </w:p>
    <w:bookmarkStart w:id="12" w:name="page13"/>
    <w:bookmarkEnd w:id="12"/>
    <w:p>
      <w:pPr>
        <w:jc w:val="both"/>
        <w:spacing w:after="0" w:line="285" w:lineRule="auto"/>
        <w:rPr>
          <w:sz w:val="20"/>
          <w:szCs w:val="20"/>
          <w:color w:val="auto"/>
        </w:rPr>
      </w:pPr>
      <w:r>
        <w:rPr>
          <w:rFonts w:ascii="Arial" w:cs="Arial" w:eastAsia="Arial" w:hAnsi="Arial"/>
          <w:sz w:val="17"/>
          <w:szCs w:val="17"/>
          <w:color w:val="auto"/>
        </w:rPr>
        <w:t>local laws require face coverings, and we are cleaning and disinfecting our facilities on a regular basis. We are also providing curbside parts pick-up, online parts ordering and web-based vehicle service communication to reduce in-person interactions. Our service teams are minimizing contact with customers and taking extra precautions to keep high-touch areas on customer vehicles clean and disinfected.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Vehicle Sales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of the commercial vehicle manufacturers that we represent have resumed operations and their plants are currently producing vehicles.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Aftermarket Products and Services</w:t>
      </w:r>
    </w:p>
    <w:p>
      <w:pPr>
        <w:spacing w:after="0" w:line="224"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6"/>
          <w:szCs w:val="16"/>
          <w:color w:val="auto"/>
        </w:rPr>
        <w:t>With respect to our parts, service and collision center operations (collectively, “Aftermarket Products and Services”), with only a few minor exceptions, our parts supply chain has remained uninterrupted to-date. We believe that the investments we have made over the years in our aftermarket strategic initiatives have enabled us to mitigate the impact of the COVID-19 pandemic on our Aftermarket Products and Service business.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and Leasing Operations</w:t>
      </w:r>
    </w:p>
    <w:p>
      <w:pPr>
        <w:spacing w:after="0" w:line="224"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6"/>
          <w:szCs w:val="16"/>
          <w:color w:val="auto"/>
        </w:rPr>
        <w:t>With respect to our rental and leasing operations during the second quarter, we allowed certain credit-worthy customers that serve industries that have been dramatically impacted by the COVID-19 pandemic to skip up to three months of lease payments and either extend the lease term by three months or increase the remaining payments and keep the same lease term. The majority of these customers have resumed payments.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4"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As of June 30, 2020, our total net liquidity was approximately $321.3 million, including $215.6 million in cash and $105.7 million available under our various credit agreements, excluding our floor plan credit agreements. Our working capital facility (“the Working Capital Facility”) with BMO Harris Bank N.A. (“BMO Harris”) includes up to $100.0 million of revolving credit loans that are available to us for working capital, capital expenditures and other general corporate purposes. We currently have no outstanding draws on this line of credit. We continue to believe that we are well positioned to navigate the economic and industry challenges that may lie ahead as a result of the COVID-19 pandemic. In the second quarter of 2020, we continued the expense reduction measures that we initiated in the first quarter. At this time, we do not anticipate making any further substantial, non-routine expense reductions as a result of the pandemic. For further discussion of our liquidity, see the Liquidity and Capital Resources discussion set forth herein.</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8" w:lineRule="exact"/>
        <w:rPr>
          <w:sz w:val="20"/>
          <w:szCs w:val="20"/>
          <w:color w:val="auto"/>
        </w:rPr>
      </w:pPr>
    </w:p>
    <w:p>
      <w:pPr>
        <w:jc w:val="both"/>
        <w:ind w:right="20" w:firstLine="646"/>
        <w:spacing w:after="0" w:line="289" w:lineRule="auto"/>
        <w:rPr>
          <w:sz w:val="20"/>
          <w:szCs w:val="20"/>
          <w:color w:val="auto"/>
        </w:rPr>
      </w:pPr>
      <w:r>
        <w:rPr>
          <w:rFonts w:ascii="Arial" w:cs="Arial" w:eastAsia="Arial" w:hAnsi="Arial"/>
          <w:sz w:val="16"/>
          <w:szCs w:val="16"/>
          <w:color w:val="auto"/>
        </w:rPr>
        <w:t>The COVID-19 pandemic and resulting shutdown orders that forced many businesses to close, combined with the previously expected industry downturn in new commercial vehicle sales, had a significant negative impact on our financial results in the second quarter. To address the challenging market conditions, we expeditiously implemented steps to appropriately reduce expenses in order to maintain profitability. Based on current market conditions, we believe that the worst may be behind us. However, we expect that any recovery will be intermittent and gradual, and that the COVID-19 pandemic will continue to negatively impact our business for the foreseeable future. With the expense reductions we have put in place over the past two quarters, we feel our business is rightsized to meet the demands of the market while ensuring our long-term financial strength. In recognition of our belief in our financial stability during these uncertain times, we increased the amount of our second quarter dividend by 7.7% over the amount of our first quarter dividend and lifted the previously announced suspension of our stock repurchase program.</w:t>
      </w:r>
    </w:p>
    <w:p>
      <w:pPr>
        <w:spacing w:after="0" w:line="167" w:lineRule="exact"/>
        <w:rPr>
          <w:sz w:val="20"/>
          <w:szCs w:val="20"/>
          <w:color w:val="auto"/>
        </w:rPr>
      </w:pPr>
    </w:p>
    <w:p>
      <w:pPr>
        <w:jc w:val="both"/>
        <w:ind w:right="20" w:firstLine="646"/>
        <w:spacing w:after="0" w:line="273" w:lineRule="auto"/>
        <w:rPr>
          <w:sz w:val="20"/>
          <w:szCs w:val="20"/>
          <w:color w:val="auto"/>
        </w:rPr>
      </w:pPr>
      <w:r>
        <w:rPr>
          <w:rFonts w:ascii="Arial" w:cs="Arial" w:eastAsia="Arial" w:hAnsi="Arial"/>
          <w:sz w:val="17"/>
          <w:szCs w:val="17"/>
          <w:color w:val="auto"/>
        </w:rPr>
        <w:t>A.C.T. Research Co., LLC (“A.C.T. Research”), a commercial vehicle industry data and forecasting service provider, currently forecasts new U.S. Class 8 retail sales to be 159,000 units in 2020, which would represent a 43.5% decrease compared to 2019. As anticipated, our Class 8 new truck sales in the second quarter were down significantly from the same time period in 2019 due to the anticipated industry downturn in new Class 8 truck sales and the COVID-19 pandemic. New truck sales were further impacted by production shutdowns in the beginning of the second quarter by the truck manufacturers we represent. While we are beginning to see quoting activity increase, we believe customers remain hesitant to purchase new vehicles due to uncertainty regarding the COVID-19 pandemic, the economy and the upcoming presidential election.</w:t>
      </w:r>
    </w:p>
    <w:p>
      <w:pPr>
        <w:spacing w:after="0" w:line="174" w:lineRule="exact"/>
        <w:rPr>
          <w:sz w:val="20"/>
          <w:szCs w:val="20"/>
          <w:color w:val="auto"/>
        </w:rPr>
      </w:pPr>
    </w:p>
    <w:p>
      <w:pPr>
        <w:jc w:val="both"/>
        <w:ind w:right="20" w:firstLine="646"/>
        <w:spacing w:after="0" w:line="275" w:lineRule="auto"/>
        <w:rPr>
          <w:sz w:val="20"/>
          <w:szCs w:val="20"/>
          <w:color w:val="auto"/>
        </w:rPr>
      </w:pPr>
      <w:r>
        <w:rPr>
          <w:rFonts w:ascii="Arial" w:cs="Arial" w:eastAsia="Arial" w:hAnsi="Arial"/>
          <w:sz w:val="17"/>
          <w:szCs w:val="17"/>
          <w:color w:val="auto"/>
        </w:rPr>
        <w:t>With respect to new U.S. Class 4-7 retail sales, A.C.T. Research currently forecasts retail sales to be 176,500 units in 2020, which would represent a 33.9% decrease compared to 2019. Similar to our Class 8 new truck sales, our second quarter Class 4 through 7 new commercial vehicle sales were significantly impacted by the COVID-19 pandemic and the overall industry downturn. The current uncertainty about the COVID-19 pandemic and our economy is a particular concern for our medium-duty customers, as many are small businesses. We believe our medium-duty truck sales will continue to be negatively impacted by the pandemic and overall weakness of the economy.</w:t>
      </w:r>
    </w:p>
    <w:p>
      <w:pPr>
        <w:spacing w:after="0" w:line="173"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With respect to our Aftermarket Products and Services business, our second quarter revenues declined significantly as a result of the COVID-19 pandemic. As noted above, we expect that any recovery in our Aftermarket Products and Services business will be gradual, and that COVID-19 will continue to impact our Aftermarket Products and Services revenues for the foreseeable future.</w:t>
      </w:r>
    </w:p>
    <w:p>
      <w:pPr>
        <w:spacing w:after="0" w:line="182"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It should be noted that the declines we saw in our revenues from both commercial vehicle sales and Aftermarket Products and Services sales were generally consistent with the declines in the commercial vehicle industry as a whole during the second quarter. We believe that the worst of the industry downturn may be behind us. However, there is still tremendous uncertainly regarding the full economic impact of the COVID-19 pandemic. Thus, we cannot provide an outlook for the full year 2020, other than to reiterate that we expect that the negative impact on our revenues, and business in general, will be substantial for the foreseeable future. As soon as we believe that we can make reasonable assumptions regarding our business outlook, we intend to start disclosing estimates on commercial vehicle sales, Aftermarket Products and Services sales and other financial metrics in our annual and quarterly reports filed with the SEC as we have historically done.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8"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w:t>
      </w:r>
    </w:p>
    <w:p>
      <w:pPr>
        <w:sectPr>
          <w:pgSz w:w="11900" w:h="16838" w:orient="portrait"/>
          <w:cols w:equalWidth="0" w:num="1">
            <w:col w:w="10880"/>
          </w:cols>
          <w:pgMar w:left="320" w:top="125" w:right="699" w:bottom="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4" w:lineRule="exact"/>
        <w:rPr>
          <w:sz w:val="20"/>
          <w:szCs w:val="20"/>
          <w:color w:val="auto"/>
        </w:rPr>
      </w:pPr>
    </w:p>
    <w:p>
      <w:pPr>
        <w:jc w:val="both"/>
        <w:ind w:firstLine="646"/>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4"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9" w:lineRule="exact"/>
        <w:rPr>
          <w:sz w:val="20"/>
          <w:szCs w:val="20"/>
          <w:color w:val="auto"/>
        </w:rPr>
      </w:pPr>
    </w:p>
    <w:p>
      <w:pPr>
        <w:jc w:val="both"/>
        <w:ind w:firstLine="646"/>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2" w:lineRule="exact"/>
        <w:rPr>
          <w:sz w:val="20"/>
          <w:szCs w:val="20"/>
          <w:color w:val="auto"/>
        </w:rPr>
      </w:pPr>
    </w:p>
    <w:p>
      <w:pPr>
        <w:jc w:val="both"/>
        <w:ind w:firstLine="646"/>
        <w:spacing w:after="0" w:line="306" w:lineRule="auto"/>
        <w:rPr>
          <w:sz w:val="20"/>
          <w:szCs w:val="20"/>
          <w:color w:val="auto"/>
        </w:rPr>
      </w:pPr>
      <w:r>
        <w:rPr>
          <w:rFonts w:ascii="Arial" w:cs="Arial" w:eastAsia="Arial" w:hAnsi="Arial"/>
          <w:sz w:val="17"/>
          <w:szCs w:val="17"/>
          <w:color w:val="auto"/>
        </w:rPr>
        <w:t>Goodwill was tested for impairment during the fourth quarter of 2019 and no impairment was required. The fair value of our reporting unit exceeded the carrying value of its net assets. As a result, we were not required to conduct the second step of the impairment test.</w:t>
      </w:r>
    </w:p>
    <w:p>
      <w:pPr>
        <w:spacing w:after="0" w:line="148" w:lineRule="exact"/>
        <w:rPr>
          <w:sz w:val="20"/>
          <w:szCs w:val="20"/>
          <w:color w:val="auto"/>
        </w:rPr>
      </w:pPr>
    </w:p>
    <w:p>
      <w:pPr>
        <w:jc w:val="both"/>
        <w:ind w:firstLine="646"/>
        <w:spacing w:after="0" w:line="296" w:lineRule="auto"/>
        <w:rPr>
          <w:sz w:val="20"/>
          <w:szCs w:val="20"/>
          <w:color w:val="auto"/>
        </w:rPr>
      </w:pPr>
      <w:r>
        <w:rPr>
          <w:rFonts w:ascii="Arial" w:cs="Arial" w:eastAsia="Arial" w:hAnsi="Arial"/>
          <w:sz w:val="16"/>
          <w:szCs w:val="16"/>
          <w:color w:val="auto"/>
        </w:rPr>
        <w:t>Due to the COVID-19 pandemic, in the first quarter of 2020 we reviewed the estimates in our fourth quarter 2019 goodwill model and updated the projections for 2020 through 2024. Based on the revised projections, it was determined that no impairment of the Truck Segment goodwill was required. The duration and severity of the COVID-19 pandemic could result in future impairment charges for the Truck Segment. A prolonged pandemic could impact the results of operations due to changes to assumptions utilized in the determination of the estimated fair values of the Truck Segment reporting unit. Sales and earnings growth rates could be negatively impacted by reductions or changes in demand for our products.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9"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4"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2"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6"/>
          <w:szCs w:val="16"/>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w:t>
      </w:r>
    </w:p>
    <w:p>
      <w:pPr>
        <w:sectPr>
          <w:pgSz w:w="11900" w:h="16838" w:orient="portrait"/>
          <w:cols w:equalWidth="0" w:num="1">
            <w:col w:w="10880"/>
          </w:cols>
          <w:pgMar w:left="320" w:top="125" w:right="699" w:bottom="0" w:gutter="0" w:footer="0" w:header="0"/>
        </w:sectPr>
      </w:pPr>
    </w:p>
    <w:bookmarkStart w:id="14" w:name="page15"/>
    <w:bookmarkEnd w:id="14"/>
    <w:p>
      <w:pPr>
        <w:jc w:val="both"/>
        <w:ind w:right="120"/>
        <w:spacing w:after="0" w:line="258" w:lineRule="auto"/>
        <w:rPr>
          <w:sz w:val="20"/>
          <w:szCs w:val="20"/>
          <w:color w:val="auto"/>
        </w:rPr>
      </w:pPr>
      <w:r>
        <w:rPr>
          <w:rFonts w:ascii="Arial" w:cs="Arial" w:eastAsia="Arial" w:hAnsi="Arial"/>
          <w:sz w:val="18"/>
          <w:szCs w:val="18"/>
          <w:color w:val="auto"/>
        </w:rPr>
        <w:t>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4" w:lineRule="exact"/>
        <w:rPr>
          <w:sz w:val="20"/>
          <w:szCs w:val="20"/>
          <w:color w:val="auto"/>
        </w:rPr>
      </w:pPr>
    </w:p>
    <w:p>
      <w:pPr>
        <w:jc w:val="both"/>
        <w:ind w:right="140" w:firstLine="646"/>
        <w:spacing w:after="0" w:line="268" w:lineRule="auto"/>
        <w:rPr>
          <w:sz w:val="20"/>
          <w:szCs w:val="20"/>
          <w:color w:val="auto"/>
        </w:rPr>
      </w:pPr>
      <w:r>
        <w:rPr>
          <w:rFonts w:ascii="Arial" w:cs="Arial" w:eastAsia="Arial" w:hAnsi="Arial"/>
          <w:sz w:val="17"/>
          <w:szCs w:val="17"/>
          <w:color w:val="auto"/>
        </w:rPr>
        <w:t xml:space="preserve">Effective January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4" w:lineRule="exact"/>
        <w:rPr>
          <w:sz w:val="20"/>
          <w:szCs w:val="20"/>
          <w:color w:val="auto"/>
        </w:rPr>
      </w:pPr>
    </w:p>
    <w:p>
      <w:pPr>
        <w:jc w:val="both"/>
        <w:ind w:right="160" w:firstLine="646"/>
        <w:spacing w:after="0" w:line="311" w:lineRule="auto"/>
        <w:rPr>
          <w:sz w:val="20"/>
          <w:szCs w:val="20"/>
          <w:color w:val="auto"/>
        </w:rPr>
      </w:pPr>
      <w:r>
        <w:rPr>
          <w:rFonts w:ascii="Arial" w:cs="Arial" w:eastAsia="Arial" w:hAnsi="Arial"/>
          <w:sz w:val="16"/>
          <w:szCs w:val="16"/>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47" w:lineRule="exact"/>
        <w:rPr>
          <w:sz w:val="20"/>
          <w:szCs w:val="20"/>
          <w:color w:val="auto"/>
        </w:rPr>
      </w:pPr>
    </w:p>
    <w:p>
      <w:pPr>
        <w:jc w:val="both"/>
        <w:ind w:right="160" w:firstLine="646"/>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82" w:lineRule="exact"/>
        <w:rPr>
          <w:sz w:val="20"/>
          <w:szCs w:val="20"/>
          <w:color w:val="auto"/>
        </w:rPr>
      </w:pPr>
    </w:p>
    <w:p>
      <w:pPr>
        <w:jc w:val="both"/>
        <w:ind w:right="160" w:firstLine="646"/>
        <w:spacing w:after="0" w:line="276" w:lineRule="auto"/>
        <w:rPr>
          <w:sz w:val="20"/>
          <w:szCs w:val="20"/>
          <w:color w:val="auto"/>
        </w:rPr>
      </w:pPr>
      <w:r>
        <w:rPr>
          <w:rFonts w:ascii="Arial" w:cs="Arial" w:eastAsia="Arial" w:hAnsi="Arial"/>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4" w:lineRule="exact"/>
        <w:rPr>
          <w:sz w:val="20"/>
          <w:szCs w:val="20"/>
          <w:color w:val="auto"/>
        </w:rPr>
      </w:pPr>
    </w:p>
    <w:p>
      <w:pPr>
        <w:jc w:val="both"/>
        <w:ind w:right="160" w:firstLine="646"/>
        <w:spacing w:after="0" w:line="268" w:lineRule="auto"/>
        <w:rPr>
          <w:sz w:val="20"/>
          <w:szCs w:val="20"/>
          <w:color w:val="auto"/>
        </w:rPr>
      </w:pPr>
      <w:r>
        <w:rPr>
          <w:rFonts w:ascii="Arial" w:cs="Arial" w:eastAsia="Arial" w:hAnsi="Arial"/>
          <w:sz w:val="17"/>
          <w:szCs w:val="17"/>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and leasing receivables and other trade receivables). For trade receivables, we use the probability of default and our historical loss experience rates by portfolio and apply them to a related aging analysis while also considering customer and/or economic risk where appropriate. Determination of the proper amount of allowances by portfolio requires management to exercise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jc w:val="both"/>
        <w:ind w:right="160" w:firstLine="646"/>
        <w:spacing w:after="0" w:line="276"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six months periods ended June 30, 2020 and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27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5"/>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r>
      <w:tr>
        <w:trPr>
          <w:trHeight w:val="215"/>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r>
      <w:tr>
        <w:trPr>
          <w:trHeight w:val="215"/>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160" w:type="dxa"/>
            <w:vAlign w:val="bottom"/>
          </w:tcPr>
          <w:p>
            <w:pPr>
              <w:jc w:val="right"/>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82.6</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81.4</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r>
      <w:tr>
        <w:trPr>
          <w:trHeight w:val="215"/>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r>
      <w:tr>
        <w:trPr>
          <w:trHeight w:val="215"/>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ectPr>
          <w:pgSz w:w="11900" w:h="16838" w:orient="portrait"/>
          <w:cols w:equalWidth="0" w:num="1">
            <w:col w:w="11000"/>
          </w:cols>
          <w:pgMar w:left="320" w:top="125" w:right="579" w:bottom="0" w:gutter="0" w:footer="0" w:header="0"/>
        </w:sectPr>
      </w:pPr>
    </w:p>
    <w:bookmarkStart w:id="15" w:name="page16"/>
    <w:bookmarkEnd w:id="15"/>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3.5</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2.3</w:t>
            </w:r>
          </w:p>
        </w:tc>
        <w:tc>
          <w:tcPr>
            <w:tcW w:w="1160" w:type="dxa"/>
            <w:vAlign w:val="bottom"/>
          </w:tcPr>
          <w:p>
            <w:pPr>
              <w:ind w:left="940"/>
              <w:spacing w:after="0"/>
              <w:rPr>
                <w:sz w:val="20"/>
                <w:szCs w:val="20"/>
                <w:color w:val="auto"/>
              </w:rPr>
            </w:pPr>
            <w:r>
              <w:rPr>
                <w:rFonts w:ascii="Arial" w:cs="Arial" w:eastAsia="Arial" w:hAnsi="Arial"/>
                <w:sz w:val="18"/>
                <w:szCs w:val="18"/>
                <w:color w:val="auto"/>
                <w:w w:val="79"/>
              </w:rPr>
              <w:t>3.6</w:t>
            </w:r>
          </w:p>
        </w:tc>
        <w:tc>
          <w:tcPr>
            <w:tcW w:w="160" w:type="dxa"/>
            <w:vAlign w:val="bottom"/>
          </w:tcPr>
          <w:p>
            <w:pPr>
              <w:spacing w:after="0"/>
              <w:rPr>
                <w:sz w:val="19"/>
                <w:szCs w:val="19"/>
                <w:color w:val="auto"/>
              </w:rPr>
            </w:pPr>
          </w:p>
        </w:tc>
      </w:tr>
      <w:tr>
        <w:trPr>
          <w:trHeight w:val="215"/>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0.5</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0.8</w:t>
            </w: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0.6</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79"/>
              </w:rPr>
              <w:t>0.9</w:t>
            </w:r>
          </w:p>
        </w:tc>
        <w:tc>
          <w:tcPr>
            <w:tcW w:w="160" w:type="dxa"/>
            <w:vAlign w:val="bottom"/>
            <w:shd w:val="clear" w:color="auto" w:fill="CCEEFF"/>
          </w:tcPr>
          <w:p>
            <w:pPr>
              <w:spacing w:after="0"/>
              <w:rPr>
                <w:sz w:val="18"/>
                <w:szCs w:val="18"/>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2.7%</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w w:val="87"/>
              </w:rPr>
              <w:t>2.7%</w:t>
            </w: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27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5"/>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15"/>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r>
      <w:tr>
        <w:trPr>
          <w:trHeight w:val="215"/>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425"/>
        </w:trPr>
        <w:tc>
          <w:tcPr>
            <w:tcW w:w="5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480"/>
        <w:spacing w:after="0" w:line="276"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(revenues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7"/>
          </w:tcPr>
          <w:p>
            <w:pPr>
              <w:jc w:val="center"/>
              <w:ind w:left="65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18"/>
                <w:szCs w:val="18"/>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4,119</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7,677</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r>
      <w:tr>
        <w:trPr>
          <w:trHeight w:val="20"/>
        </w:trPr>
        <w:tc>
          <w:tcPr>
            <w:tcW w:w="2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8,704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15,415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Used vehicles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2,101</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3,941</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287.7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611.2</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758.5</w:t>
            </w:r>
          </w:p>
        </w:tc>
        <w:tc>
          <w:tcPr>
            <w:tcW w:w="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1,142.1</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r>
      <w:tr>
        <w:trPr>
          <w:trHeight w:val="20"/>
        </w:trPr>
        <w:tc>
          <w:tcPr>
            <w:tcW w:w="2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Used vehicle 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126.6</w:t>
            </w:r>
          </w:p>
        </w:tc>
        <w:tc>
          <w:tcPr>
            <w:tcW w:w="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r>
      <w:tr>
        <w:trPr>
          <w:trHeight w:val="215"/>
        </w:trPr>
        <w:tc>
          <w:tcPr>
            <w:tcW w:w="2980" w:type="dxa"/>
            <w:vAlign w:val="bottom"/>
            <w:shd w:val="clear" w:color="auto" w:fill="CCEEFF"/>
          </w:tcPr>
          <w:p>
            <w:pPr>
              <w:spacing w:after="0" w:line="216" w:lineRule="exact"/>
              <w:rPr>
                <w:sz w:val="20"/>
                <w:szCs w:val="20"/>
                <w:color w:val="auto"/>
              </w:rPr>
            </w:pPr>
            <w:r>
              <w:rPr>
                <w:rFonts w:ascii="Arial" w:cs="Arial" w:eastAsia="Arial" w:hAnsi="Arial"/>
                <w:sz w:val="15"/>
                <w:szCs w:val="15"/>
                <w:b w:val="1"/>
                <w:bCs w:val="1"/>
                <w:color w:val="auto"/>
              </w:rPr>
              <w:t>Other vehicle revenue:</w:t>
            </w:r>
            <w:r>
              <w:rPr>
                <w:rFonts w:ascii="Arial" w:cs="Arial" w:eastAsia="Arial" w:hAnsi="Arial"/>
                <w:sz w:val="24"/>
                <w:szCs w:val="24"/>
                <w:color w:val="auto"/>
                <w:vertAlign w:val="superscript"/>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Dealership absorption ratio:</w:t>
            </w:r>
          </w:p>
        </w:tc>
        <w:tc>
          <w:tcPr>
            <w:tcW w:w="2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4" w:lineRule="exact"/>
        <w:rPr>
          <w:sz w:val="20"/>
          <w:szCs w:val="20"/>
          <w:color w:val="auto"/>
        </w:rPr>
      </w:pPr>
    </w:p>
    <w:p>
      <w:pPr>
        <w:jc w:val="both"/>
        <w:ind w:right="460" w:firstLine="646"/>
        <w:spacing w:after="0" w:line="293" w:lineRule="auto"/>
        <w:rPr>
          <w:sz w:val="20"/>
          <w:szCs w:val="20"/>
          <w:color w:val="auto"/>
        </w:rPr>
      </w:pPr>
      <w:r>
        <w:rPr>
          <w:rFonts w:ascii="Arial" w:cs="Arial" w:eastAsia="Arial" w:hAnsi="Arial"/>
          <w:sz w:val="16"/>
          <w:szCs w:val="16"/>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110.2% absorption ratio for the second quarter of 2020 and a 122.4% absorption ratio for the second quarter of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Revenues</w:t>
      </w:r>
    </w:p>
    <w:p>
      <w:pPr>
        <w:spacing w:after="0" w:line="224" w:lineRule="exact"/>
        <w:rPr>
          <w:sz w:val="20"/>
          <w:szCs w:val="20"/>
          <w:color w:val="auto"/>
        </w:rPr>
      </w:pPr>
    </w:p>
    <w:p>
      <w:pPr>
        <w:jc w:val="both"/>
        <w:ind w:right="460" w:firstLine="646"/>
        <w:spacing w:after="0" w:line="263" w:lineRule="auto"/>
        <w:rPr>
          <w:sz w:val="20"/>
          <w:szCs w:val="20"/>
          <w:color w:val="auto"/>
        </w:rPr>
      </w:pPr>
      <w:r>
        <w:rPr>
          <w:rFonts w:ascii="Arial" w:cs="Arial" w:eastAsia="Arial" w:hAnsi="Arial"/>
          <w:sz w:val="18"/>
          <w:szCs w:val="18"/>
          <w:color w:val="auto"/>
        </w:rPr>
        <w:t>Total revenues decreased $542.0 million, or 35.1%, in the second quarter of 2020, compared to the second quarter of 2019. This decline was primarily due to the effects of the COVID-19 pandemic, in addition to fewer new commercial vehicle sales resulting from the anticipated industry downturn.</w:t>
      </w:r>
    </w:p>
    <w:p>
      <w:pPr>
        <w:spacing w:after="0" w:line="182" w:lineRule="exact"/>
        <w:rPr>
          <w:sz w:val="20"/>
          <w:szCs w:val="20"/>
          <w:color w:val="auto"/>
        </w:rPr>
      </w:pPr>
    </w:p>
    <w:p>
      <w:pPr>
        <w:jc w:val="both"/>
        <w:ind w:right="440" w:firstLine="646"/>
        <w:spacing w:after="0" w:line="306" w:lineRule="auto"/>
        <w:rPr>
          <w:sz w:val="20"/>
          <w:szCs w:val="20"/>
          <w:color w:val="auto"/>
        </w:rPr>
      </w:pPr>
      <w:r>
        <w:rPr>
          <w:rFonts w:ascii="Arial" w:cs="Arial" w:eastAsia="Arial" w:hAnsi="Arial"/>
          <w:sz w:val="17"/>
          <w:szCs w:val="17"/>
          <w:color w:val="auto"/>
        </w:rPr>
        <w:t>Our Aftermarket Products and Services revenues decreased $70.6 million, or 15.8%, in the second quarter of 2020, compared to the second quarter of 2019. This decline was consistent with what is happening across the industry as a result of the COVID-19 pandemic.</w:t>
      </w:r>
    </w:p>
    <w:p>
      <w:pPr>
        <w:spacing w:after="0" w:line="148" w:lineRule="exact"/>
        <w:rPr>
          <w:sz w:val="20"/>
          <w:szCs w:val="20"/>
          <w:color w:val="auto"/>
        </w:rPr>
      </w:pPr>
    </w:p>
    <w:p>
      <w:pPr>
        <w:jc w:val="both"/>
        <w:ind w:right="440" w:firstLine="646"/>
        <w:spacing w:after="0" w:line="263" w:lineRule="auto"/>
        <w:rPr>
          <w:sz w:val="20"/>
          <w:szCs w:val="20"/>
          <w:color w:val="auto"/>
        </w:rPr>
      </w:pPr>
      <w:r>
        <w:rPr>
          <w:rFonts w:ascii="Arial" w:cs="Arial" w:eastAsia="Arial" w:hAnsi="Arial"/>
          <w:sz w:val="18"/>
          <w:szCs w:val="18"/>
          <w:color w:val="auto"/>
        </w:rPr>
        <w:t>Revenues from sales of new and used commercial vehicles decreased $465.7 million, or 45.4%, in the second quarter of 2020, compared to the second quarter of 2019. This decline was a result of both the COVID-19 pandemic and the anticipated downturn in new commercial vehicle sales resulting from record to near-record sales of commercial vehicles in 2018 and 2019.</w:t>
      </w:r>
    </w:p>
    <w:p>
      <w:pPr>
        <w:spacing w:after="0" w:line="182" w:lineRule="exact"/>
        <w:rPr>
          <w:sz w:val="20"/>
          <w:szCs w:val="20"/>
          <w:color w:val="auto"/>
        </w:rPr>
      </w:pPr>
    </w:p>
    <w:p>
      <w:pPr>
        <w:jc w:val="both"/>
        <w:ind w:right="460" w:firstLine="646"/>
        <w:spacing w:after="0" w:line="263" w:lineRule="auto"/>
        <w:rPr>
          <w:sz w:val="20"/>
          <w:szCs w:val="20"/>
          <w:color w:val="auto"/>
        </w:rPr>
      </w:pPr>
      <w:r>
        <w:rPr>
          <w:rFonts w:ascii="Arial" w:cs="Arial" w:eastAsia="Arial" w:hAnsi="Arial"/>
          <w:sz w:val="18"/>
          <w:szCs w:val="18"/>
          <w:color w:val="auto"/>
        </w:rPr>
        <w:t>We sold 1,866 new Class 8 trucks in the second quarter of 2020, a 54.7% decrease compared to 4,119 new Class 8 trucks in the second quarter of 2019. According to A.C.T. Research, new U. S. Class 8 truck retail sales are estimated to total 159,000 truck units in 2020, a 43.5% decrease compared to 281,440 units sold in 2019.</w:t>
      </w:r>
    </w:p>
    <w:p>
      <w:pPr>
        <w:sectPr>
          <w:pgSz w:w="11900" w:h="16838" w:orient="portrait"/>
          <w:cols w:equalWidth="0" w:num="1">
            <w:col w:w="11320"/>
          </w:cols>
          <w:pgMar w:left="320" w:top="125" w:right="259" w:bottom="0" w:gutter="0" w:footer="0" w:header="0"/>
        </w:sectPr>
      </w:pP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125" w:right="259" w:bottom="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firstLine="646"/>
        <w:spacing w:after="0" w:line="311" w:lineRule="auto"/>
        <w:rPr>
          <w:sz w:val="20"/>
          <w:szCs w:val="20"/>
          <w:color w:val="auto"/>
        </w:rPr>
      </w:pPr>
      <w:r>
        <w:rPr>
          <w:rFonts w:ascii="Arial" w:cs="Arial" w:eastAsia="Arial" w:hAnsi="Arial"/>
          <w:sz w:val="16"/>
          <w:szCs w:val="16"/>
          <w:color w:val="auto"/>
        </w:rPr>
        <w:t>We sold 2,333 new Class 4 through 7 commercial vehicles, including 204 buses, in the second quarter of 2020, a 39.7% decrease compared to 3,866 new medium-duty commercial vehicles, including 299 buses, in the second quarter of 2019. According to A.C.T. Research, new U. S. Class 4 through 7 commercial vehicle retail sales are estimated to total 176,500 units in 2020, a 33.9% decrease compared to 266,977 units sold in 2019.</w:t>
      </w:r>
    </w:p>
    <w:p>
      <w:pPr>
        <w:spacing w:after="0" w:line="147"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We sold 254 light-duty vehicles in the second quarter of 2020, a 64.7% decrease compared to 719 light-duty vehicles sold in the second quarter of 2019.</w:t>
      </w:r>
    </w:p>
    <w:p>
      <w:pPr>
        <w:spacing w:after="0" w:line="170" w:lineRule="exact"/>
        <w:rPr>
          <w:sz w:val="20"/>
          <w:szCs w:val="20"/>
          <w:color w:val="auto"/>
        </w:rPr>
      </w:pPr>
    </w:p>
    <w:p>
      <w:pPr>
        <w:jc w:val="both"/>
        <w:ind w:right="20" w:firstLine="646"/>
        <w:spacing w:after="0" w:line="276" w:lineRule="auto"/>
        <w:rPr>
          <w:sz w:val="20"/>
          <w:szCs w:val="20"/>
          <w:color w:val="auto"/>
        </w:rPr>
      </w:pPr>
      <w:r>
        <w:rPr>
          <w:rFonts w:ascii="Arial" w:cs="Arial" w:eastAsia="Arial" w:hAnsi="Arial"/>
          <w:sz w:val="18"/>
          <w:szCs w:val="18"/>
          <w:color w:val="auto"/>
        </w:rPr>
        <w:t>We sold 1,768 used commercial vehicles in the second quarter of 2020, a 15.8% decrease compared to 2,101 used commercial vehicles sold in the second quarter of 2019.</w:t>
      </w:r>
    </w:p>
    <w:p>
      <w:pPr>
        <w:spacing w:after="0" w:line="170"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Commercial vehicle lease and rental revenues decreased $4.3 million, or 7.0%, in the second quarter of 2020, compared to the second quarter of 2019. This decrease is primarily related to the decrease in size and utilization of the rental fleet.</w:t>
      </w:r>
    </w:p>
    <w:p>
      <w:pPr>
        <w:spacing w:after="0" w:line="170"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7"/>
          <w:szCs w:val="17"/>
          <w:color w:val="auto"/>
        </w:rPr>
        <w:t>Finance and insurance revenues decreased $1.4 million, or 22.5%, in the second quarter of 2020, compared to the second quarter of 2019. We expect finance and insurance revenues to fluctuate proportionately with our new and used commercial vehicle sales in 2020. Finance and insurance revenues have limited direct costs and, therefore, contribute a disproportionate share of our operating profits.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4" w:lineRule="exact"/>
        <w:rPr>
          <w:sz w:val="20"/>
          <w:szCs w:val="20"/>
          <w:color w:val="auto"/>
        </w:rPr>
      </w:pPr>
    </w:p>
    <w:p>
      <w:pPr>
        <w:jc w:val="both"/>
        <w:ind w:right="20" w:firstLine="646"/>
        <w:spacing w:after="0" w:line="254" w:lineRule="auto"/>
        <w:rPr>
          <w:sz w:val="20"/>
          <w:szCs w:val="20"/>
          <w:color w:val="auto"/>
        </w:rPr>
      </w:pPr>
      <w:r>
        <w:rPr>
          <w:rFonts w:ascii="Arial" w:cs="Arial" w:eastAsia="Arial" w:hAnsi="Arial"/>
          <w:sz w:val="18"/>
          <w:szCs w:val="18"/>
          <w:color w:val="auto"/>
        </w:rPr>
        <w:t>Gross profit decreased $77.2 million, or 28.6%, in the second quarter of 2020, compared to the second quarter of 2019. This decrease is primarily related to the industry downturn in commercial vehicle sales and the challenging market conditions caused by the COVID-19 pandemic. Gross profit as a percentage of sales increased to 19.2% in the second quarter of 2020, from 17.4% in the second quarter of 2019. This increase in gross profit as a percentage of sales is a result of a change in our product sales mix. Commercial vehicle sales, a lower margin revenue item, decreased as a percentage of total revenues to 55.8% in the second quarter of 2020, from 66.4% in the second quarter of 2019. Aftermarket Products and Services revenues, a higher margin revenue item, increased as a percentage of total revenues to 37.7% in the second quarter of 2020, from 29.0% in the second quarter of 2019.</w:t>
      </w:r>
    </w:p>
    <w:p>
      <w:pPr>
        <w:spacing w:after="0" w:line="191" w:lineRule="exact"/>
        <w:rPr>
          <w:sz w:val="20"/>
          <w:szCs w:val="20"/>
          <w:color w:val="auto"/>
        </w:rPr>
      </w:pPr>
    </w:p>
    <w:p>
      <w:pPr>
        <w:jc w:val="both"/>
        <w:ind w:right="20" w:firstLine="646"/>
        <w:spacing w:after="0" w:line="291" w:lineRule="auto"/>
        <w:rPr>
          <w:sz w:val="20"/>
          <w:szCs w:val="20"/>
          <w:color w:val="auto"/>
        </w:rPr>
      </w:pPr>
      <w:r>
        <w:rPr>
          <w:rFonts w:ascii="Arial" w:cs="Arial" w:eastAsia="Arial" w:hAnsi="Arial"/>
          <w:sz w:val="16"/>
          <w:szCs w:val="16"/>
          <w:color w:val="auto"/>
        </w:rPr>
        <w:t>Gross margins from our Aftermarket Products and Services operations decreased to 37.2% in the second quarter of 2020, from 39.2% in the second quarter of 2019. This decrease is primarily related to the decrease in parts rebates and purchase discounts from parts suppliers in the second quarter of 2020. Gross profit from our Aftermarket Products and Services operations decreased to $140.4 million in the second quarter of 2020, from $175.5 million in the second quarter of 2019. Historically, gross margins on parts sales range from 27% to 28% and gross margins on service and collision center operations range from 61% to 65%. Gross profits from parts sales represented 60% of total gross profit from Aftermarket Products and Services operations in the second quarter of 2020 and 61% in the second quarter of 2019. Service and collision center operations represented 40% of total gross profit from Aftermarket Products and Services operations in the second quarter of 2020 and 39% in the second quarter of 2019.</w:t>
      </w:r>
    </w:p>
    <w:p>
      <w:pPr>
        <w:spacing w:after="0" w:line="162" w:lineRule="exact"/>
        <w:rPr>
          <w:sz w:val="20"/>
          <w:szCs w:val="20"/>
          <w:color w:val="auto"/>
        </w:rPr>
      </w:pPr>
    </w:p>
    <w:p>
      <w:pPr>
        <w:jc w:val="both"/>
        <w:ind w:right="40" w:firstLine="646"/>
        <w:spacing w:after="0" w:line="263" w:lineRule="auto"/>
        <w:rPr>
          <w:sz w:val="20"/>
          <w:szCs w:val="20"/>
          <w:color w:val="auto"/>
        </w:rPr>
      </w:pPr>
      <w:r>
        <w:rPr>
          <w:rFonts w:ascii="Arial" w:cs="Arial" w:eastAsia="Arial" w:hAnsi="Arial"/>
          <w:sz w:val="18"/>
          <w:szCs w:val="18"/>
          <w:color w:val="auto"/>
        </w:rPr>
        <w:t>Gross margins on new Class 8 truck sales decreased to 7.3% in the second quarter of 2020, from 8.1% in the second quarter of 2019. This decrease is primarily related to the industry downturn in commercial vehicle sales and the challenging market conditions caused by the COVID-19 pandemic.</w:t>
      </w:r>
    </w:p>
    <w:p>
      <w:pPr>
        <w:spacing w:after="0" w:line="182"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Gross margins on new Class 4 through 7 commercial vehicle sales increased to 6.1% in the second quarter of 2020, from 5.1% in the second quarter of 2019. This increase is primarily due to the mix of purchasers during the second quarter of 2020.</w:t>
      </w:r>
    </w:p>
    <w:p>
      <w:pPr>
        <w:spacing w:after="0" w:line="170" w:lineRule="exact"/>
        <w:rPr>
          <w:sz w:val="20"/>
          <w:szCs w:val="20"/>
          <w:color w:val="auto"/>
        </w:rPr>
      </w:pPr>
    </w:p>
    <w:p>
      <w:pPr>
        <w:jc w:val="both"/>
        <w:ind w:right="20" w:firstLine="646"/>
        <w:spacing w:after="0" w:line="285" w:lineRule="auto"/>
        <w:rPr>
          <w:sz w:val="20"/>
          <w:szCs w:val="20"/>
          <w:color w:val="auto"/>
        </w:rPr>
      </w:pPr>
      <w:r>
        <w:rPr>
          <w:rFonts w:ascii="Arial" w:cs="Arial" w:eastAsia="Arial" w:hAnsi="Arial"/>
          <w:sz w:val="17"/>
          <w:szCs w:val="17"/>
          <w:color w:val="auto"/>
        </w:rPr>
        <w:t>Gross margins on used commercial vehicle sales decreased to 5.4% in the second quarter of 2020, from 8.3% in the second quarter of 2019. This decrease is due to weak demand for used trucks caused by the COVID-19 pandemic and write-downs of used truck inventory to appropriately value our inventory for current market conditions caused by the current oversupply of used trucks in the U.S. used truck market.</w:t>
      </w:r>
    </w:p>
    <w:p>
      <w:pPr>
        <w:spacing w:after="0" w:line="166"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7"/>
          <w:szCs w:val="17"/>
          <w:color w:val="auto"/>
        </w:rPr>
        <w:t>Gross margins from truck lease and rental sales decreased to 10.1% in the second quarter of 2020, from 16.7% in the second quarter of 2019. This decrease is primarily related to decreased rental utilization and the decrease in variable revenue that is based on miles driven by our lease customers.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0" w:firstLine="646"/>
        <w:spacing w:after="0" w:line="276" w:lineRule="auto"/>
        <w:rPr>
          <w:sz w:val="20"/>
          <w:szCs w:val="20"/>
          <w:color w:val="auto"/>
        </w:rPr>
      </w:pPr>
      <w:r>
        <w:rPr>
          <w:rFonts w:ascii="Arial" w:cs="Arial" w:eastAsia="Arial" w:hAnsi="Arial"/>
          <w:sz w:val="18"/>
          <w:szCs w:val="18"/>
          <w:color w:val="auto"/>
        </w:rPr>
        <w:t>Finance and insurance revenues and other revenues,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4"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color w:val="auto"/>
        </w:rPr>
        <w:t>Selling, General and Administrative (“SG&amp;A”) expenses decreased $37.8 million, or 19.5%, in the second quarter of 2020, compared to the second quarter of 2019. SG&amp;A expenses as a percentage of total revenues increased to 15.6% in the second quarter of 2020, from 12.5% in the second quarter of 2019. Annual SG&amp;A expenses as a percentage of total revenues have ranged from 12.4% to 13.9% over the last five years. In general, when new and used commercial vehicle revenues decrease as a percentage of total revenues, SG&amp;A expenses as a percentage of total revenues will be at the higher end of this range. For 2020, we expect SG&amp;A expenses as a percentage of total revenues to range from 14.5% to 16.0% and the selling portion of SG&amp;A expenses to be approximately 25.0% to 30.0% of new and used commercial vehicle gross profit.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4" w:lineRule="exact"/>
        <w:rPr>
          <w:sz w:val="20"/>
          <w:szCs w:val="20"/>
          <w:color w:val="auto"/>
        </w:rPr>
      </w:pPr>
    </w:p>
    <w:p>
      <w:pPr>
        <w:jc w:val="both"/>
        <w:ind w:right="20" w:firstLine="646"/>
        <w:spacing w:after="0" w:line="263" w:lineRule="auto"/>
        <w:rPr>
          <w:sz w:val="20"/>
          <w:szCs w:val="20"/>
          <w:color w:val="auto"/>
        </w:rPr>
      </w:pPr>
      <w:r>
        <w:rPr>
          <w:rFonts w:ascii="Arial" w:cs="Arial" w:eastAsia="Arial" w:hAnsi="Arial"/>
          <w:sz w:val="18"/>
          <w:szCs w:val="18"/>
          <w:color w:val="auto"/>
        </w:rPr>
        <w:t>Depreciation and amortization expense increased $1.0 million, or 6.8%, in the second quarter of 2020, compared to the second quarter of 2019. This increase in depreciation expense is a result of dealership construction projects that were completed during 2019 and purchases of computer equipment across our dealerships.</w:t>
      </w:r>
    </w:p>
    <w:p>
      <w:pPr>
        <w:sectPr>
          <w:pgSz w:w="11900" w:h="16838" w:orient="portrait"/>
          <w:cols w:equalWidth="0" w:num="1">
            <w:col w:w="10880"/>
          </w:cols>
          <w:pgMar w:left="320" w:top="125" w:right="699" w:bottom="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Interest Expense, Net</w:t>
      </w:r>
    </w:p>
    <w:p>
      <w:pPr>
        <w:spacing w:after="0" w:line="224" w:lineRule="exact"/>
        <w:rPr>
          <w:sz w:val="20"/>
          <w:szCs w:val="20"/>
          <w:color w:val="auto"/>
        </w:rPr>
      </w:pPr>
    </w:p>
    <w:p>
      <w:pPr>
        <w:jc w:val="both"/>
        <w:ind w:right="40" w:firstLine="646"/>
        <w:spacing w:after="0" w:line="278" w:lineRule="auto"/>
        <w:rPr>
          <w:sz w:val="20"/>
          <w:szCs w:val="20"/>
          <w:color w:val="auto"/>
        </w:rPr>
      </w:pPr>
      <w:r>
        <w:rPr>
          <w:rFonts w:ascii="Arial" w:cs="Arial" w:eastAsia="Arial" w:hAnsi="Arial"/>
          <w:sz w:val="17"/>
          <w:szCs w:val="17"/>
          <w:color w:val="auto"/>
        </w:rPr>
        <w:t>Net interest expense decreased $5.9 million, or 72.6%, in the second quarter of 2020, compared to the second quarter of 2019. This decrease in interest expense is a result of the decrease in inventory levels and lower floor plan interest rates in the second quarter of 2020, compared to the second quarter of 2019. We expect net interest expense in 2020 to decrease, but the amount of the decrease will depend on inventory levels, interest rate fluctuations and the amount of cash available to make prepayments on our floor plan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As a result of the factors described above, income before income taxes decreased $31.9 million, or 58.6%, in the second quarter of 2020, compared to the second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4" w:lineRule="exact"/>
        <w:rPr>
          <w:sz w:val="20"/>
          <w:szCs w:val="20"/>
          <w:color w:val="auto"/>
        </w:rPr>
      </w:pPr>
    </w:p>
    <w:p>
      <w:pPr>
        <w:jc w:val="both"/>
        <w:ind w:firstLine="646"/>
        <w:spacing w:after="0" w:line="263" w:lineRule="auto"/>
        <w:rPr>
          <w:sz w:val="20"/>
          <w:szCs w:val="20"/>
          <w:color w:val="auto"/>
        </w:rPr>
      </w:pPr>
      <w:r>
        <w:rPr>
          <w:rFonts w:ascii="Arial" w:cs="Arial" w:eastAsia="Arial" w:hAnsi="Arial"/>
          <w:sz w:val="18"/>
          <w:szCs w:val="18"/>
          <w:color w:val="auto"/>
        </w:rPr>
        <w:t>Income taxes decreased $7.1 million, or 55.5%, in the second quarter of 2020, compared to the second quarter of 2019. We provided for taxes at a 25.3% effective rate in the first quarter of 2020 and 24.0% in the first quarter of 2019. We expect our effective tax rate to be approximately 26% to 28% of pretax income in 2020.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28"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Unless otherwise stated below, our variance explanations and future expectations with regards to the items discussed in this section are set forth in the discussion of the “Three Months Ended June 30, 2020, Compared to Three Months Ended June 30, 2019.”</w:t>
      </w:r>
    </w:p>
    <w:p>
      <w:pPr>
        <w:spacing w:after="0" w:line="170" w:lineRule="exact"/>
        <w:rPr>
          <w:sz w:val="20"/>
          <w:szCs w:val="20"/>
          <w:color w:val="auto"/>
        </w:rPr>
      </w:pPr>
    </w:p>
    <w:p>
      <w:pPr>
        <w:jc w:val="both"/>
        <w:ind w:right="40" w:firstLine="646"/>
        <w:spacing w:after="0" w:line="306" w:lineRule="auto"/>
        <w:rPr>
          <w:sz w:val="20"/>
          <w:szCs w:val="20"/>
          <w:color w:val="auto"/>
        </w:rPr>
      </w:pPr>
      <w:r>
        <w:rPr>
          <w:rFonts w:ascii="Arial" w:cs="Arial" w:eastAsia="Arial" w:hAnsi="Arial"/>
          <w:sz w:val="17"/>
          <w:szCs w:val="17"/>
          <w:color w:val="auto"/>
        </w:rPr>
        <w:t>Total revenues decreased $603.7 million, or 20.9%, in the first six months of 2020, compared to the first six months of 2019. Sales of new and used commercial vehicles decreased $514.5 million, or 27.6%, in the first six months of 2020, compared to the first six months of 2019.</w:t>
      </w:r>
    </w:p>
    <w:p>
      <w:pPr>
        <w:spacing w:after="0" w:line="148" w:lineRule="exact"/>
        <w:rPr>
          <w:sz w:val="20"/>
          <w:szCs w:val="20"/>
          <w:color w:val="auto"/>
        </w:rPr>
      </w:pPr>
    </w:p>
    <w:p>
      <w:pPr>
        <w:ind w:right="40" w:firstLine="646"/>
        <w:spacing w:after="0" w:line="276" w:lineRule="auto"/>
        <w:rPr>
          <w:sz w:val="20"/>
          <w:szCs w:val="20"/>
          <w:color w:val="auto"/>
        </w:rPr>
      </w:pPr>
      <w:r>
        <w:rPr>
          <w:rFonts w:ascii="Arial" w:cs="Arial" w:eastAsia="Arial" w:hAnsi="Arial"/>
          <w:sz w:val="18"/>
          <w:szCs w:val="18"/>
          <w:color w:val="auto"/>
        </w:rPr>
        <w:t>Aftermarket Products and Services revenues decreased $81.0 million, or 9.1%, in the first six months of 2020, compared to the first six months of 2019.</w:t>
      </w:r>
    </w:p>
    <w:p>
      <w:pPr>
        <w:spacing w:after="0" w:line="170" w:lineRule="exact"/>
        <w:rPr>
          <w:sz w:val="20"/>
          <w:szCs w:val="20"/>
          <w:color w:val="auto"/>
        </w:rPr>
      </w:pPr>
    </w:p>
    <w:p>
      <w:pPr>
        <w:jc w:val="both"/>
        <w:ind w:right="20" w:firstLine="646"/>
        <w:spacing w:after="0" w:line="263" w:lineRule="auto"/>
        <w:rPr>
          <w:sz w:val="20"/>
          <w:szCs w:val="20"/>
          <w:color w:val="auto"/>
        </w:rPr>
      </w:pPr>
      <w:r>
        <w:rPr>
          <w:rFonts w:ascii="Arial" w:cs="Arial" w:eastAsia="Arial" w:hAnsi="Arial"/>
          <w:sz w:val="18"/>
          <w:szCs w:val="18"/>
          <w:color w:val="auto"/>
        </w:rPr>
        <w:t>We sold 4,944 new Class 8 heavy-duty trucks in the first six months of 2020, a 35.6% decrease compared to 7,677 new Class 8 heavy-duty trucks in the first six months of 2019. According to A.C.T. Research, retail sales in the U.S. Class 8 truck market decreased 38.3% in the first six months of 2020, compared to the first six months of 2019.</w:t>
      </w:r>
    </w:p>
    <w:p>
      <w:pPr>
        <w:spacing w:after="0" w:line="1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firstLine="646"/>
        <w:spacing w:after="0" w:line="258" w:lineRule="auto"/>
        <w:rPr>
          <w:sz w:val="20"/>
          <w:szCs w:val="20"/>
          <w:color w:val="auto"/>
        </w:rPr>
      </w:pPr>
      <w:r>
        <w:rPr>
          <w:rFonts w:ascii="Arial" w:cs="Arial" w:eastAsia="Arial" w:hAnsi="Arial"/>
          <w:sz w:val="18"/>
          <w:szCs w:val="18"/>
          <w:color w:val="auto"/>
        </w:rPr>
        <w:t>We sold 5,597 new Class 4 through 7 medium-duty commercial vehicles, including 420 buses, in the first six months of 2020. This represented a 13.7% decrease compared to 6,480 new Class 4 through 7 medium-duty commercial vehicles, including 458 buses, in the first six months of 2019. A.C.T. Research estimates that unit sales of new Class 4 through 7 commercial vehicles in the U.S. decreased approximately 22.6% in the first six months of 2020, compared to the first six months of 2019.</w:t>
      </w:r>
    </w:p>
    <w:p>
      <w:pPr>
        <w:spacing w:after="0" w:line="187"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We sold 521 new light-duty vehicles in the first six months of 2020, a 58.6% decrease compared to 1,258 new light-duty vehicles sold in the first six months of 2019.</w:t>
      </w:r>
    </w:p>
    <w:p>
      <w:pPr>
        <w:spacing w:after="0" w:line="170"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We sold 3,326 used commercial vehicles in the first six months of 2020, a 15.6% decrease compared to 3,941 used commercial vehicles in the first six months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decreased $3.0 million, or 2.4%, in the first six months of 2020, compared to the first six months of 2019.</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decreased $3.6 million, or 27.5%, in the first six months of 2020, compared to the first six months of 2019.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4"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Gross profit decreased $99.6 million, or 18.9%, in the first six months of 2020, compared to the first six months of 2019. Gross profit as a percentage of sales was 18.6% in the first six months of 2020 and 18.2% in the first six months of 2019.</w:t>
      </w:r>
    </w:p>
    <w:p>
      <w:pPr>
        <w:spacing w:after="0" w:line="170" w:lineRule="exact"/>
        <w:rPr>
          <w:sz w:val="20"/>
          <w:szCs w:val="20"/>
          <w:color w:val="auto"/>
        </w:rPr>
      </w:pPr>
    </w:p>
    <w:p>
      <w:pPr>
        <w:jc w:val="both"/>
        <w:ind w:right="40" w:firstLine="646"/>
        <w:spacing w:after="0" w:line="275" w:lineRule="auto"/>
        <w:rPr>
          <w:sz w:val="20"/>
          <w:szCs w:val="20"/>
          <w:color w:val="auto"/>
        </w:rPr>
      </w:pPr>
      <w:r>
        <w:rPr>
          <w:rFonts w:ascii="Arial" w:cs="Arial" w:eastAsia="Arial" w:hAnsi="Arial"/>
          <w:sz w:val="17"/>
          <w:szCs w:val="17"/>
          <w:color w:val="auto"/>
        </w:rPr>
        <w:t>Gross margins from Aftermarket Products and Services operations decreased to 36.9% in the first six months of 2020, from 38.4% in the first six months of 2019. Gross profit for Aftermarket Products and Services was $296.9 million in the first six months of 2020, compared to $340.7 million in the first six months of 2019. Gross profit from parts sales represented 60% of the total gross profit for Aftermarket Products and Services operations in the first six months of 2020 and the first six months of 2019. Service and collision center operations represented 40% of the total gross profit for Aftermarket Products and Services operations in the first six months of 2020 and the first six months of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new Class 8 heavy-duty truck sales decreased to 8.3% in the first six months of 2020, from 8.5%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0"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Gross margins on new Class 4 through 7 medium-duty commercial vehicle sales increased to 6.1% in the first six months of 2020, from 5.4% in the first six months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decreased to 5.5% in the first six months of 2020, from 9.4% in the first six months of 2019.</w:t>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12.2% in the first six months of 2020, from 16.5%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ectPr>
          <w:pgSz w:w="11900" w:h="16838" w:orient="portrait"/>
          <w:cols w:equalWidth="0" w:num="1">
            <w:col w:w="10880"/>
          </w:cols>
          <w:pgMar w:left="320" w:top="125" w:right="699" w:bottom="0" w:gutter="0" w:footer="0" w:header="0"/>
        </w:sectPr>
      </w:pPr>
    </w:p>
    <w:bookmarkStart w:id="18" w:name="page19"/>
    <w:bookmarkEnd w:id="18"/>
    <w:p>
      <w:pPr>
        <w:ind w:right="40" w:firstLine="646"/>
        <w:spacing w:after="0" w:line="276"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4" w:lineRule="exact"/>
        <w:rPr>
          <w:sz w:val="20"/>
          <w:szCs w:val="20"/>
          <w:color w:val="auto"/>
        </w:rPr>
      </w:pPr>
    </w:p>
    <w:p>
      <w:pPr>
        <w:ind w:right="40" w:firstLine="646"/>
        <w:spacing w:after="0" w:line="276" w:lineRule="auto"/>
        <w:rPr>
          <w:sz w:val="20"/>
          <w:szCs w:val="20"/>
          <w:color w:val="auto"/>
        </w:rPr>
      </w:pPr>
      <w:r>
        <w:rPr>
          <w:rFonts w:ascii="Arial" w:cs="Arial" w:eastAsia="Arial" w:hAnsi="Arial"/>
          <w:sz w:val="18"/>
          <w:szCs w:val="18"/>
          <w:color w:val="auto"/>
        </w:rPr>
        <w:t>SG&amp;A expenses decreased $39.9 million, or 10.5%, in the first six months of 2020, compared to the first six months of 2019. SG&amp;A expenses equaled 14.9% of total revenue in the first six months of 2020, compared to 13.2% in the first six months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$2.3 million, or 8.8%, in the first six months of 2020, compared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$8.5 million, or 54.8%, in the first six months of 2020, compared to the first six months of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before income taxes decreased $49.8 million, or 47.9%, in the first six months of 2020, compared to the first six months of 2019.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4" w:lineRule="exact"/>
        <w:rPr>
          <w:sz w:val="20"/>
          <w:szCs w:val="20"/>
          <w:color w:val="auto"/>
        </w:rPr>
      </w:pPr>
    </w:p>
    <w:p>
      <w:pPr>
        <w:ind w:right="40" w:firstLine="646"/>
        <w:spacing w:after="0" w:line="276" w:lineRule="auto"/>
        <w:rPr>
          <w:sz w:val="20"/>
          <w:szCs w:val="20"/>
          <w:color w:val="auto"/>
        </w:rPr>
      </w:pPr>
      <w:r>
        <w:rPr>
          <w:rFonts w:ascii="Arial" w:cs="Arial" w:eastAsia="Arial" w:hAnsi="Arial"/>
          <w:sz w:val="18"/>
          <w:szCs w:val="18"/>
          <w:color w:val="auto"/>
        </w:rPr>
        <w:t>Income taxes decreased $11.0 million, or 43.5%, in the first six months of 2020, compared to the first six months of 2019. We provided for taxes at a 26.3% rate in the first six months of 2020 and a 24.5% rate in the first six months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2020, we had working capital of approximately $234.7 million, including $215.6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(the “Floor Plan Credit Agreement”), and the resulting interest earned is recognized as an offset to our gross interest expense under the Floor Plan Credit Agreement.</w:t>
      </w:r>
    </w:p>
    <w:p>
      <w:pPr>
        <w:spacing w:after="0" w:line="179" w:lineRule="exact"/>
        <w:rPr>
          <w:sz w:val="20"/>
          <w:szCs w:val="20"/>
          <w:color w:val="auto"/>
        </w:rPr>
      </w:pPr>
    </w:p>
    <w:p>
      <w:pPr>
        <w:jc w:val="both"/>
        <w:ind w:firstLine="646"/>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on June 30, 2020, however, $11.8 million was pledged to secure various letters of credit related to self-insurance products, leaving $5.7 million available for future borrowings as of June 30, 2020.</w:t>
      </w:r>
    </w:p>
    <w:p>
      <w:pPr>
        <w:spacing w:after="0" w:line="182"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color w:val="auto"/>
        </w:rPr>
        <w:t>The Working Capital Facility with BMO Harris includes up to $100.0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w:t>
      </w:r>
    </w:p>
    <w:p>
      <w:pPr>
        <w:spacing w:after="0" w:line="1" w:lineRule="exact"/>
        <w:rPr>
          <w:sz w:val="20"/>
          <w:szCs w:val="20"/>
          <w:color w:val="auto"/>
        </w:rPr>
      </w:pPr>
    </w:p>
    <w:p>
      <w:pPr>
        <w:jc w:val="both"/>
        <w:ind w:firstLine="8"/>
        <w:spacing w:after="0" w:line="254"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June 30, 2022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June 30, 2020.</w:t>
      </w:r>
    </w:p>
    <w:p>
      <w:pPr>
        <w:spacing w:after="0" w:line="190" w:lineRule="exact"/>
        <w:rPr>
          <w:sz w:val="20"/>
          <w:szCs w:val="20"/>
          <w:color w:val="auto"/>
        </w:rPr>
      </w:pPr>
    </w:p>
    <w:p>
      <w:pPr>
        <w:jc w:val="both"/>
        <w:ind w:right="20" w:firstLine="646"/>
        <w:spacing w:after="0" w:line="301" w:lineRule="auto"/>
        <w:rPr>
          <w:sz w:val="20"/>
          <w:szCs w:val="20"/>
          <w:color w:val="auto"/>
        </w:rPr>
      </w:pPr>
      <w:r>
        <w:rPr>
          <w:rFonts w:ascii="Arial" w:cs="Arial" w:eastAsia="Arial" w:hAnsi="Arial"/>
          <w:sz w:val="16"/>
          <w:szCs w:val="16"/>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June 30, 2020,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54" w:lineRule="exact"/>
        <w:rPr>
          <w:sz w:val="20"/>
          <w:szCs w:val="20"/>
          <w:color w:val="auto"/>
        </w:rPr>
      </w:pPr>
    </w:p>
    <w:p>
      <w:pPr>
        <w:jc w:val="both"/>
        <w:ind w:right="20" w:firstLine="646"/>
        <w:spacing w:after="0" w:line="273" w:lineRule="auto"/>
        <w:rPr>
          <w:sz w:val="20"/>
          <w:szCs w:val="20"/>
          <w:color w:val="auto"/>
        </w:rPr>
      </w:pPr>
      <w:r>
        <w:rPr>
          <w:rFonts w:ascii="Arial" w:cs="Arial" w:eastAsia="Arial" w:hAnsi="Arial"/>
          <w:sz w:val="17"/>
          <w:szCs w:val="17"/>
          <w:color w:val="auto"/>
        </w:rPr>
        <w:t>During the second quarter of 2020, we paid a cash dividend of $4.7 million. Additionally, on July 21, 2020, our Board of Directors declared a cash dividend of $0.14 per share of Class A and Class B Common Stock, to be paid on September 10, 2020, to all shareholders of record as of August 7, 2020. The total dividend disbursement is estimated at approximately $5.1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color w:val="auto"/>
        </w:rPr>
        <w:t>On November 26, 2019, our Board of Directors approved a stock repurchase program authorizing management to repurchase, from time to time, up to an aggregate of $100.0 million of our shares of Class A Common Stock and/or Class B Common Stock. As of June 30, 2020, we had repurchased $20.4 million of our shares of common stock under the stock repurchase program. The stock repurchase program was suspended during the first quarter as a result of the COVID-19 pandemic; the suspension was lifted during the third quarter of 2020.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w:t>
      </w:r>
    </w:p>
    <w:p>
      <w:pPr>
        <w:sectPr>
          <w:pgSz w:w="11900" w:h="16838" w:orient="portrait"/>
          <w:cols w:equalWidth="0" w:num="1">
            <w:col w:w="10880"/>
          </w:cols>
          <w:pgMar w:left="320" w:top="125" w:right="699" w:bottom="0" w:gutter="0" w:footer="0" w:header="0"/>
        </w:sectPr>
      </w:pPr>
    </w:p>
    <w:bookmarkStart w:id="19" w:name="page20"/>
    <w:bookmarkEnd w:id="19"/>
    <w:p>
      <w:pPr>
        <w:jc w:val="both"/>
        <w:spacing w:after="0" w:line="306" w:lineRule="auto"/>
        <w:rPr>
          <w:sz w:val="20"/>
          <w:szCs w:val="20"/>
          <w:color w:val="auto"/>
        </w:rPr>
      </w:pPr>
      <w:r>
        <w:rPr>
          <w:rFonts w:ascii="Arial" w:cs="Arial" w:eastAsia="Arial" w:hAnsi="Arial"/>
          <w:sz w:val="17"/>
          <w:szCs w:val="17"/>
          <w:color w:val="auto"/>
        </w:rPr>
        <w:t>repurchase program will be determined by management at its discretion and will depend on a number of factors, including market conditions, stock price and other factors, including those related to the ownership requirements of our dealership agreements with Peterbilt.</w:t>
      </w:r>
    </w:p>
    <w:p>
      <w:pPr>
        <w:spacing w:after="0" w:line="148" w:lineRule="exact"/>
        <w:rPr>
          <w:sz w:val="20"/>
          <w:szCs w:val="20"/>
          <w:color w:val="auto"/>
        </w:rPr>
      </w:pPr>
    </w:p>
    <w:p>
      <w:pPr>
        <w:jc w:val="both"/>
        <w:ind w:right="20" w:firstLine="646"/>
        <w:spacing w:after="0" w:line="341" w:lineRule="auto"/>
        <w:rPr>
          <w:sz w:val="20"/>
          <w:szCs w:val="20"/>
          <w:color w:val="auto"/>
        </w:rPr>
      </w:pPr>
      <w:r>
        <w:rPr>
          <w:rFonts w:ascii="Arial" w:cs="Arial" w:eastAsia="Arial" w:hAnsi="Arial"/>
          <w:sz w:val="16"/>
          <w:szCs w:val="16"/>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24" w:lineRule="exact"/>
        <w:rPr>
          <w:sz w:val="20"/>
          <w:szCs w:val="20"/>
          <w:color w:val="auto"/>
        </w:rPr>
      </w:pPr>
    </w:p>
    <w:p>
      <w:pPr>
        <w:jc w:val="both"/>
        <w:ind w:firstLine="646"/>
        <w:spacing w:after="0" w:line="263" w:lineRule="auto"/>
        <w:rPr>
          <w:sz w:val="20"/>
          <w:szCs w:val="20"/>
          <w:color w:val="auto"/>
        </w:rPr>
      </w:pPr>
      <w:r>
        <w:rPr>
          <w:rFonts w:ascii="Arial" w:cs="Arial" w:eastAsia="Arial" w:hAnsi="Arial"/>
          <w:sz w:val="18"/>
          <w:szCs w:val="18"/>
          <w:color w:val="auto"/>
        </w:rPr>
        <w:t>We have no other material commitments for capital expenditures as of June 30, 2020.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8" w:lineRule="exact"/>
        <w:rPr>
          <w:sz w:val="20"/>
          <w:szCs w:val="20"/>
          <w:color w:val="auto"/>
        </w:rPr>
      </w:pPr>
    </w:p>
    <w:p>
      <w:pPr>
        <w:ind w:right="40" w:firstLine="646"/>
        <w:spacing w:after="0" w:line="276" w:lineRule="auto"/>
        <w:rPr>
          <w:sz w:val="20"/>
          <w:szCs w:val="20"/>
          <w:color w:val="auto"/>
        </w:rPr>
      </w:pPr>
      <w:r>
        <w:rPr>
          <w:rFonts w:ascii="Arial" w:cs="Arial" w:eastAsia="Arial" w:hAnsi="Arial"/>
          <w:sz w:val="18"/>
          <w:szCs w:val="18"/>
          <w:color w:val="auto"/>
        </w:rPr>
        <w:t>Cash and cash equivalents increased by $33.9 million during the six months ended June 30, 2020 and decreased by $20.4 million during the six months ended June 30, 2019.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4"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six months of 2020, operating activities resulted in net cash provided by operations of $418.2 million. Net cash provided by operating activities primarily consisted of $39.9 million in net income, as well as non-cash adjustments related to depreciation and amortization of $89.9 million, stock-based compensation of $12.1 million and the benefit for deferred income tax expense of $10.4 million. Cash provided by operating activities included an aggregate of $290.1 million net change in operating assets and liabilities. Included in the net change in operating assets and liabilities were cash inflows of $358.9 million from the decrease in inventories, $21.0 million from the decrease in accounts receivable and $5.2 million from the decrease in other assets which was offset by cash outflows of $36.1 million from decreases in accounts payables, $32.6 million from the net decrease in floor plan, trade, $1.2 million from the decrease in accrued liabilities and $25.1 million from the decrease in customer deposits. The majority of our commercial vehicle inventory is financed through our floor plan credit agreements.</w:t>
      </w:r>
    </w:p>
    <w:p>
      <w:pPr>
        <w:spacing w:after="0" w:line="183" w:lineRule="exact"/>
        <w:rPr>
          <w:sz w:val="20"/>
          <w:szCs w:val="20"/>
          <w:color w:val="auto"/>
        </w:rPr>
      </w:pPr>
    </w:p>
    <w:p>
      <w:pPr>
        <w:jc w:val="both"/>
        <w:ind w:firstLine="646"/>
        <w:spacing w:after="0" w:line="291" w:lineRule="auto"/>
        <w:rPr>
          <w:sz w:val="20"/>
          <w:szCs w:val="20"/>
          <w:color w:val="auto"/>
        </w:rPr>
      </w:pPr>
      <w:r>
        <w:rPr>
          <w:rFonts w:ascii="Arial" w:cs="Arial" w:eastAsia="Arial" w:hAnsi="Arial"/>
          <w:sz w:val="16"/>
          <w:szCs w:val="16"/>
          <w:color w:val="auto"/>
        </w:rPr>
        <w:t>During the first six months of 2019, operating activities resulted in net cash used in operations of $31.9 million. Net cash used in operating activities primarily consisted of $78.7 million in net income, as well as non-cash adjustments related to depreciation and amortization of $85.0 million, stock-based compensation of $13.1 million and the provision for deferred income tax expense of $4.9 million. Cash provided by operating activities included an aggregate of $213.7 million net change in operating assets and liabilities. Included in the net change in operating assets and liabilities were cash inflows of $15.7 million from increases in accounts payable which was offset by cash outflows of $39.0 million from the increase in accounts receivable, $136.6 million from the increase in inventory, $5.3 million from the increase in other assets, $9.8 million from the net decrease in floor plan, trade, $30.6 million from the decrease in accrued liabilities and $7.3 million from the decrease in customer deposits.</w:t>
      </w:r>
    </w:p>
    <w:p>
      <w:pPr>
        <w:spacing w:after="0" w:line="162" w:lineRule="exact"/>
        <w:rPr>
          <w:sz w:val="20"/>
          <w:szCs w:val="20"/>
          <w:color w:val="auto"/>
        </w:rPr>
      </w:pPr>
    </w:p>
    <w:p>
      <w:pPr>
        <w:jc w:val="both"/>
        <w:ind w:right="40" w:firstLine="646"/>
        <w:spacing w:after="0" w:line="256"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the greater of Prime or 4% plus 150 basis points minus certain incentives and rebates. As of June 30, 2020, the interest rate on the wholesale financing agreement was 5.5% before considering the applicable incentives that we are qualified to receive. As of June 30, 2020, we had an outstanding balance of approximately $82.3 million under the Ford Motor Credit Company wholesale financing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4" w:lineRule="exact"/>
        <w:rPr>
          <w:sz w:val="20"/>
          <w:szCs w:val="20"/>
          <w:color w:val="auto"/>
        </w:rPr>
      </w:pPr>
    </w:p>
    <w:p>
      <w:pPr>
        <w:jc w:val="both"/>
        <w:ind w:right="20" w:firstLine="646"/>
        <w:spacing w:after="0" w:line="271" w:lineRule="auto"/>
        <w:rPr>
          <w:sz w:val="20"/>
          <w:szCs w:val="20"/>
          <w:color w:val="auto"/>
        </w:rPr>
      </w:pPr>
      <w:r>
        <w:rPr>
          <w:rFonts w:ascii="Arial" w:cs="Arial" w:eastAsia="Arial" w:hAnsi="Arial"/>
          <w:sz w:val="17"/>
          <w:szCs w:val="17"/>
          <w:color w:val="auto"/>
        </w:rPr>
        <w:t>During the first six months of 2020, cash used in investing activities was $74.4 million. Cash flows used in investing activities consists primarily of cash used for capital expenditures. Capital expenditures were $82.2 million during the first six months of 2020 and consisted primarily of purchases of property and equipment and improvements to our existing dealership facilities. Property and equipment purchases during the first six months of 2020 included $57.8 million for additional units for the rental and leasing operations, which were directly offset by borrowings of long-term debt. We expect to purchase or lease commercial vehicles worth approximately $90.0 million to $110.0 million for our leasing operations in 2020, depending on customer demand, all of which will be financed. We expect to make capital expenditures for recurring items such as computers, shop tools and equipment and vehicles of approximately $30.0 million to $35.0 million during 2020.</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During the first six months of 2019, cash used in investing activities was $181.7 million. Cash flows used in investing activities consists primarily of cash used for capital expenditures. Capital expenditures were $153.1 million during the first six months of 2019 and consisted primarily of purchases of property and equipment and improvements to our existing dealership facilities. Property and equipment purchases during the first six months of 2019 included $109.8 million for additional units for the rental and leasing operations, which were directly offset by borrowings of long-term debt. We also had business acquisitions of $10.2 million during the first six months of 2019, which consisted of the purchase of a Ford dealership in Ceres, California, and a used truck dealership in Jacksonville, Florida, including the real estate associated with each dealership. In addition, we purchased an equity method investment for $22.5 million for 50% of the equity interest in RTC Canada.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4"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non-trade. During the first six months of 2020, financing activities resulted in net cash used in financing of $309.9 million, primarily related to cash inflows of $5.4 million from the issuance of shares related to equity compensation plans and borrowings of $119.3 million of long-term debt. These cash inflows were offset by $238.8 million from net payments on floor plan notes payable, non-trade, $166.5 million used for principal repayments of long-term debt and capital lease obligations, $19.9 million used for repurchases of common stock and $9.5 million used for payment of cash dividends. The borrowings of long-term debt were primarily related to purchasing units for the rental and leasing operations.</w:t>
      </w:r>
    </w:p>
    <w:p>
      <w:pPr>
        <w:spacing w:after="0" w:line="174" w:lineRule="exact"/>
        <w:rPr>
          <w:sz w:val="20"/>
          <w:szCs w:val="20"/>
          <w:color w:val="auto"/>
        </w:rPr>
      </w:pPr>
    </w:p>
    <w:p>
      <w:pPr>
        <w:jc w:val="both"/>
        <w:ind w:firstLine="646"/>
        <w:spacing w:after="0" w:line="301" w:lineRule="auto"/>
        <w:rPr>
          <w:sz w:val="20"/>
          <w:szCs w:val="20"/>
          <w:color w:val="auto"/>
        </w:rPr>
      </w:pPr>
      <w:r>
        <w:rPr>
          <w:rFonts w:ascii="Arial" w:cs="Arial" w:eastAsia="Arial" w:hAnsi="Arial"/>
          <w:sz w:val="16"/>
          <w:szCs w:val="16"/>
          <w:color w:val="auto"/>
        </w:rPr>
        <w:t>During the first six months of 2019, financing activities resulted in net cash provided by financing of $193.2 million, primarily related to $176.9 million from net draws on floor plan notes payable, non-trade, borrowings of $106.1 million of long-term debt, $135.0 million from draws on a line of credit and $1.8 million from the issuance of shares related to equity compensation plans. These cash inflows were partially offset by $104.3 million used for principal repayments of long-term debt and capital lease obligations, $37.7 million used for repurchases of common stock, $75.0</w:t>
      </w:r>
    </w:p>
    <w:p>
      <w:pPr>
        <w:sectPr>
          <w:pgSz w:w="11900" w:h="16838" w:orient="portrait"/>
          <w:cols w:equalWidth="0" w:num="1">
            <w:col w:w="10880"/>
          </w:cols>
          <w:pgMar w:left="320" w:top="125" w:right="699" w:bottom="0" w:gutter="0" w:footer="0" w:header="0"/>
        </w:sectPr>
      </w:pPr>
    </w:p>
    <w:bookmarkStart w:id="20" w:name="page21"/>
    <w:bookmarkEnd w:id="20"/>
    <w:p>
      <w:pPr>
        <w:jc w:val="both"/>
        <w:spacing w:after="0" w:line="276" w:lineRule="auto"/>
        <w:rPr>
          <w:sz w:val="20"/>
          <w:szCs w:val="20"/>
          <w:color w:val="auto"/>
        </w:rPr>
      </w:pPr>
      <w:r>
        <w:rPr>
          <w:rFonts w:ascii="Arial" w:cs="Arial" w:eastAsia="Arial" w:hAnsi="Arial"/>
          <w:sz w:val="18"/>
          <w:szCs w:val="18"/>
          <w:color w:val="auto"/>
        </w:rPr>
        <w:t>million for payments on a line of credit and $8.8 million used for payment of cash dividends. The borrowings of long-term debt were primarily related to purchasing units for the rental and leasing operations.</w:t>
      </w:r>
    </w:p>
    <w:p>
      <w:pPr>
        <w:spacing w:after="0" w:line="170"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6"/>
          <w:szCs w:val="16"/>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w:t>
      </w:r>
    </w:p>
    <w:p>
      <w:pPr>
        <w:spacing w:after="0" w:line="3" w:lineRule="exact"/>
        <w:rPr>
          <w:sz w:val="20"/>
          <w:szCs w:val="20"/>
          <w:color w:val="auto"/>
        </w:rPr>
      </w:pPr>
    </w:p>
    <w:p>
      <w:pPr>
        <w:jc w:val="both"/>
        <w:ind w:firstLine="8"/>
        <w:spacing w:after="0" w:line="287" w:lineRule="auto"/>
        <w:tabs>
          <w:tab w:leader="none" w:pos="267" w:val="left"/>
        </w:tabs>
        <w:numPr>
          <w:ilvl w:val="0"/>
          <w:numId w:val="4"/>
        </w:numPr>
        <w:rPr>
          <w:rFonts w:ascii="Arial" w:cs="Arial" w:eastAsia="Arial" w:hAnsi="Arial"/>
          <w:sz w:val="16"/>
          <w:szCs w:val="16"/>
          <w:color w:val="auto"/>
        </w:rPr>
      </w:pPr>
      <w:r>
        <w:rPr>
          <w:rFonts w:ascii="Arial" w:cs="Arial" w:eastAsia="Arial" w:hAnsi="Arial"/>
          <w:sz w:val="16"/>
          <w:szCs w:val="16"/>
          <w:color w:val="auto"/>
        </w:rPr>
        <w:t>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June 30, 2020, we had approximately $564.1 million outstanding under the Floor Plan Credit Agreement. The average daily outstanding borrowings under the Floor Plan Credit Agreement were $681.3 million during the six months ended June 30, 2020.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69" w:lineRule="exact"/>
        <w:rPr>
          <w:sz w:val="20"/>
          <w:szCs w:val="20"/>
          <w:color w:val="auto"/>
        </w:rPr>
      </w:pPr>
    </w:p>
    <w:p>
      <w:pPr>
        <w:jc w:val="both"/>
        <w:ind w:firstLine="646"/>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4"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On June 30, 2020, our backlog of commercial vehicle orders was approximately $1,057.1 million, as compared to a backlog of commercial vehicle orders of approximately $1,686.6 million on June 30, 2019.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2020, and we expect to fill the majority of our backlog orders during 2020.</w:t>
      </w:r>
    </w:p>
    <w:p>
      <w:pPr>
        <w:spacing w:after="0" w:line="1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4" w:lineRule="exact"/>
        <w:rPr>
          <w:sz w:val="20"/>
          <w:szCs w:val="20"/>
          <w:color w:val="auto"/>
        </w:rPr>
      </w:pPr>
    </w:p>
    <w:p>
      <w:pPr>
        <w:jc w:val="both"/>
        <w:ind w:right="40" w:firstLine="646"/>
        <w:spacing w:after="0" w:line="285" w:lineRule="auto"/>
        <w:rPr>
          <w:sz w:val="20"/>
          <w:szCs w:val="20"/>
          <w:color w:val="auto"/>
        </w:rPr>
      </w:pPr>
      <w:r>
        <w:rPr>
          <w:rFonts w:ascii="Arial" w:cs="Arial" w:eastAsia="Arial" w:hAnsi="Arial"/>
          <w:sz w:val="17"/>
          <w:szCs w:val="17"/>
          <w:color w:val="auto"/>
        </w:rPr>
        <w:t>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4"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4"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1" w:lineRule="exact"/>
        <w:rPr>
          <w:sz w:val="20"/>
          <w:szCs w:val="20"/>
          <w:color w:val="auto"/>
        </w:rPr>
      </w:pPr>
    </w:p>
    <w:p>
      <w:pPr>
        <w:jc w:val="both"/>
        <w:ind w:firstLine="646"/>
        <w:spacing w:after="0" w:line="341" w:lineRule="auto"/>
        <w:rPr>
          <w:sz w:val="20"/>
          <w:szCs w:val="20"/>
          <w:color w:val="auto"/>
        </w:rPr>
      </w:pPr>
      <w:r>
        <w:rPr>
          <w:rFonts w:ascii="Arial" w:cs="Arial" w:eastAsia="Arial" w:hAnsi="Arial"/>
          <w:sz w:val="16"/>
          <w:szCs w:val="16"/>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w:t>
      </w:r>
    </w:p>
    <w:p>
      <w:pPr>
        <w:sectPr>
          <w:pgSz w:w="11900" w:h="16838" w:orient="portrait"/>
          <w:cols w:equalWidth="0" w:num="1">
            <w:col w:w="10880"/>
          </w:cols>
          <w:pgMar w:left="320" w:top="125" w:right="699" w:bottom="0" w:gutter="0" w:footer="0" w:header="0"/>
        </w:sectPr>
      </w:pPr>
    </w:p>
    <w:bookmarkStart w:id="21" w:name="page22"/>
    <w:bookmarkEnd w:id="21"/>
    <w:p>
      <w:pPr>
        <w:spacing w:after="0" w:line="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6"/>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4"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8"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6"/>
        <w:spacing w:after="0" w:line="256" w:lineRule="auto"/>
        <w:rPr>
          <w:sz w:val="20"/>
          <w:szCs w:val="20"/>
          <w:color w:val="auto"/>
        </w:rPr>
      </w:pPr>
      <w:r>
        <w:rPr>
          <w:rFonts w:ascii="Arial" w:cs="Arial" w:eastAsia="Arial" w:hAnsi="Arial"/>
          <w:sz w:val="18"/>
          <w:szCs w:val="18"/>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June 30, 2020, we had floor plan borrowings of approximately $724.9 million and variable interest rate real estate debt of approximately $54.6 million. Assuming an increase or decrease in LIBOR of 100 basis points, annual interest expense could correspondingly increase or decrease by approximately $7.8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8" w:lineRule="exact"/>
        <w:rPr>
          <w:sz w:val="20"/>
          <w:szCs w:val="20"/>
          <w:color w:val="auto"/>
        </w:rPr>
      </w:pPr>
    </w:p>
    <w:p>
      <w:pPr>
        <w:jc w:val="both"/>
        <w:ind w:right="20" w:firstLine="646"/>
        <w:spacing w:after="0" w:line="271" w:lineRule="auto"/>
        <w:rPr>
          <w:sz w:val="20"/>
          <w:szCs w:val="20"/>
          <w:color w:val="auto"/>
        </w:rPr>
      </w:pPr>
      <w:r>
        <w:rPr>
          <w:rFonts w:ascii="Arial" w:cs="Arial" w:eastAsia="Arial" w:hAnsi="Arial"/>
          <w:sz w:val="17"/>
          <w:szCs w:val="17"/>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2020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79" w:lineRule="exact"/>
        <w:rPr>
          <w:sz w:val="20"/>
          <w:szCs w:val="20"/>
          <w:color w:val="auto"/>
        </w:rPr>
      </w:pPr>
    </w:p>
    <w:p>
      <w:pPr>
        <w:jc w:val="both"/>
        <w:ind w:right="40" w:firstLine="646"/>
        <w:spacing w:after="0" w:line="276"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2020 that has materially affected, or is reasonably likely to materially affect, our internal control over financial reporting.</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8" w:lineRule="exact"/>
        <w:rPr>
          <w:sz w:val="20"/>
          <w:szCs w:val="20"/>
          <w:color w:val="auto"/>
        </w:rPr>
      </w:pPr>
    </w:p>
    <w:p>
      <w:pPr>
        <w:jc w:val="both"/>
        <w:ind w:right="20" w:firstLine="646"/>
        <w:spacing w:after="0" w:line="271"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8" w:lineRule="exact"/>
        <w:rPr>
          <w:sz w:val="20"/>
          <w:szCs w:val="20"/>
          <w:color w:val="auto"/>
        </w:rPr>
      </w:pPr>
    </w:p>
    <w:p>
      <w:pPr>
        <w:jc w:val="both"/>
        <w:ind w:right="40" w:firstLine="646"/>
        <w:spacing w:after="0" w:line="341"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to the extent practical under the circumstances, some level of risk and uncertainty will always be present. Item 1A, Part I of our 2019 Annual Report on Form 10-K (the “2019 Annual</w:t>
      </w:r>
    </w:p>
    <w:p>
      <w:pPr>
        <w:sectPr>
          <w:pgSz w:w="11900" w:h="16849" w:orient="portrait"/>
          <w:cols w:equalWidth="0" w:num="1">
            <w:col w:w="10880"/>
          </w:cols>
          <w:pgMar w:left="320" w:top="125" w:right="699" w:bottom="0" w:gutter="0" w:footer="0" w:header="0"/>
        </w:sectPr>
      </w:pPr>
    </w:p>
    <w:bookmarkStart w:id="22" w:name="page23"/>
    <w:bookmarkEnd w:id="22"/>
    <w:p>
      <w:pPr>
        <w:ind w:right="380"/>
        <w:spacing w:after="0" w:line="276" w:lineRule="auto"/>
        <w:rPr>
          <w:sz w:val="20"/>
          <w:szCs w:val="20"/>
          <w:color w:val="auto"/>
        </w:rPr>
      </w:pPr>
      <w:r>
        <w:rPr>
          <w:rFonts w:ascii="Arial" w:cs="Arial" w:eastAsia="Arial" w:hAnsi="Arial"/>
          <w:sz w:val="18"/>
          <w:szCs w:val="18"/>
          <w:color w:val="auto"/>
        </w:rPr>
        <w:t>Report”) describes some of the risks and uncertainties associated with our business that have the potential to materially affect our business, financial condition or results of operations.</w:t>
      </w:r>
    </w:p>
    <w:p>
      <w:pPr>
        <w:spacing w:after="0" w:line="170" w:lineRule="exact"/>
        <w:rPr>
          <w:sz w:val="20"/>
          <w:szCs w:val="20"/>
          <w:color w:val="auto"/>
        </w:rPr>
      </w:pPr>
    </w:p>
    <w:p>
      <w:pPr>
        <w:ind w:right="400" w:firstLine="646"/>
        <w:spacing w:after="0" w:line="276" w:lineRule="auto"/>
        <w:rPr>
          <w:sz w:val="20"/>
          <w:szCs w:val="20"/>
          <w:color w:val="auto"/>
        </w:rPr>
      </w:pPr>
      <w:r>
        <w:rPr>
          <w:rFonts w:ascii="Arial" w:cs="Arial" w:eastAsia="Arial" w:hAnsi="Arial"/>
          <w:sz w:val="18"/>
          <w:szCs w:val="18"/>
          <w:color w:val="auto"/>
        </w:rPr>
        <w:t>We supplemented the risk factors described under “Item 1A. Risk Factors” in our 2019 Annual Report on Form 10-K with an additional risk factor under “Item 1A. Risk Factors” in our Form 10-Q for the period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120" w:type="dxa"/>
            <w:vAlign w:val="bottom"/>
            <w:gridSpan w:val="3"/>
          </w:tcPr>
          <w:p>
            <w:pPr>
              <w:ind w:left="3640"/>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15"/>
        </w:trPr>
        <w:tc>
          <w:tcPr>
            <w:tcW w:w="5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r>
      <w:tr>
        <w:trPr>
          <w:trHeight w:val="323"/>
        </w:trPr>
        <w:tc>
          <w:tcPr>
            <w:tcW w:w="19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1"/>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3"/>
        </w:trPr>
        <w:tc>
          <w:tcPr>
            <w:tcW w:w="540" w:type="dxa"/>
            <w:vAlign w:val="bottom"/>
          </w:tcPr>
          <w:p>
            <w:pPr>
              <w:spacing w:after="0"/>
              <w:rPr>
                <w:sz w:val="24"/>
                <w:szCs w:val="24"/>
                <w:color w:val="auto"/>
              </w:rPr>
            </w:pPr>
          </w:p>
        </w:tc>
        <w:tc>
          <w:tcPr>
            <w:tcW w:w="13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96"/>
              </w:rPr>
              <w:t>Exhibit</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3"/>
        </w:trPr>
        <w:tc>
          <w:tcPr>
            <w:tcW w:w="1900" w:type="dxa"/>
            <w:vAlign w:val="bottom"/>
            <w:gridSpan w:val="3"/>
          </w:tcPr>
          <w:p>
            <w:pPr>
              <w:jc w:val="right"/>
              <w:ind w:right="630"/>
              <w:spacing w:after="0" w:line="194" w:lineRule="exact"/>
              <w:rPr>
                <w:sz w:val="20"/>
                <w:szCs w:val="20"/>
                <w:color w:val="auto"/>
              </w:rPr>
            </w:pPr>
            <w:r>
              <w:rPr>
                <w:rFonts w:ascii="Arial" w:cs="Arial" w:eastAsia="Arial" w:hAnsi="Arial"/>
                <w:sz w:val="18"/>
                <w:szCs w:val="18"/>
                <w:b w:val="1"/>
                <w:bCs w:val="1"/>
                <w:color w:val="auto"/>
              </w:rPr>
              <w:t>Number</w:t>
            </w:r>
          </w:p>
        </w:tc>
        <w:tc>
          <w:tcPr>
            <w:tcW w:w="9340" w:type="dxa"/>
            <w:vAlign w:val="bottom"/>
            <w:gridSpan w:val="11"/>
          </w:tcPr>
          <w:p>
            <w:pPr>
              <w:spacing w:after="0" w:line="194" w:lineRule="exact"/>
              <w:rPr>
                <w:sz w:val="20"/>
                <w:szCs w:val="20"/>
                <w:color w:val="auto"/>
              </w:rPr>
            </w:pPr>
            <w:r>
              <w:rPr>
                <w:rFonts w:ascii="Arial" w:cs="Arial" w:eastAsia="Arial" w:hAnsi="Arial"/>
                <w:sz w:val="18"/>
                <w:szCs w:val="18"/>
                <w:b w:val="1"/>
                <w:bCs w:val="1"/>
                <w:i w:val="1"/>
                <w:iCs w:val="1"/>
                <w:color w:val="auto"/>
              </w:rPr>
              <w:t>Exhibit Title</w:t>
            </w:r>
          </w:p>
        </w:tc>
      </w:tr>
      <w:tr>
        <w:trPr>
          <w:trHeight w:val="20"/>
        </w:trPr>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3.1</w:t>
            </w:r>
          </w:p>
        </w:tc>
        <w:tc>
          <w:tcPr>
            <w:tcW w:w="8920" w:type="dxa"/>
            <w:vAlign w:val="bottom"/>
            <w:tcBorders>
              <w:bottom w:val="single" w:sz="8" w:color="0000EE"/>
            </w:tcBorders>
            <w:gridSpan w:val="10"/>
          </w:tcPr>
          <w:p>
            <w:pPr>
              <w:spacing w:after="0" w:line="195" w:lineRule="exact"/>
              <w:rPr>
                <w:rFonts w:ascii="Arial" w:cs="Arial" w:eastAsia="Arial" w:hAnsi="Arial"/>
                <w:sz w:val="18"/>
                <w:szCs w:val="18"/>
                <w:color w:val="0000EE"/>
                <w:w w:val="99"/>
              </w:rPr>
            </w:pPr>
            <w:hyperlink r:id="rId38">
              <w:r>
                <w:rPr>
                  <w:rFonts w:ascii="Arial" w:cs="Arial" w:eastAsia="Arial" w:hAnsi="Arial"/>
                  <w:sz w:val="18"/>
                  <w:szCs w:val="18"/>
                  <w:color w:val="0000EE"/>
                  <w:w w:val="99"/>
                </w:rPr>
                <w:t>Restated Articles of Incorporation of Rush Enterprises, Inc. (incorporated herein by reference to Exhibit 3.1 of the</w:t>
              </w:r>
            </w:hyperlink>
          </w:p>
        </w:tc>
        <w:tc>
          <w:tcPr>
            <w:tcW w:w="4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40" w:type="dxa"/>
            <w:vAlign w:val="bottom"/>
            <w:gridSpan w:val="11"/>
          </w:tcPr>
          <w:p>
            <w:pPr>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Company’s Quarterly Report on Form 10-Q (File No. 000-20797) for the quarter ended June 30, 2008)</w:t>
              </w:r>
            </w:hyperlink>
          </w:p>
        </w:tc>
      </w:tr>
      <w:tr>
        <w:trPr>
          <w:trHeight w:val="189"/>
        </w:trPr>
        <w:tc>
          <w:tcPr>
            <w:tcW w:w="1900" w:type="dxa"/>
            <w:vAlign w:val="bottom"/>
            <w:gridSpan w:val="3"/>
          </w:tcPr>
          <w:p>
            <w:pPr>
              <w:jc w:val="right"/>
              <w:ind w:right="190"/>
              <w:spacing w:after="0" w:line="189" w:lineRule="exact"/>
              <w:rPr>
                <w:sz w:val="20"/>
                <w:szCs w:val="20"/>
                <w:color w:val="auto"/>
              </w:rPr>
            </w:pPr>
            <w:r>
              <w:rPr>
                <w:rFonts w:ascii="Arial" w:cs="Arial" w:eastAsia="Arial" w:hAnsi="Arial"/>
                <w:sz w:val="18"/>
                <w:szCs w:val="18"/>
                <w:color w:val="auto"/>
              </w:rPr>
              <w:t>3.2</w:t>
            </w:r>
          </w:p>
        </w:tc>
        <w:tc>
          <w:tcPr>
            <w:tcW w:w="8900" w:type="dxa"/>
            <w:vAlign w:val="bottom"/>
            <w:tcBorders>
              <w:bottom w:val="single" w:sz="8" w:color="0000EE"/>
            </w:tcBorders>
            <w:gridSpan w:val="9"/>
          </w:tcPr>
          <w:p>
            <w:pPr>
              <w:spacing w:after="0" w:line="189"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Rush Enterprises, Inc. Amended and Restated Bylaws (incorporated herein by reference to Exhibit 3.1 of the Company’s</w:t>
              </w:r>
            </w:hyperlink>
          </w:p>
        </w:tc>
        <w:tc>
          <w:tcPr>
            <w:tcW w:w="440" w:type="dxa"/>
            <w:vAlign w:val="bottom"/>
            <w:gridSpan w:val="2"/>
          </w:tcPr>
          <w:p>
            <w:pPr>
              <w:spacing w:after="0"/>
              <w:rPr>
                <w:sz w:val="16"/>
                <w:szCs w:val="16"/>
                <w:color w:val="auto"/>
              </w:rPr>
            </w:pPr>
          </w:p>
        </w:tc>
      </w:tr>
      <w:tr>
        <w:trPr>
          <w:trHeight w:val="195"/>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5"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Current Report on Form 8-K (File No. 000-20797) filed May 21, 2013)</w:t>
              </w:r>
            </w:hyperlink>
          </w:p>
        </w:tc>
        <w:tc>
          <w:tcPr>
            <w:tcW w:w="4220" w:type="dxa"/>
            <w:vAlign w:val="bottom"/>
            <w:gridSpan w:val="8"/>
          </w:tcPr>
          <w:p>
            <w:pPr>
              <w:spacing w:after="0"/>
              <w:rPr>
                <w:sz w:val="17"/>
                <w:szCs w:val="17"/>
                <w:color w:val="auto"/>
              </w:rPr>
            </w:pPr>
          </w:p>
        </w:tc>
      </w:tr>
      <w:tr>
        <w:trPr>
          <w:trHeight w:val="195"/>
        </w:trPr>
        <w:tc>
          <w:tcPr>
            <w:tcW w:w="1900" w:type="dxa"/>
            <w:vAlign w:val="bottom"/>
            <w:gridSpan w:val="3"/>
          </w:tcPr>
          <w:p>
            <w:pPr>
              <w:jc w:val="right"/>
              <w:ind w:right="110"/>
              <w:spacing w:after="0" w:line="195" w:lineRule="exact"/>
              <w:rPr>
                <w:sz w:val="20"/>
                <w:szCs w:val="20"/>
                <w:color w:val="auto"/>
              </w:rPr>
            </w:pPr>
            <w:r>
              <w:rPr>
                <w:rFonts w:ascii="Arial" w:cs="Arial" w:eastAsia="Arial" w:hAnsi="Arial"/>
                <w:sz w:val="18"/>
                <w:szCs w:val="18"/>
                <w:color w:val="auto"/>
              </w:rPr>
              <w:t>10.1*</w:t>
            </w:r>
          </w:p>
        </w:tc>
        <w:tc>
          <w:tcPr>
            <w:tcW w:w="8880" w:type="dxa"/>
            <w:vAlign w:val="bottom"/>
            <w:tcBorders>
              <w:bottom w:val="single" w:sz="8" w:color="0000EE"/>
            </w:tcBorders>
            <w:gridSpan w:val="8"/>
          </w:tcPr>
          <w:p>
            <w:pPr>
              <w:spacing w:after="0" w:line="195"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Third Amendment to Credit Agreement, dated as of April 17, 2020 by and among the Company, the Lenders signatory</w:t>
              </w:r>
            </w:hyperlink>
          </w:p>
        </w:tc>
        <w:tc>
          <w:tcPr>
            <w:tcW w:w="460" w:type="dxa"/>
            <w:vAlign w:val="bottom"/>
            <w:gridSpan w:val="3"/>
          </w:tcPr>
          <w:p>
            <w:pPr>
              <w:spacing w:after="0"/>
              <w:rPr>
                <w:sz w:val="17"/>
                <w:szCs w:val="17"/>
                <w:color w:val="auto"/>
              </w:rPr>
            </w:pPr>
          </w:p>
        </w:tc>
      </w:tr>
      <w:tr>
        <w:trPr>
          <w:trHeight w:val="195"/>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40" w:type="dxa"/>
            <w:vAlign w:val="bottom"/>
            <w:gridSpan w:val="11"/>
          </w:tcPr>
          <w:p>
            <w:pPr>
              <w:spacing w:after="0" w:line="195" w:lineRule="exact"/>
              <w:rPr>
                <w:rFonts w:ascii="Arial" w:cs="Arial" w:eastAsia="Arial" w:hAnsi="Arial"/>
                <w:sz w:val="18"/>
                <w:szCs w:val="18"/>
                <w:color w:val="0000EE"/>
              </w:rPr>
            </w:pPr>
            <w:hyperlink w:anchor="page25">
              <w:r>
                <w:rPr>
                  <w:rFonts w:ascii="Arial" w:cs="Arial" w:eastAsia="Arial" w:hAnsi="Arial"/>
                  <w:sz w:val="18"/>
                  <w:szCs w:val="18"/>
                  <w:color w:val="0000EE"/>
                </w:rPr>
                <w:t>thereto and BMO Harris Bank N.A., as Administrative Agent and Collateral Agent</w:t>
              </w:r>
            </w:hyperlink>
          </w:p>
        </w:tc>
      </w:tr>
      <w:tr>
        <w:trPr>
          <w:trHeight w:val="20"/>
        </w:trPr>
        <w:tc>
          <w:tcPr>
            <w:tcW w:w="19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195"/>
        </w:trPr>
        <w:tc>
          <w:tcPr>
            <w:tcW w:w="1900" w:type="dxa"/>
            <w:vAlign w:val="bottom"/>
            <w:gridSpan w:val="3"/>
          </w:tcPr>
          <w:p>
            <w:pPr>
              <w:jc w:val="right"/>
              <w:ind w:right="110"/>
              <w:spacing w:after="0" w:line="195" w:lineRule="exact"/>
              <w:rPr>
                <w:sz w:val="20"/>
                <w:szCs w:val="20"/>
                <w:color w:val="auto"/>
              </w:rPr>
            </w:pPr>
            <w:r>
              <w:rPr>
                <w:rFonts w:ascii="Arial" w:cs="Arial" w:eastAsia="Arial" w:hAnsi="Arial"/>
                <w:sz w:val="18"/>
                <w:szCs w:val="18"/>
                <w:color w:val="auto"/>
              </w:rPr>
              <w:t>31.1*</w:t>
            </w:r>
          </w:p>
        </w:tc>
        <w:tc>
          <w:tcPr>
            <w:tcW w:w="8620" w:type="dxa"/>
            <w:vAlign w:val="bottom"/>
            <w:tcBorders>
              <w:bottom w:val="single" w:sz="8" w:color="0000EE"/>
            </w:tcBorders>
            <w:gridSpan w:val="6"/>
          </w:tcPr>
          <w:p>
            <w:pPr>
              <w:spacing w:after="0" w:line="195"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Certification of CEO pursuant to Rules 13a-14(a) and 15d-14(a) adopted pursuant to Section 302 of the Sarbanes-Oxley</w:t>
              </w:r>
            </w:hyperlink>
          </w:p>
        </w:tc>
        <w:tc>
          <w:tcPr>
            <w:tcW w:w="720" w:type="dxa"/>
            <w:vAlign w:val="bottom"/>
            <w:gridSpan w:val="5"/>
          </w:tcPr>
          <w:p>
            <w:pPr>
              <w:spacing w:after="0"/>
              <w:rPr>
                <w:sz w:val="17"/>
                <w:szCs w:val="17"/>
                <w:color w:val="auto"/>
              </w:rPr>
            </w:pPr>
          </w:p>
        </w:tc>
      </w:tr>
      <w:tr>
        <w:trPr>
          <w:trHeight w:val="195"/>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5"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Act of 2002.</w:t>
              </w:r>
            </w:hyperlink>
          </w:p>
        </w:tc>
        <w:tc>
          <w:tcPr>
            <w:tcW w:w="8420" w:type="dxa"/>
            <w:vAlign w:val="bottom"/>
            <w:gridSpan w:val="9"/>
          </w:tcPr>
          <w:p>
            <w:pPr>
              <w:spacing w:after="0"/>
              <w:rPr>
                <w:sz w:val="17"/>
                <w:szCs w:val="17"/>
                <w:color w:val="auto"/>
              </w:rPr>
            </w:pPr>
          </w:p>
        </w:tc>
      </w:tr>
      <w:tr>
        <w:trPr>
          <w:trHeight w:val="195"/>
        </w:trPr>
        <w:tc>
          <w:tcPr>
            <w:tcW w:w="1900" w:type="dxa"/>
            <w:vAlign w:val="bottom"/>
            <w:gridSpan w:val="3"/>
          </w:tcPr>
          <w:p>
            <w:pPr>
              <w:jc w:val="right"/>
              <w:ind w:right="110"/>
              <w:spacing w:after="0" w:line="195" w:lineRule="exact"/>
              <w:rPr>
                <w:sz w:val="20"/>
                <w:szCs w:val="20"/>
                <w:color w:val="auto"/>
              </w:rPr>
            </w:pPr>
            <w:r>
              <w:rPr>
                <w:rFonts w:ascii="Arial" w:cs="Arial" w:eastAsia="Arial" w:hAnsi="Arial"/>
                <w:sz w:val="18"/>
                <w:szCs w:val="18"/>
                <w:color w:val="auto"/>
              </w:rPr>
              <w:t>31.2*</w:t>
            </w:r>
          </w:p>
        </w:tc>
        <w:tc>
          <w:tcPr>
            <w:tcW w:w="860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Certification of CFO pursuant to Rules 13a-14(a) and 15d-14(a) adopted pursuant to Section 302 of the Sarbanes-Oxley</w:t>
              </w:r>
            </w:hyperlink>
          </w:p>
        </w:tc>
        <w:tc>
          <w:tcPr>
            <w:tcW w:w="740" w:type="dxa"/>
            <w:vAlign w:val="bottom"/>
            <w:gridSpan w:val="6"/>
          </w:tcPr>
          <w:p>
            <w:pPr>
              <w:spacing w:after="0"/>
              <w:rPr>
                <w:sz w:val="17"/>
                <w:szCs w:val="17"/>
                <w:color w:val="auto"/>
              </w:rPr>
            </w:pPr>
          </w:p>
        </w:tc>
      </w:tr>
      <w:tr>
        <w:trPr>
          <w:trHeight w:val="195"/>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5"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Act of 2002.</w:t>
              </w:r>
            </w:hyperlink>
          </w:p>
        </w:tc>
        <w:tc>
          <w:tcPr>
            <w:tcW w:w="8420" w:type="dxa"/>
            <w:vAlign w:val="bottom"/>
            <w:gridSpan w:val="9"/>
          </w:tcPr>
          <w:p>
            <w:pPr>
              <w:spacing w:after="0"/>
              <w:rPr>
                <w:sz w:val="17"/>
                <w:szCs w:val="17"/>
                <w:color w:val="auto"/>
              </w:rPr>
            </w:pPr>
          </w:p>
        </w:tc>
      </w:tr>
      <w:tr>
        <w:trPr>
          <w:trHeight w:val="195"/>
        </w:trPr>
        <w:tc>
          <w:tcPr>
            <w:tcW w:w="1900" w:type="dxa"/>
            <w:vAlign w:val="bottom"/>
            <w:gridSpan w:val="3"/>
          </w:tcPr>
          <w:p>
            <w:pPr>
              <w:jc w:val="right"/>
              <w:ind w:right="110"/>
              <w:spacing w:after="0" w:line="195" w:lineRule="exact"/>
              <w:rPr>
                <w:sz w:val="20"/>
                <w:szCs w:val="20"/>
                <w:color w:val="auto"/>
              </w:rPr>
            </w:pPr>
            <w:r>
              <w:rPr>
                <w:rFonts w:ascii="Arial" w:cs="Arial" w:eastAsia="Arial" w:hAnsi="Arial"/>
                <w:sz w:val="18"/>
                <w:szCs w:val="18"/>
                <w:color w:val="auto"/>
              </w:rPr>
              <w:t>32.1**</w:t>
            </w:r>
          </w:p>
        </w:tc>
        <w:tc>
          <w:tcPr>
            <w:tcW w:w="9340" w:type="dxa"/>
            <w:vAlign w:val="bottom"/>
            <w:gridSpan w:val="11"/>
          </w:tcPr>
          <w:p>
            <w:pPr>
              <w:spacing w:after="0" w:line="195"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Certification of CEO pursuant to 18 U.S.C. Section 1350 as adopted pursuant to Section 906 of the Sarbanes-Oxley Act of</w:t>
              </w:r>
            </w:hyperlink>
          </w:p>
        </w:tc>
      </w:tr>
      <w:tr>
        <w:trPr>
          <w:trHeight w:val="195"/>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2002.</w:t>
              </w:r>
            </w:hyperlink>
          </w:p>
        </w:tc>
        <w:tc>
          <w:tcPr>
            <w:tcW w:w="5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5"/>
        </w:trPr>
        <w:tc>
          <w:tcPr>
            <w:tcW w:w="1900" w:type="dxa"/>
            <w:vAlign w:val="bottom"/>
            <w:gridSpan w:val="3"/>
          </w:tcPr>
          <w:p>
            <w:pPr>
              <w:jc w:val="right"/>
              <w:ind w:right="110"/>
              <w:spacing w:after="0" w:line="195" w:lineRule="exact"/>
              <w:rPr>
                <w:sz w:val="20"/>
                <w:szCs w:val="20"/>
                <w:color w:val="auto"/>
              </w:rPr>
            </w:pPr>
            <w:r>
              <w:rPr>
                <w:rFonts w:ascii="Arial" w:cs="Arial" w:eastAsia="Arial" w:hAnsi="Arial"/>
                <w:sz w:val="18"/>
                <w:szCs w:val="18"/>
                <w:color w:val="auto"/>
              </w:rPr>
              <w:t>32.2**</w:t>
            </w:r>
          </w:p>
        </w:tc>
        <w:tc>
          <w:tcPr>
            <w:tcW w:w="9340" w:type="dxa"/>
            <w:vAlign w:val="bottom"/>
            <w:gridSpan w:val="11"/>
          </w:tcPr>
          <w:p>
            <w:pPr>
              <w:spacing w:after="0" w:line="195"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Certification of CFO pursuant to 18 U.S.C. Section 1350 as adopted pursuant to Section 906 of the Sarbanes-Oxley Act of</w:t>
              </w:r>
            </w:hyperlink>
          </w:p>
        </w:tc>
      </w:tr>
      <w:tr>
        <w:trPr>
          <w:trHeight w:val="195"/>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2002.</w:t>
              </w:r>
            </w:hyperlink>
          </w:p>
        </w:tc>
        <w:tc>
          <w:tcPr>
            <w:tcW w:w="5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101.INS</w:t>
            </w:r>
          </w:p>
        </w:tc>
        <w:tc>
          <w:tcPr>
            <w:tcW w:w="9340" w:type="dxa"/>
            <w:vAlign w:val="bottom"/>
            <w:gridSpan w:val="11"/>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r>
      <w:tr>
        <w:trPr>
          <w:trHeight w:val="215"/>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5"/>
        </w:trPr>
        <w:tc>
          <w:tcPr>
            <w:tcW w:w="54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101.SCH*</w:t>
            </w:r>
          </w:p>
        </w:tc>
        <w:tc>
          <w:tcPr>
            <w:tcW w:w="93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54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101.CAL*</w:t>
            </w:r>
          </w:p>
        </w:tc>
        <w:tc>
          <w:tcPr>
            <w:tcW w:w="93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54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101.DEF*</w:t>
            </w:r>
          </w:p>
        </w:tc>
        <w:tc>
          <w:tcPr>
            <w:tcW w:w="93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54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101.LAB*</w:t>
            </w:r>
          </w:p>
        </w:tc>
        <w:tc>
          <w:tcPr>
            <w:tcW w:w="93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54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101.PRE*</w:t>
            </w:r>
          </w:p>
        </w:tc>
        <w:tc>
          <w:tcPr>
            <w:tcW w:w="93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-3771265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-3779520</wp:posOffset>
            </wp:positionV>
            <wp:extent cx="82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ind w:left="1900" w:hanging="464"/>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w:t>
      </w:r>
    </w:p>
    <w:p>
      <w:pPr>
        <w:spacing w:after="0" w:line="20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16"/>
          <w:szCs w:val="16"/>
          <w:color w:val="auto"/>
        </w:rPr>
        <w:t>Filed herewith</w:t>
      </w:r>
    </w:p>
    <w:p>
      <w:pPr>
        <w:spacing w:after="0" w:line="12" w:lineRule="exact"/>
        <w:rPr>
          <w:rFonts w:ascii="Arial" w:cs="Arial" w:eastAsia="Arial" w:hAnsi="Arial"/>
          <w:sz w:val="18"/>
          <w:szCs w:val="18"/>
          <w:color w:val="auto"/>
        </w:rPr>
      </w:pPr>
    </w:p>
    <w:p>
      <w:pPr>
        <w:jc w:val="both"/>
        <w:ind w:left="1780" w:right="20" w:hanging="641"/>
        <w:spacing w:after="0" w:line="253"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3" w:lineRule="exact"/>
        <w:rPr>
          <w:sz w:val="20"/>
          <w:szCs w:val="20"/>
          <w:color w:val="auto"/>
        </w:rPr>
      </w:pPr>
    </w:p>
    <w:p>
      <w:pPr>
        <w:ind w:left="420" w:right="400" w:firstLine="242"/>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5080" w:type="dxa"/>
            <w:vAlign w:val="bottom"/>
            <w:gridSpan w:val="3"/>
          </w:tcPr>
          <w:p>
            <w:pPr>
              <w:ind w:left="1960"/>
              <w:spacing w:after="0"/>
              <w:rPr>
                <w:sz w:val="20"/>
                <w:szCs w:val="20"/>
                <w:color w:val="auto"/>
              </w:rPr>
            </w:pPr>
            <w:r>
              <w:rPr>
                <w:rFonts w:ascii="Arial" w:cs="Arial" w:eastAsia="Arial" w:hAnsi="Arial"/>
                <w:sz w:val="18"/>
                <w:szCs w:val="18"/>
                <w:color w:val="auto"/>
              </w:rPr>
              <w:t>RUSH ENTERPRISES, INC.</w:t>
            </w:r>
          </w:p>
        </w:tc>
      </w:tr>
      <w:tr>
        <w:trPr>
          <w:trHeight w:val="606"/>
        </w:trPr>
        <w:tc>
          <w:tcPr>
            <w:tcW w:w="3680" w:type="dxa"/>
            <w:vAlign w:val="bottom"/>
          </w:tcPr>
          <w:p>
            <w:pPr>
              <w:spacing w:after="0"/>
              <w:rPr>
                <w:sz w:val="20"/>
                <w:szCs w:val="20"/>
                <w:color w:val="auto"/>
              </w:rPr>
            </w:pPr>
            <w:r>
              <w:rPr>
                <w:rFonts w:ascii="Arial" w:cs="Arial" w:eastAsia="Arial" w:hAnsi="Arial"/>
                <w:sz w:val="18"/>
                <w:szCs w:val="18"/>
                <w:color w:val="auto"/>
              </w:rPr>
              <w:t>Date:   August 7, 2020</w:t>
            </w:r>
          </w:p>
        </w:tc>
        <w:tc>
          <w:tcPr>
            <w:tcW w:w="5080" w:type="dxa"/>
            <w:vAlign w:val="bottom"/>
            <w:gridSpan w:val="3"/>
          </w:tcPr>
          <w:p>
            <w:pPr>
              <w:ind w:left="1960"/>
              <w:spacing w:after="0"/>
              <w:rPr>
                <w:sz w:val="20"/>
                <w:szCs w:val="20"/>
                <w:color w:val="auto"/>
              </w:rPr>
            </w:pPr>
            <w:r>
              <w:rPr>
                <w:rFonts w:ascii="Arial" w:cs="Arial" w:eastAsia="Arial" w:hAnsi="Arial"/>
                <w:sz w:val="18"/>
                <w:szCs w:val="18"/>
                <w:color w:val="auto"/>
              </w:rPr>
              <w:t>By: /S/ W.M. “RUSTY” RUSH</w:t>
            </w:r>
          </w:p>
        </w:tc>
      </w:tr>
      <w:tr>
        <w:trPr>
          <w:trHeight w:val="222"/>
        </w:trPr>
        <w:tc>
          <w:tcPr>
            <w:tcW w:w="3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820" w:type="dxa"/>
            <w:vAlign w:val="bottom"/>
          </w:tcPr>
          <w:p>
            <w:pPr>
              <w:spacing w:after="0"/>
              <w:rPr>
                <w:sz w:val="19"/>
                <w:szCs w:val="19"/>
                <w:color w:val="auto"/>
              </w:rPr>
            </w:pPr>
          </w:p>
        </w:tc>
      </w:tr>
      <w:tr>
        <w:trPr>
          <w:trHeight w:val="215"/>
        </w:trPr>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5"/>
        </w:trPr>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0" w:gutter="0" w:footer="0" w:header="0"/>
        </w:sectPr>
      </w:pPr>
    </w:p>
    <w:bookmarkStart w:id="23" w:name="page24"/>
    <w:bookmarkEnd w:id="23"/>
    <w:p>
      <w:pPr>
        <w:spacing w:after="0"/>
        <w:tabs>
          <w:tab w:leader="none" w:pos="600" w:val="left"/>
        </w:tabs>
        <w:rPr>
          <w:sz w:val="20"/>
          <w:szCs w:val="20"/>
          <w:color w:val="auto"/>
        </w:rPr>
      </w:pPr>
      <w:r>
        <w:rPr>
          <w:rFonts w:ascii="Arial" w:cs="Arial" w:eastAsia="Arial" w:hAnsi="Arial"/>
          <w:sz w:val="18"/>
          <w:szCs w:val="18"/>
          <w:color w:val="auto"/>
        </w:rPr>
        <w:t>Date:</w:t>
        <w:tab/>
        <w:t>August 7,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KELLER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Steven L. Keller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(Principal Financial and Accounting Officer)</w:t>
      </w: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139"/>
          </w:cols>
          <w:pgMar w:left="320" w:top="341"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AND THIRD AMENDMENT TO CREDIT AGREEMENT</w:t>
      </w:r>
    </w:p>
    <w:p>
      <w:pPr>
        <w:spacing w:after="0" w:line="228"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color w:val="auto"/>
        </w:rPr>
        <w:t>THIS CONSENT AND THIRD AMENDMENT TO CREDIT AGREEMENT, dated as of April 17, 2020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by and among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North Carolina, Inc., Rush Truck Centers of Idaho, Inc., Rush Truck Centers of Utah, Inc., Rush Truck Centers of Ohio, Inc., Rush Truck Centers of Kansas, Inc., Rush Truck Centers of Missouri, Inc., Rush Truck Centers of Virginia Inc., Rush Truck Centers of Indiana Inc., Rush Truck Centers of Illinois Inc., Rush Truck Centers of Nevada, Inc., Rush Truck Centers of Kentucky, Inc., RIG TOUGH, INC., LOS CUERNOS, INC., AIRUSH, INC., RUSH TRUCK LEASING, INC.,</w:t>
      </w:r>
    </w:p>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RUSH ADMINISTRATIVE SERVICES, INC., RUSH MEDIUM-DUTY TRUCK CENTERS OF CALIFORNIA, INC., RUSH TRUCK CENTERS OF NEBRASKA, INC., RUSH TRUCK CENTERS OF PENNSYLVANIA, INC., RTC CENTRAL SAN ANTONIO, INC., each a Delaware corporation, Rush Truck Centers of Texas, L.P., a Texas limited partnership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Rush Enterprises, Inc., a Texas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each Lender (as defined below) party hereto and BMO HARRIS BANK N.A., in its capacity as administrative agent under the Loan Documents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4" w:lineRule="exact"/>
        <w:rPr>
          <w:sz w:val="20"/>
          <w:szCs w:val="20"/>
          <w:color w:val="auto"/>
        </w:rPr>
      </w:pPr>
    </w:p>
    <w:p>
      <w:pPr>
        <w:jc w:val="both"/>
        <w:ind w:firstLine="654"/>
        <w:spacing w:after="0" w:line="275" w:lineRule="auto"/>
        <w:tabs>
          <w:tab w:leader="none" w:pos="106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Borrowers, Holdings, each other Loan Party party thereto from time to time, the financial institutions party thereto from time to time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and the Administrative Agent are parties to that certain Credit Agreement, dated as of March 21, 2017 (as amended by that certain First Amendment to Credit Agreement, dated as of April 25, 2019, and that certain Second Amendment and Joinder to Credit Agreement, dated as of March 19, 2020, and as may be further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but not defined herein shall have the meanings indicated in the Credit Agreement, as amended hereby).</w:t>
      </w:r>
    </w:p>
    <w:p>
      <w:pPr>
        <w:spacing w:after="0" w:line="173" w:lineRule="exact"/>
        <w:rPr>
          <w:rFonts w:ascii="Arial" w:cs="Arial" w:eastAsia="Arial" w:hAnsi="Arial"/>
          <w:sz w:val="17"/>
          <w:szCs w:val="17"/>
          <w:color w:val="auto"/>
        </w:rPr>
      </w:pPr>
    </w:p>
    <w:p>
      <w:pPr>
        <w:ind w:left="1120" w:hanging="466"/>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Borrowers have informed the Administrative Agent that they have previously applied, or intend to apply, for one or more SBA PPP</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Loans.</w:t>
      </w:r>
    </w:p>
    <w:p>
      <w:pPr>
        <w:spacing w:after="0" w:line="209" w:lineRule="exact"/>
        <w:rPr>
          <w:rFonts w:ascii="Arial" w:cs="Arial" w:eastAsia="Arial" w:hAnsi="Arial"/>
          <w:sz w:val="17"/>
          <w:szCs w:val="17"/>
          <w:color w:val="auto"/>
        </w:rPr>
      </w:pPr>
    </w:p>
    <w:p>
      <w:pPr>
        <w:jc w:val="both"/>
        <w:ind w:firstLine="654"/>
        <w:spacing w:after="0" w:line="263" w:lineRule="auto"/>
        <w:tabs>
          <w:tab w:leader="none" w:pos="104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foregoing, the Borrowers have requested that the Lenders, and the Lenders signatory hereto have agreed to, (i) provide certain consents under the Credit Agreement and (ii) amend the Credit Agreement in certain respects, in each case, subject to the terms and conditions hereof.</w:t>
      </w:r>
    </w:p>
    <w:p>
      <w:pPr>
        <w:spacing w:after="0" w:line="182"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NOW, THEREFORE, in consideration of the premises and the mutual covenants hereinafter contained, and intending to be legally bound, the parties hereto agree as follows:</w:t>
      </w:r>
    </w:p>
    <w:p>
      <w:pPr>
        <w:spacing w:after="0" w:line="170" w:lineRule="exact"/>
        <w:rPr>
          <w:sz w:val="20"/>
          <w:szCs w:val="20"/>
          <w:color w:val="auto"/>
        </w:rPr>
      </w:pPr>
    </w:p>
    <w:p>
      <w:pPr>
        <w:ind w:left="5060" w:hanging="144"/>
        <w:spacing w:after="0"/>
        <w:tabs>
          <w:tab w:leader="none" w:pos="506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223" w:lineRule="exact"/>
        <w:rPr>
          <w:rFonts w:ascii="Arial" w:cs="Arial" w:eastAsia="Arial" w:hAnsi="Arial"/>
          <w:sz w:val="18"/>
          <w:szCs w:val="18"/>
          <w:color w:val="auto"/>
        </w:rPr>
      </w:pPr>
    </w:p>
    <w:p>
      <w:pPr>
        <w:ind w:firstLine="654"/>
        <w:spacing w:after="0" w:line="276" w:lineRule="auto"/>
        <w:tabs>
          <w:tab w:leader="none" w:pos="108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Amendments to Section 1.01</w:t>
      </w:r>
      <w:r>
        <w:rPr>
          <w:rFonts w:ascii="Arial" w:cs="Arial" w:eastAsia="Arial" w:hAnsi="Arial"/>
          <w:sz w:val="18"/>
          <w:szCs w:val="18"/>
          <w:color w:val="auto"/>
        </w:rPr>
        <w:t>. Section 1.01 (Defined Terms) of the Credit Agreement is amended by inserting the following new defined terms in appropriate alphabetical order:</w:t>
      </w:r>
    </w:p>
    <w:p>
      <w:pPr>
        <w:spacing w:after="0" w:line="170" w:lineRule="exact"/>
        <w:rPr>
          <w:sz w:val="20"/>
          <w:szCs w:val="20"/>
          <w:color w:val="auto"/>
        </w:rPr>
      </w:pPr>
    </w:p>
    <w:p>
      <w:pPr>
        <w:ind w:left="660" w:right="640" w:firstLine="32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means the Coronavirus Aid, Relief, and Economic Security Act, or the CARES Act, and applicable rules and regulations,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60" w:right="660" w:firstLine="32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Payroll Costs</w:t>
      </w:r>
      <w:r>
        <w:rPr>
          <w:rFonts w:ascii="Arial" w:cs="Arial" w:eastAsia="Arial" w:hAnsi="Arial"/>
          <w:sz w:val="18"/>
          <w:szCs w:val="18"/>
          <w:color w:val="auto"/>
        </w:rPr>
        <w:t>" means "payroll costs" as defined in 15 U.S.C. 636(a)(36)(A)(viii) (as added to the Small Business Act by Section 1102 of the CARES Act).</w:t>
      </w:r>
    </w:p>
    <w:p>
      <w:pPr>
        <w:spacing w:after="0" w:line="170" w:lineRule="exact"/>
        <w:rPr>
          <w:sz w:val="20"/>
          <w:szCs w:val="20"/>
          <w:color w:val="auto"/>
        </w:rPr>
      </w:pPr>
    </w:p>
    <w:p>
      <w:pPr>
        <w:ind w:left="660" w:right="660" w:firstLine="32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Forgivable Uses</w:t>
      </w:r>
      <w:r>
        <w:rPr>
          <w:rFonts w:ascii="Arial" w:cs="Arial" w:eastAsia="Arial" w:hAnsi="Arial"/>
          <w:sz w:val="18"/>
          <w:szCs w:val="18"/>
          <w:color w:val="auto"/>
        </w:rPr>
        <w:t>” means uses of proceeds of an SBA PPP Loan that are eligible for forgiveness under Section 1106 of the CARES Act.</w:t>
      </w:r>
    </w:p>
    <w:p>
      <w:pPr>
        <w:spacing w:after="0" w:line="170" w:lineRule="exact"/>
        <w:rPr>
          <w:sz w:val="20"/>
          <w:szCs w:val="20"/>
          <w:color w:val="auto"/>
        </w:rPr>
      </w:pPr>
    </w:p>
    <w:p>
      <w:pPr>
        <w:ind w:left="660" w:right="660" w:firstLine="32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Forgiveness Application Deadline</w:t>
      </w:r>
      <w:r>
        <w:rPr>
          <w:rFonts w:ascii="Arial" w:cs="Arial" w:eastAsia="Arial" w:hAnsi="Arial"/>
          <w:sz w:val="18"/>
          <w:szCs w:val="18"/>
          <w:color w:val="auto"/>
        </w:rPr>
        <w:t>” means, as to any SBA PPP Loan, the last day to apply for forgiveness of such SBA PPP Loan pursuant to Section 1106 of the CARES Act and the applicable rules and regulations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Small Business Act</w:t>
      </w:r>
      <w:r>
        <w:rPr>
          <w:rFonts w:ascii="Arial" w:cs="Arial" w:eastAsia="Arial" w:hAnsi="Arial"/>
          <w:sz w:val="18"/>
          <w:szCs w:val="18"/>
          <w:color w:val="auto"/>
        </w:rPr>
        <w:t>" means the Small Business Act (15 U.S. Code Chapter 14A – Aid to Small Business).</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U.S. Small Business Administration.</w:t>
      </w:r>
    </w:p>
    <w:p>
      <w:pPr>
        <w:spacing w:after="0" w:line="224" w:lineRule="exact"/>
        <w:rPr>
          <w:sz w:val="20"/>
          <w:szCs w:val="20"/>
          <w:color w:val="auto"/>
        </w:rPr>
      </w:pPr>
    </w:p>
    <w:p>
      <w:pPr>
        <w:ind w:left="660" w:right="660" w:firstLine="32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 PPP Loan</w:t>
      </w:r>
      <w:r>
        <w:rPr>
          <w:rFonts w:ascii="Arial" w:cs="Arial" w:eastAsia="Arial" w:hAnsi="Arial"/>
          <w:sz w:val="18"/>
          <w:szCs w:val="18"/>
          <w:color w:val="auto"/>
        </w:rPr>
        <w:t>" means a loan incurred by any Borrower under 15 U.S.C. 636(a)(36) (as added to the Small Business Act by Section 1102 of the CARES Act).</w:t>
      </w:r>
    </w:p>
    <w:p>
      <w:pPr>
        <w:spacing w:after="0" w:line="170" w:lineRule="exact"/>
        <w:rPr>
          <w:sz w:val="20"/>
          <w:szCs w:val="20"/>
          <w:color w:val="auto"/>
        </w:rPr>
      </w:pPr>
    </w:p>
    <w:p>
      <w:pPr>
        <w:ind w:left="660" w:right="660" w:firstLine="32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 PPP Loan Date</w:t>
      </w:r>
      <w:r>
        <w:rPr>
          <w:rFonts w:ascii="Arial" w:cs="Arial" w:eastAsia="Arial" w:hAnsi="Arial"/>
          <w:sz w:val="18"/>
          <w:szCs w:val="18"/>
          <w:color w:val="auto"/>
        </w:rPr>
        <w:t>" means, as to any SBA PPP Loan, the date on which the applicable Borrower receives the proceeds of such SBA PPP Loan.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 Date</w:t>
      </w:r>
      <w:r>
        <w:rPr>
          <w:rFonts w:ascii="Arial" w:cs="Arial" w:eastAsia="Arial" w:hAnsi="Arial"/>
          <w:sz w:val="18"/>
          <w:szCs w:val="18"/>
          <w:color w:val="auto"/>
        </w:rPr>
        <w:t>” means April 17, 2020.</w:t>
      </w:r>
    </w:p>
    <w:p>
      <w:pPr>
        <w:spacing w:after="0" w:line="224" w:lineRule="exact"/>
        <w:rPr>
          <w:sz w:val="20"/>
          <w:szCs w:val="20"/>
          <w:color w:val="auto"/>
        </w:rPr>
      </w:pPr>
    </w:p>
    <w:p>
      <w:pPr>
        <w:ind w:left="1040" w:hanging="386"/>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Amendment to Article VII</w:t>
      </w:r>
      <w:r>
        <w:rPr>
          <w:rFonts w:ascii="Arial" w:cs="Arial" w:eastAsia="Arial" w:hAnsi="Arial"/>
          <w:sz w:val="17"/>
          <w:szCs w:val="17"/>
          <w:color w:val="auto"/>
        </w:rPr>
        <w:t>. Article VII (Affirmative Covenants) of the Credit Agreement is amended by inserting the following new Section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7.14 (SBA PPP Loans) immediately after Section 7.13 (Future Borrowers) appearing therein:</w:t>
      </w:r>
    </w:p>
    <w:p>
      <w:pPr>
        <w:spacing w:after="0" w:line="206"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6"/>
          <w:szCs w:val="16"/>
          <w:b w:val="1"/>
          <w:bCs w:val="1"/>
          <w:color w:val="auto"/>
        </w:rPr>
        <w:t>SBA PPP Loans.</w:t>
      </w:r>
    </w:p>
    <w:p>
      <w:pPr>
        <w:spacing w:after="0" w:line="228" w:lineRule="exact"/>
        <w:rPr>
          <w:sz w:val="20"/>
          <w:szCs w:val="20"/>
          <w:color w:val="auto"/>
        </w:rPr>
      </w:pPr>
    </w:p>
    <w:p>
      <w:pPr>
        <w:ind w:left="660" w:right="640" w:firstLine="323"/>
        <w:spacing w:after="0" w:line="290" w:lineRule="auto"/>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xml:space="preserve">a) </w:t>
      </w:r>
      <w:r>
        <w:rPr>
          <w:rFonts w:ascii="Arial" w:cs="Arial" w:eastAsia="Arial" w:hAnsi="Arial"/>
          <w:sz w:val="16"/>
          <w:szCs w:val="16"/>
          <w:u w:val="single" w:color="auto"/>
          <w:color w:val="auto"/>
        </w:rPr>
        <w:t>Use of Proceeds; Conduct of Business</w:t>
      </w:r>
      <w:r>
        <w:rPr>
          <w:rFonts w:ascii="Arial" w:cs="Arial" w:eastAsia="Arial" w:hAnsi="Arial"/>
          <w:sz w:val="16"/>
          <w:szCs w:val="16"/>
          <w:color w:val="auto"/>
        </w:rPr>
        <w:t>. The Loan Parties shall (i) use all of the proceeds of each SBA PPP Loan exclusively for CARES Forgivable Uses in the manner required under the CARES Act to obtain forgiveness of the largest possible amount of such SBA</w:t>
      </w:r>
    </w:p>
    <w:p>
      <w:pPr>
        <w:spacing w:after="0" w:line="1" w:lineRule="exact"/>
        <w:rPr>
          <w:sz w:val="20"/>
          <w:szCs w:val="20"/>
          <w:color w:val="auto"/>
        </w:rPr>
      </w:pPr>
    </w:p>
    <w:p>
      <w:pPr>
        <w:jc w:val="both"/>
        <w:ind w:left="660" w:right="640" w:hanging="6"/>
        <w:spacing w:after="0" w:line="276" w:lineRule="auto"/>
        <w:tabs>
          <w:tab w:leader="none" w:pos="10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Loan, which as of the Third Amendment Date requires that the Loan Parties use not less than 75% of such SBA PPP Loan proceeds for CARES Payroll Costs and (ii) use commercially reasonable efforts to conduct their business in a manner that maximizes the amount of SBA PPP Loans that is forgiven.</w:t>
      </w:r>
    </w:p>
    <w:p>
      <w:pPr>
        <w:spacing w:after="0" w:line="173" w:lineRule="exact"/>
        <w:rPr>
          <w:rFonts w:ascii="Arial" w:cs="Arial" w:eastAsia="Arial" w:hAnsi="Arial"/>
          <w:sz w:val="17"/>
          <w:szCs w:val="17"/>
          <w:color w:val="auto"/>
        </w:rPr>
      </w:pPr>
    </w:p>
    <w:p>
      <w:pPr>
        <w:ind w:left="660" w:right="660" w:firstLine="317"/>
        <w:spacing w:after="0" w:line="276" w:lineRule="auto"/>
        <w:tabs>
          <w:tab w:leader="none" w:pos="145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Non-Sweeping Account</w:t>
      </w:r>
      <w:r>
        <w:rPr>
          <w:rFonts w:ascii="Arial" w:cs="Arial" w:eastAsia="Arial" w:hAnsi="Arial"/>
          <w:sz w:val="18"/>
          <w:szCs w:val="18"/>
          <w:color w:val="auto"/>
        </w:rPr>
        <w:t>. Notwithstanding anything contained in this Agreement, the Loan Parties shall maintain the proceeds of each SBA PPP Loan in an account that does not sweep funds and apply them to the Obligations.</w:t>
      </w:r>
    </w:p>
    <w:p>
      <w:pPr>
        <w:spacing w:after="0" w:line="170" w:lineRule="exact"/>
        <w:rPr>
          <w:rFonts w:ascii="Arial" w:cs="Arial" w:eastAsia="Arial" w:hAnsi="Arial"/>
          <w:sz w:val="18"/>
          <w:szCs w:val="18"/>
          <w:color w:val="auto"/>
        </w:rPr>
      </w:pPr>
    </w:p>
    <w:p>
      <w:pPr>
        <w:jc w:val="both"/>
        <w:ind w:left="660" w:right="640" w:firstLine="317"/>
        <w:spacing w:after="0" w:line="293" w:lineRule="auto"/>
        <w:tabs>
          <w:tab w:leader="none" w:pos="1461"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Maintenance of Records; Forgiveness</w:t>
      </w:r>
      <w:r>
        <w:rPr>
          <w:rFonts w:ascii="Arial" w:cs="Arial" w:eastAsia="Arial" w:hAnsi="Arial"/>
          <w:sz w:val="16"/>
          <w:szCs w:val="16"/>
          <w:color w:val="auto"/>
        </w:rPr>
        <w:t>. The Loan Parties shall (i) maintain all records required to be submitted in connection with the forgiveness of each SBA PPP Loan, (ii) apply for forgiveness of each SBA PPP Loan in accordance with regulations implementing Section 1106 of the CARES Act as promptly as practicable after the last day of the eight week period immediately following the SBA PPP Loan Date applicable to such SBA PPP Loan, but in no event later than the CARES Forgiveness Application Deadline, and (iii) provide the Administrative Agent with a copy of its application for forgiveness and all supporting documentation required by the SBA or each SBA PPP Loan lender in connection with the forgiveness of each SBA PPP Loan.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6" w:name="page27"/>
    <w:bookmarkEnd w:id="26"/>
    <w:p>
      <w:pPr>
        <w:ind w:firstLine="654"/>
        <w:spacing w:after="0" w:line="276" w:lineRule="auto"/>
        <w:tabs>
          <w:tab w:leader="none" w:pos="101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 to Section 9.01(b)</w:t>
      </w:r>
      <w:r>
        <w:rPr>
          <w:rFonts w:ascii="Arial" w:cs="Arial" w:eastAsia="Arial" w:hAnsi="Arial"/>
          <w:sz w:val="18"/>
          <w:szCs w:val="18"/>
          <w:color w:val="auto"/>
        </w:rPr>
        <w:t>. Section 9.01(b) (Specific Covenants) of the Credit Agreement is amended by replacing the text “or 7.12 (Use of Proceeds)” in such Section with the text “, 7.12 (Use of Proceeds) or 7.14 (SBA PPP Loans)”.</w:t>
      </w:r>
    </w:p>
    <w:p>
      <w:pPr>
        <w:spacing w:after="0" w:line="170" w:lineRule="exact"/>
        <w:rPr>
          <w:rFonts w:ascii="Arial" w:cs="Arial" w:eastAsia="Arial" w:hAnsi="Arial"/>
          <w:sz w:val="18"/>
          <w:szCs w:val="18"/>
          <w:color w:val="auto"/>
        </w:rPr>
      </w:pPr>
    </w:p>
    <w:p>
      <w:pPr>
        <w:jc w:val="both"/>
        <w:ind w:firstLine="654"/>
        <w:spacing w:after="0" w:line="263" w:lineRule="auto"/>
        <w:tabs>
          <w:tab w:leader="none" w:pos="108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 to Article XI</w:t>
      </w:r>
      <w:r>
        <w:rPr>
          <w:rFonts w:ascii="Arial" w:cs="Arial" w:eastAsia="Arial" w:hAnsi="Arial"/>
          <w:sz w:val="18"/>
          <w:szCs w:val="18"/>
          <w:color w:val="auto"/>
        </w:rPr>
        <w:t>. Article XI (Miscellaneous) of the Credit Agreement is amended by inserting the following new Section 11.21 (Acknowledgement Regarding Any Supported QFCs) immediately after Section 11.20 (Acknowledgement and Consent to Bail-In of EEA Financial Institutions) appearing therein:</w:t>
      </w:r>
    </w:p>
    <w:p>
      <w:pPr>
        <w:spacing w:after="0" w:line="178" w:lineRule="exact"/>
        <w:rPr>
          <w:sz w:val="20"/>
          <w:szCs w:val="20"/>
          <w:color w:val="auto"/>
        </w:rPr>
      </w:pPr>
    </w:p>
    <w:p>
      <w:pPr>
        <w:jc w:val="both"/>
        <w:ind w:left="660" w:right="660" w:firstLine="323"/>
        <w:spacing w:after="0" w:line="254" w:lineRule="auto"/>
        <w:rPr>
          <w:sz w:val="20"/>
          <w:szCs w:val="20"/>
          <w:color w:val="auto"/>
        </w:rPr>
      </w:pPr>
      <w:r>
        <w:rPr>
          <w:rFonts w:ascii="Arial" w:cs="Arial" w:eastAsia="Arial" w:hAnsi="Arial"/>
          <w:sz w:val="18"/>
          <w:szCs w:val="18"/>
          <w:b w:val="1"/>
          <w:bCs w:val="1"/>
          <w:color w:val="auto"/>
        </w:rPr>
        <w:t xml:space="preserve">11.21 Acknowledgement Regarding Any Supported QFCs. </w:t>
      </w:r>
      <w:r>
        <w:rPr>
          <w:rFonts w:ascii="Arial" w:cs="Arial" w:eastAsia="Arial" w:hAnsi="Arial"/>
          <w:sz w:val="18"/>
          <w:szCs w:val="18"/>
          <w:color w:val="auto"/>
        </w:rPr>
        <w:t>To the extent that the Loan Documents provide support,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or otherwise, for Swap Contracts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1" w:lineRule="exact"/>
        <w:rPr>
          <w:sz w:val="20"/>
          <w:szCs w:val="20"/>
          <w:color w:val="auto"/>
        </w:rPr>
      </w:pPr>
    </w:p>
    <w:p>
      <w:pPr>
        <w:jc w:val="both"/>
        <w:ind w:left="660" w:right="640" w:firstLine="317"/>
        <w:spacing w:after="0" w:line="286" w:lineRule="auto"/>
        <w:tabs>
          <w:tab w:leader="none" w:pos="14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rFonts w:ascii="Arial" w:cs="Arial" w:eastAsia="Arial" w:hAnsi="Arial"/>
          <w:sz w:val="16"/>
          <w:szCs w:val="16"/>
          <w:color w:val="auto"/>
        </w:rPr>
      </w:pPr>
    </w:p>
    <w:p>
      <w:pPr>
        <w:ind w:left="1400" w:hanging="423"/>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used in this Section 11.21, the following terms have the following meanings:</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1841(k)) of such party.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7" w:name="page28"/>
    <w:bookmarkEnd w:id="27"/>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4" w:lineRule="exact"/>
        <w:rPr>
          <w:sz w:val="20"/>
          <w:szCs w:val="20"/>
          <w:color w:val="auto"/>
        </w:rPr>
      </w:pPr>
    </w:p>
    <w:p>
      <w:pPr>
        <w:ind w:left="2100" w:hanging="476"/>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§252.82(b);</w:t>
      </w:r>
    </w:p>
    <w:p>
      <w:pPr>
        <w:spacing w:after="0" w:line="223" w:lineRule="exact"/>
        <w:rPr>
          <w:rFonts w:ascii="Arial" w:cs="Arial" w:eastAsia="Arial" w:hAnsi="Arial"/>
          <w:sz w:val="18"/>
          <w:szCs w:val="18"/>
          <w:color w:val="auto"/>
        </w:rPr>
      </w:pPr>
    </w:p>
    <w:p>
      <w:pPr>
        <w:ind w:left="2120" w:hanging="496"/>
        <w:spacing w:after="0"/>
        <w:tabs>
          <w:tab w:leader="none" w:pos="2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§47.3(b); or</w:t>
      </w:r>
    </w:p>
    <w:p>
      <w:pPr>
        <w:spacing w:after="0" w:line="224" w:lineRule="exact"/>
        <w:rPr>
          <w:rFonts w:ascii="Arial" w:cs="Arial" w:eastAsia="Arial" w:hAnsi="Arial"/>
          <w:sz w:val="18"/>
          <w:szCs w:val="18"/>
          <w:color w:val="auto"/>
        </w:rPr>
      </w:pPr>
    </w:p>
    <w:p>
      <w:pPr>
        <w:ind w:left="2120" w:hanging="496"/>
        <w:spacing w:after="0"/>
        <w:tabs>
          <w:tab w:leader="none" w:pos="2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§382.2(b).</w:t>
      </w:r>
    </w:p>
    <w:p>
      <w:pPr>
        <w:spacing w:after="0" w:line="224" w:lineRule="exact"/>
        <w:rPr>
          <w:sz w:val="20"/>
          <w:szCs w:val="20"/>
          <w:color w:val="auto"/>
        </w:rPr>
      </w:pPr>
    </w:p>
    <w:p>
      <w:pPr>
        <w:ind w:left="660" w:right="640" w:firstLine="32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§§252.81, 47.2 or 382.1, as applicable.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5390(c)(8)(D).</w:t>
      </w:r>
    </w:p>
    <w:p>
      <w:pPr>
        <w:spacing w:after="0" w:line="210" w:lineRule="exact"/>
        <w:rPr>
          <w:sz w:val="20"/>
          <w:szCs w:val="20"/>
          <w:color w:val="auto"/>
        </w:rPr>
      </w:pPr>
    </w:p>
    <w:p>
      <w:pPr>
        <w:ind w:left="3380" w:hanging="399"/>
        <w:spacing w:after="0"/>
        <w:tabs>
          <w:tab w:leader="none" w:pos="33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CONSENT AND AGREEMENT REGARDING SBA PPP LOANS</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Notwithstanding anything to the contrary contained in the Credit Agreement, the parties hereto consent and agree, as applicable, as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0" w:lineRule="exact"/>
        <w:rPr>
          <w:sz w:val="20"/>
          <w:szCs w:val="20"/>
          <w:color w:val="auto"/>
        </w:rPr>
      </w:pPr>
    </w:p>
    <w:p>
      <w:pPr>
        <w:ind w:firstLine="654"/>
        <w:spacing w:after="0" w:line="276" w:lineRule="auto"/>
        <w:tabs>
          <w:tab w:leader="none" w:pos="10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SBA PPP Loan</w:t>
      </w:r>
      <w:r>
        <w:rPr>
          <w:rFonts w:ascii="Arial" w:cs="Arial" w:eastAsia="Arial" w:hAnsi="Arial"/>
          <w:sz w:val="18"/>
          <w:szCs w:val="18"/>
          <w:color w:val="auto"/>
        </w:rPr>
        <w:t>. Notwithstanding anything contained in the Credit Agreement, including any restrictions on the ability of the Loan Parties to incur Indebtedness, the Loan Parties may incur Indebtedness in the form of SBA PPP Loans.</w:t>
      </w:r>
    </w:p>
    <w:p>
      <w:pPr>
        <w:spacing w:after="0" w:line="170" w:lineRule="exact"/>
        <w:rPr>
          <w:rFonts w:ascii="Arial" w:cs="Arial" w:eastAsia="Arial" w:hAnsi="Arial"/>
          <w:sz w:val="18"/>
          <w:szCs w:val="18"/>
          <w:color w:val="auto"/>
        </w:rPr>
      </w:pPr>
    </w:p>
    <w:p>
      <w:pPr>
        <w:ind w:firstLine="654"/>
        <w:spacing w:after="0" w:line="276" w:lineRule="auto"/>
        <w:tabs>
          <w:tab w:leader="none" w:pos="101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Mandatory Prepayment</w:t>
      </w:r>
      <w:r>
        <w:rPr>
          <w:rFonts w:ascii="Arial" w:cs="Arial" w:eastAsia="Arial" w:hAnsi="Arial"/>
          <w:sz w:val="18"/>
          <w:szCs w:val="18"/>
          <w:color w:val="auto"/>
        </w:rPr>
        <w:t>. Notwithstanding anything contained in the Credit Agreement, the incurrence by the Loan Parties of SBA PPP Loans shall not trigger a mandatory prepayment or constitute a prepayment event under the Credit Agreement.</w:t>
      </w:r>
    </w:p>
    <w:p>
      <w:pPr>
        <w:spacing w:after="0" w:line="170" w:lineRule="exact"/>
        <w:rPr>
          <w:rFonts w:ascii="Arial" w:cs="Arial" w:eastAsia="Arial" w:hAnsi="Arial"/>
          <w:sz w:val="18"/>
          <w:szCs w:val="18"/>
          <w:color w:val="auto"/>
        </w:rPr>
      </w:pPr>
    </w:p>
    <w:p>
      <w:pPr>
        <w:jc w:val="both"/>
        <w:ind w:firstLine="654"/>
        <w:spacing w:after="0" w:line="269" w:lineRule="auto"/>
        <w:tabs>
          <w:tab w:leader="none" w:pos="103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Treatment of SBA PPP Loans in Loan Covenants</w:t>
      </w:r>
      <w:r>
        <w:rPr>
          <w:rFonts w:ascii="Arial" w:cs="Arial" w:eastAsia="Arial" w:hAnsi="Arial"/>
          <w:sz w:val="17"/>
          <w:szCs w:val="17"/>
          <w:color w:val="auto"/>
        </w:rPr>
        <w:t>. Notwithstanding anything contained in the Credit Agreement, each SBA PPP Loan (other than interest thereon to the extent not eligible for forgiveness) shall be disregarded for purposes of calculating financial covenants in the Credit Agreement, except that if any portion of any SBA PPP Loan is not forgiven, for purposes of calculating financial covenants in the Credit Agreement, such unforgiven portion (together with all interest thereon) (a) will not be disregarded and (b) will be deemed to have been incurred (i) to the extent the Loan Parties apply for forgiveness of such portion of such SBA PPP Loan by the CARES Forgiveness Application Deadline, as of the date the Loan Parties receive notice from the lender of such SBA PPP Loan that repayment of such portion will not be forgiven and (ii) to the extent the Loan Parties do not apply for forgiveness of such portion of such SBA PPP Loan by the CARES Forgiveness Application Deadline, as of the CARES Forgiveness Application Deadline. The Loan Parties hereby agree that neither the incurrence of any SBA PPP Loan nor any forgiveness of any SBA PPP Loan shall result in any increase to Consolidated Adjusted EBITDAR or Consolidated Net Worth under the Credit Agreement.</w:t>
      </w:r>
    </w:p>
    <w:p>
      <w:pPr>
        <w:spacing w:after="0" w:line="183" w:lineRule="exact"/>
        <w:rPr>
          <w:rFonts w:ascii="Arial" w:cs="Arial" w:eastAsia="Arial" w:hAnsi="Arial"/>
          <w:sz w:val="17"/>
          <w:szCs w:val="17"/>
          <w:color w:val="auto"/>
        </w:rPr>
      </w:pPr>
    </w:p>
    <w:p>
      <w:pPr>
        <w:ind w:left="4440" w:hanging="445"/>
        <w:spacing w:after="0"/>
        <w:tabs>
          <w:tab w:leader="none" w:pos="444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p>
    <w:p>
      <w:pPr>
        <w:spacing w:after="0" w:line="224" w:lineRule="exact"/>
        <w:rPr>
          <w:sz w:val="20"/>
          <w:szCs w:val="20"/>
          <w:color w:val="auto"/>
        </w:rPr>
      </w:pPr>
    </w:p>
    <w:p>
      <w:pPr>
        <w:jc w:val="both"/>
        <w:ind w:firstLine="1293"/>
        <w:spacing w:after="0" w:line="285" w:lineRule="auto"/>
        <w:rPr>
          <w:sz w:val="20"/>
          <w:szCs w:val="20"/>
          <w:color w:val="auto"/>
        </w:rPr>
      </w:pPr>
      <w:r>
        <w:rPr>
          <w:rFonts w:ascii="Arial" w:cs="Arial" w:eastAsia="Arial" w:hAnsi="Arial"/>
          <w:sz w:val="17"/>
          <w:szCs w:val="17"/>
          <w:color w:val="auto"/>
        </w:rPr>
        <w:t>Notwithstanding any other provision of this Amendment and without affecting in any manner the rights of Lenders hereunder, it is understood and agreed that this Amendment shall not become effective, and the Loan Parties shall not have any rights under this Amendment, until the Administrative Agent shall have received, in each case, in form and substance reasonably satisfactory to the Administrative Agent:</w:t>
      </w:r>
    </w:p>
    <w:p>
      <w:pPr>
        <w:spacing w:after="0" w:line="166" w:lineRule="exact"/>
        <w:rPr>
          <w:sz w:val="20"/>
          <w:szCs w:val="20"/>
          <w:color w:val="auto"/>
        </w:rPr>
      </w:pPr>
    </w:p>
    <w:p>
      <w:pPr>
        <w:ind w:firstLine="654"/>
        <w:spacing w:after="0" w:line="276"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all fees and expenses of the Administrative Agent (including reasonable fees, charges and disbursements of counsel to the Administrative Agent);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8" w:name="page29"/>
    <w:bookmarkEnd w:id="28"/>
    <w:p>
      <w:pPr>
        <w:ind w:left="1020" w:hanging="366"/>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duly executed signature pages to this Amendment from the Borrowers, Holdings, the Required Lenders and the Administrative Agent; and</w:t>
      </w:r>
    </w:p>
    <w:p>
      <w:pPr>
        <w:spacing w:after="0" w:line="246" w:lineRule="exact"/>
        <w:rPr>
          <w:rFonts w:ascii="Arial" w:cs="Arial" w:eastAsia="Arial" w:hAnsi="Arial"/>
          <w:sz w:val="16"/>
          <w:szCs w:val="16"/>
          <w:color w:val="auto"/>
        </w:rPr>
      </w:pPr>
    </w:p>
    <w:p>
      <w:pPr>
        <w:ind w:right="20" w:firstLine="654"/>
        <w:spacing w:after="0" w:line="276" w:lineRule="auto"/>
        <w:tabs>
          <w:tab w:leader="none" w:pos="10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Borrowers and Holdings shall have delivered to the Administrative Agent such other certificates, instruments, documents, agreements and opinions of counsel as may be required by the Administrative Agent or its counsel.</w:t>
      </w:r>
    </w:p>
    <w:p>
      <w:pPr>
        <w:spacing w:after="0" w:line="170" w:lineRule="exact"/>
        <w:rPr>
          <w:sz w:val="20"/>
          <w:szCs w:val="20"/>
          <w:color w:val="auto"/>
        </w:rPr>
      </w:pPr>
    </w:p>
    <w:p>
      <w:pPr>
        <w:jc w:val="center"/>
        <w:ind w:left="4540"/>
        <w:spacing w:after="0"/>
        <w:tabs>
          <w:tab w:leader="none" w:pos="2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REPRESENTATIONS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hereby represents and warrants to the Lenders and the Administrative Agent that:</w:t>
      </w:r>
    </w:p>
    <w:p>
      <w:pPr>
        <w:spacing w:after="0" w:line="224" w:lineRule="exact"/>
        <w:rPr>
          <w:sz w:val="20"/>
          <w:szCs w:val="20"/>
          <w:color w:val="auto"/>
        </w:rPr>
      </w:pPr>
    </w:p>
    <w:p>
      <w:pPr>
        <w:jc w:val="both"/>
        <w:ind w:firstLine="654"/>
        <w:spacing w:after="0" w:line="269" w:lineRule="auto"/>
        <w:tabs>
          <w:tab w:leader="none" w:pos="10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Group Member (a) is duly organized, validly existing and in good standing under the laws of the jurisdiction of its organization, (b) is duly qualified to do business as a foreign entity and in good standing under the laws of each jurisdiction where such qualification is necessary, except where the failure to be so qualified or in good standing would not, in the aggregate, have a Material Adverse Effect, (c) has all requisite corporate or limited partnership power, as applicable, and authority and the legal right to own, pledge, mortgage and operate its property, to lease or sublease any property it operates under lease or sublease and to conduct its business as now or currently proposed to be conducted, (d) is in compliance in all material respects with its Constituent Documents, (e) is in compliance with all applicable Requirements of Law, except where the failure to be in compliance would not have a Material Adverse Effect, and (f) has all necessary Permits from or by, has made all necessary filings with, and has given all necessary notices to, each Governmental Authority having jurisdiction, to the extent required for such ownership, lease, sublease, operation, occupation or conduct of business, except where the failure to obtain such Permits, make such filings or give such notices would not, in the aggregate, have a Material Adverse Effect. The Borrowers are engaged in the business of selling Inventory at retail.</w:t>
      </w:r>
    </w:p>
    <w:p>
      <w:pPr>
        <w:spacing w:after="0" w:line="179" w:lineRule="exact"/>
        <w:rPr>
          <w:rFonts w:ascii="Arial" w:cs="Arial" w:eastAsia="Arial" w:hAnsi="Arial"/>
          <w:sz w:val="17"/>
          <w:szCs w:val="17"/>
          <w:color w:val="auto"/>
        </w:rPr>
      </w:pPr>
    </w:p>
    <w:p>
      <w:pPr>
        <w:jc w:val="both"/>
        <w:ind w:firstLine="654"/>
        <w:spacing w:after="0" w:line="291" w:lineRule="auto"/>
        <w:tabs>
          <w:tab w:leader="none" w:pos="10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execution, delivery and performance by such Loan Party of this Amendment (a) are within such Loan Party’s corporate or similar powers and, at the time of execution thereof, have been duly authorized by all necessary corporate and similar action (including, if applicable, consent of holders of its Securities), (b) do not (i) contravene such Loan Party’s Constituent Documents, (ii) violate any applicable Requirement of Law, (iii) conflict with, contravene, constitute a default or breach under, or result in or permit the termination or acceleration of, any material Contractual Obligation of such Loan Party or any of its respective Subsidiaries (including other Loan Documents) other than those that would not, in the aggregate, have a Material Adverse Effect, or (iv) result in the imposition of any Lien (other than a Lien securing the Obligations) upon any property of such Loan Party or any of its Subsidiaries, and (c) do not require any Permit of, or filing with, any Governmental Authority or any consent of, or notice to, any Person.</w:t>
      </w:r>
    </w:p>
    <w:p>
      <w:pPr>
        <w:spacing w:after="0" w:line="162" w:lineRule="exact"/>
        <w:rPr>
          <w:rFonts w:ascii="Arial" w:cs="Arial" w:eastAsia="Arial" w:hAnsi="Arial"/>
          <w:sz w:val="16"/>
          <w:szCs w:val="16"/>
          <w:color w:val="auto"/>
        </w:rPr>
      </w:pPr>
    </w:p>
    <w:p>
      <w:pPr>
        <w:jc w:val="both"/>
        <w:ind w:firstLine="654"/>
        <w:spacing w:after="0" w:line="258" w:lineRule="auto"/>
        <w:tabs>
          <w:tab w:leader="none" w:pos="11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to the other parties hereto by such Loan Party, is the legal, valid and binding obligation of such Loan Party and is enforceable against such Loan Party in accordance with its terms, except as enforceability may be limited by applicable bankruptcy, insolvency, reorganization, moratorium or similar laws affecting the enforcement of creditors’ rights generally or by equitable principles relating to enforceability.</w:t>
      </w:r>
    </w:p>
    <w:p>
      <w:pPr>
        <w:spacing w:after="0" w:line="187" w:lineRule="exact"/>
        <w:rPr>
          <w:rFonts w:ascii="Arial" w:cs="Arial" w:eastAsia="Arial" w:hAnsi="Arial"/>
          <w:sz w:val="18"/>
          <w:szCs w:val="18"/>
          <w:color w:val="auto"/>
        </w:rPr>
      </w:pPr>
    </w:p>
    <w:p>
      <w:pPr>
        <w:ind w:firstLine="654"/>
        <w:spacing w:after="0" w:line="276" w:lineRule="auto"/>
        <w:tabs>
          <w:tab w:leader="none" w:pos="10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Loan Party (other than Holdings) is a wholly owned subsidiary of Holdings and has full corporate authority to bind itself to the terms and conditions of this Amendment, the Credit Agreement and the other Loan Documents.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9" w:name="page30"/>
    <w:bookmarkEnd w:id="29"/>
    <w:p>
      <w:pPr>
        <w:ind w:firstLine="654"/>
        <w:spacing w:after="0" w:line="276" w:lineRule="auto"/>
        <w:tabs>
          <w:tab w:leader="none" w:pos="10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the Credit Agreement, this Amendment, and the other Loan Documents applicable to it is true and correct in all material respects on and as of the date hereof as if made on and as of such date.</w:t>
      </w:r>
    </w:p>
    <w:p>
      <w:pPr>
        <w:spacing w:after="0" w:line="170" w:lineRule="exact"/>
        <w:rPr>
          <w:rFonts w:ascii="Arial" w:cs="Arial" w:eastAsia="Arial" w:hAnsi="Arial"/>
          <w:sz w:val="18"/>
          <w:szCs w:val="18"/>
          <w:color w:val="auto"/>
        </w:rPr>
      </w:pPr>
    </w:p>
    <w:p>
      <w:pPr>
        <w:ind w:left="1020" w:hanging="36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Both before and after giving effect to this Amendment, no Default or Event of Default has occurred and is continuing as of the date hereof.</w:t>
      </w:r>
    </w:p>
    <w:p>
      <w:pPr>
        <w:spacing w:after="0" w:line="247" w:lineRule="exact"/>
        <w:rPr>
          <w:sz w:val="20"/>
          <w:szCs w:val="20"/>
          <w:color w:val="auto"/>
        </w:rPr>
      </w:pPr>
    </w:p>
    <w:p>
      <w:pPr>
        <w:ind w:left="5080" w:hanging="414"/>
        <w:spacing w:after="0"/>
        <w:tabs>
          <w:tab w:leader="none" w:pos="50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4" w:lineRule="exact"/>
        <w:rPr>
          <w:rFonts w:ascii="Arial" w:cs="Arial" w:eastAsia="Arial" w:hAnsi="Arial"/>
          <w:sz w:val="18"/>
          <w:szCs w:val="18"/>
          <w:color w:val="auto"/>
        </w:rPr>
      </w:pPr>
    </w:p>
    <w:p>
      <w:pPr>
        <w:jc w:val="both"/>
        <w:ind w:firstLine="654"/>
        <w:spacing w:after="0" w:line="271" w:lineRule="auto"/>
        <w:tabs>
          <w:tab w:leader="none" w:pos="1019"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Loan Documents; Continued Effectiveness</w:t>
      </w:r>
      <w:r>
        <w:rPr>
          <w:rFonts w:ascii="Arial" w:cs="Arial" w:eastAsia="Arial" w:hAnsi="Arial"/>
          <w:sz w:val="17"/>
          <w:szCs w:val="17"/>
          <w:color w:val="auto"/>
        </w:rPr>
        <w:t>. As amended hereby, all terms of the Credit Agreement and the other Loan Documents, including without limitation the grant of security interest contained in the Security Agreement, shall be and remain in full force and effect and shall constitute the legal, valid, binding and enforceable obligations of the Loan Parties party thereto. To the extent any terms and conditions in any of the other Loan Documents shall contradict or be in conflict with any terms or conditions of the Credit Agreement, after giving effect to this Amendment, such terms and conditions are hereby deemed modified and amended accordingly to reflect the terms and conditions of the Credit Agreement as modified and amended hereby. Upon the effectiveness of this Amendment such terms and conditions are hereby deemed modified and amended accordingly to reflect the terms and conditions of the Credit Agreement as modified and amended hereby.</w:t>
      </w:r>
    </w:p>
    <w:p>
      <w:pPr>
        <w:spacing w:after="0" w:line="178" w:lineRule="exact"/>
        <w:rPr>
          <w:rFonts w:ascii="Arial" w:cs="Arial" w:eastAsia="Arial" w:hAnsi="Arial"/>
          <w:sz w:val="17"/>
          <w:szCs w:val="17"/>
          <w:color w:val="auto"/>
        </w:rPr>
      </w:pPr>
    </w:p>
    <w:p>
      <w:pPr>
        <w:jc w:val="both"/>
        <w:ind w:firstLine="654"/>
        <w:spacing w:after="0" w:line="289" w:lineRule="auto"/>
        <w:tabs>
          <w:tab w:leader="none" w:pos="123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Reaffirmation of Guaranty</w:t>
      </w:r>
      <w:r>
        <w:rPr>
          <w:rFonts w:ascii="Arial" w:cs="Arial" w:eastAsia="Arial" w:hAnsi="Arial"/>
          <w:sz w:val="16"/>
          <w:szCs w:val="16"/>
          <w:color w:val="auto"/>
        </w:rPr>
        <w:t>. Each Guarantor consents to the execution and delivery by all Borrowers of this Amendment and the consummation of the transactions described herein and ratifies and confirms the terms of its guarantee of all Obligations with respect to the indebtedness now or hereafter outstanding under the Credit Agreement as amended hereby. Each Guarantor acknowledges that, notwithstanding anything to the contrary contained herein or in any other document evidencing any indebtedness of any Borrower to the Lenders or any other obligation of any Borrower, or any actions now or hereafter taken by the Lenders with respect to any obligation of any Borrower, the guarantee by each Guarantor of all of the Obligations (i) is and shall continue to be a primary obligation of such Guarantor, (ii) is and shall continue to be an absolute, unconditional, continuing and irrevocable guaranty of payment, and (iii) is and shall continue to be in full force and effect in accordance with its terms. Nothing contained herein to the contrary shall release, discharge, modify, change or affect the original liability of any Guarantor with respect to the Obligations as amended hereby.</w:t>
      </w:r>
    </w:p>
    <w:p>
      <w:pPr>
        <w:spacing w:after="0" w:line="167" w:lineRule="exact"/>
        <w:rPr>
          <w:rFonts w:ascii="Arial" w:cs="Arial" w:eastAsia="Arial" w:hAnsi="Arial"/>
          <w:sz w:val="16"/>
          <w:szCs w:val="16"/>
          <w:color w:val="auto"/>
        </w:rPr>
      </w:pPr>
    </w:p>
    <w:p>
      <w:pPr>
        <w:jc w:val="both"/>
        <w:ind w:firstLine="654"/>
        <w:spacing w:after="0" w:line="275"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Effect of Agreement</w:t>
      </w:r>
      <w:r>
        <w:rPr>
          <w:rFonts w:ascii="Arial" w:cs="Arial" w:eastAsia="Arial" w:hAnsi="Arial"/>
          <w:sz w:val="17"/>
          <w:szCs w:val="17"/>
          <w:color w:val="auto"/>
        </w:rPr>
        <w:t>. Except as set forth expressly herein, all terms of the Credit Agreement, as amended hereby, and the other Loan Documents shall be and remain in full force and effect and shall constitute the legal, valid, binding and enforceable obligations of the Loan Parties to the Lenders and Administrative Agent. The execution, delivery and effectiveness of this Amendment shall not, except as expressly provided herein, operate as a waiver of any right, power or remedy of the Lenders or the Administrative Agent under the Credit Agreement, nor constitute a waiver of any provision of the Credit Agreement. This Amendment shall constitute a Loan Document for all purposes of the Credit Agreement.</w:t>
      </w:r>
    </w:p>
    <w:p>
      <w:pPr>
        <w:spacing w:after="0" w:line="173" w:lineRule="exact"/>
        <w:rPr>
          <w:rFonts w:ascii="Arial" w:cs="Arial" w:eastAsia="Arial" w:hAnsi="Arial"/>
          <w:sz w:val="17"/>
          <w:szCs w:val="17"/>
          <w:color w:val="auto"/>
        </w:rPr>
      </w:pPr>
    </w:p>
    <w:p>
      <w:pPr>
        <w:jc w:val="both"/>
        <w:ind w:firstLine="654"/>
        <w:spacing w:after="0" w:line="271" w:lineRule="auto"/>
        <w:tabs>
          <w:tab w:leader="none" w:pos="100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The Borrowers and the other Loan Parties hereby voluntarily and knowingly forever release, discharge, waive and relinquish any and all claims, demands, causes of action of every kind and nature whatsoever, whether in law, in equity or before an administrative agency, whether known or unknown, direct or indirect, fixed or contingent, whether heretofore asserted or not, and whether arising based on a tort or breach of contractual or other duty, arising under or in connection with this Amendment, any other Loan Document or the transactions contemplated thereby based on the acts or omissions of the Administrative Agent, the Lenders and their past and present officers, directors, managers, employees, partners, agents, shareholders, members, trustees, predecessors, successors, and assigns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existing on or before the date hereof, that Borrowers or the Loan Parties ever had, have or may have against the Released Parties.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30" w:name="page31"/>
    <w:bookmarkEnd w:id="30"/>
    <w:p>
      <w:pPr>
        <w:ind w:firstLine="654"/>
        <w:spacing w:after="0" w:line="276" w:lineRule="auto"/>
        <w:tabs>
          <w:tab w:leader="none" w:pos="10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Novation</w:t>
      </w:r>
      <w:r>
        <w:rPr>
          <w:rFonts w:ascii="Arial" w:cs="Arial" w:eastAsia="Arial" w:hAnsi="Arial"/>
          <w:sz w:val="18"/>
          <w:szCs w:val="18"/>
          <w:color w:val="auto"/>
        </w:rPr>
        <w:t>. This Amendment is not intended by the parties to be, and shall not be construed to be, a novation of the Credit Agreement or any other Loan Documents or an accord and satisfaction in regard thereto.</w:t>
      </w:r>
    </w:p>
    <w:p>
      <w:pPr>
        <w:spacing w:after="0" w:line="170" w:lineRule="exact"/>
        <w:rPr>
          <w:rFonts w:ascii="Arial" w:cs="Arial" w:eastAsia="Arial" w:hAnsi="Arial"/>
          <w:sz w:val="18"/>
          <w:szCs w:val="18"/>
          <w:color w:val="auto"/>
        </w:rPr>
      </w:pPr>
    </w:p>
    <w:p>
      <w:pPr>
        <w:jc w:val="both"/>
        <w:ind w:firstLine="654"/>
        <w:spacing w:after="0" w:line="263" w:lineRule="auto"/>
        <w:tabs>
          <w:tab w:leader="none" w:pos="10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Borrowers agree to pay on demand all costs and expenses of Administrative Agent in connection with the preparation, execution and delivery of this Amendment, including, without limitation, the reasonable fees and out-of-pocket expenses of outside counsel for Administrative Agent with respect thereto.</w:t>
      </w:r>
    </w:p>
    <w:p>
      <w:pPr>
        <w:spacing w:after="0" w:line="181" w:lineRule="exact"/>
        <w:rPr>
          <w:rFonts w:ascii="Arial" w:cs="Arial" w:eastAsia="Arial" w:hAnsi="Arial"/>
          <w:sz w:val="18"/>
          <w:szCs w:val="18"/>
          <w:color w:val="auto"/>
        </w:rPr>
      </w:pPr>
    </w:p>
    <w:p>
      <w:pPr>
        <w:ind w:firstLine="654"/>
        <w:spacing w:after="0" w:line="276" w:lineRule="auto"/>
        <w:tabs>
          <w:tab w:leader="none" w:pos="101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Understanding</w:t>
      </w:r>
      <w:r>
        <w:rPr>
          <w:rFonts w:ascii="Arial" w:cs="Arial" w:eastAsia="Arial" w:hAnsi="Arial"/>
          <w:sz w:val="18"/>
          <w:szCs w:val="18"/>
          <w:color w:val="auto"/>
        </w:rPr>
        <w:t>. This Amendment sets forth the entire understanding of the parties with respect to the matters set forth herein, and shall supersede any prior negotiations or agreements, whether written or oral, with respect thereto.</w:t>
      </w:r>
    </w:p>
    <w:p>
      <w:pPr>
        <w:spacing w:after="0" w:line="170" w:lineRule="exact"/>
        <w:rPr>
          <w:rFonts w:ascii="Arial" w:cs="Arial" w:eastAsia="Arial" w:hAnsi="Arial"/>
          <w:sz w:val="18"/>
          <w:szCs w:val="18"/>
          <w:color w:val="auto"/>
        </w:rPr>
      </w:pPr>
    </w:p>
    <w:p>
      <w:pPr>
        <w:jc w:val="both"/>
        <w:ind w:firstLine="654"/>
        <w:spacing w:after="0" w:line="258" w:lineRule="auto"/>
        <w:tabs>
          <w:tab w:leader="none" w:pos="10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in any number of separate counterparts, each of which shall be deemed an original and all of which, taken together, shall be deemed to constitute one and the same instrument. Delivery of an executed counterpart of this Amendment by facsimile transmission, electronic transmission or containing an e-signature shall be as effective as delivery of a manually executed counterpart.</w:t>
      </w:r>
    </w:p>
    <w:p>
      <w:pPr>
        <w:spacing w:after="0" w:line="187" w:lineRule="exact"/>
        <w:rPr>
          <w:rFonts w:ascii="Arial" w:cs="Arial" w:eastAsia="Arial" w:hAnsi="Arial"/>
          <w:sz w:val="18"/>
          <w:szCs w:val="18"/>
          <w:color w:val="auto"/>
        </w:rPr>
      </w:pPr>
    </w:p>
    <w:p>
      <w:pPr>
        <w:ind w:right="20" w:firstLine="654"/>
        <w:spacing w:after="0" w:line="276" w:lineRule="auto"/>
        <w:tabs>
          <w:tab w:leader="none" w:pos="101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Binding Nature</w:t>
      </w:r>
      <w:r>
        <w:rPr>
          <w:rFonts w:ascii="Arial" w:cs="Arial" w:eastAsia="Arial" w:hAnsi="Arial"/>
          <w:sz w:val="18"/>
          <w:szCs w:val="18"/>
          <w:color w:val="auto"/>
        </w:rPr>
        <w:t>. This Amendment shall be binding upon and inure to the benefit of the parties hereto, their respective successors, successors-in-titles, and assigns.</w:t>
      </w:r>
    </w:p>
    <w:p>
      <w:pPr>
        <w:spacing w:after="0" w:line="170" w:lineRule="exact"/>
        <w:rPr>
          <w:rFonts w:ascii="Arial" w:cs="Arial" w:eastAsia="Arial" w:hAnsi="Arial"/>
          <w:sz w:val="18"/>
          <w:szCs w:val="18"/>
          <w:color w:val="auto"/>
        </w:rPr>
      </w:pPr>
    </w:p>
    <w:p>
      <w:pPr>
        <w:ind w:right="20" w:firstLine="654"/>
        <w:spacing w:after="0" w:line="276" w:lineRule="auto"/>
        <w:tabs>
          <w:tab w:leader="none" w:pos="105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internal laws of the State of New York and all applicable federal laws of the United States of America.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 WITNESS WHEREOF, this Amendment has been duly executed as of the date first written above.</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BORROWERS</w:t>
      </w:r>
      <w:r>
        <w:rPr>
          <w:rFonts w:ascii="Arial" w:cs="Arial" w:eastAsia="Arial" w:hAnsi="Arial"/>
          <w:sz w:val="18"/>
          <w:szCs w:val="18"/>
          <w:color w:val="auto"/>
        </w:rPr>
        <w:t>:</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ALABAMA, INC.</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ARIZONA,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CALIFORNIA,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MEDIUM DUTY TRUCK CENTERS OF COLORADO,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COLORADO,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FLORIDA,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GEORGIA,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NEW MEXICO,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OKLAHOMA,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TENNESSEE,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NORTH CAROLINA,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IDAHO,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UTAH,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OHIO,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KANSAS,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MISSOURI,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VIRGINIA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INDIANA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ILLINOIS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NEVADA,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KENTUCKY,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RIG TOUGH,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LOS CUERNOS,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AIRUSH,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LEASING,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ADMINISTRATIVE SERVICES,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MEDIUM-DUTY TRUCK CENTERS OF CALIFORNIA,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NEBRASKA,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RUSH TRUCK CENTERS OF PENNSYLVANIA,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RTC CENTRAL SAN ANTONIO, INC.</w:t>
      </w: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Derrek Weaver</w:t>
      </w:r>
    </w:p>
    <w:p>
      <w:pPr>
        <w:spacing w:after="0" w:line="23" w:lineRule="exact"/>
        <w:rPr>
          <w:sz w:val="20"/>
          <w:szCs w:val="20"/>
          <w:color w:val="auto"/>
        </w:rPr>
      </w:pPr>
    </w:p>
    <w:p>
      <w:pPr>
        <w:ind w:left="496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Derrek Weaver</w:t>
      </w:r>
    </w:p>
    <w:p>
      <w:pPr>
        <w:spacing w:after="0" w:line="9" w:lineRule="exact"/>
        <w:rPr>
          <w:sz w:val="20"/>
          <w:szCs w:val="20"/>
          <w:color w:val="auto"/>
        </w:rPr>
      </w:pPr>
    </w:p>
    <w:p>
      <w:pPr>
        <w:ind w:left="49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 each of the foregoing entities</w:t>
      </w:r>
    </w:p>
    <w:p>
      <w:pPr>
        <w:spacing w:after="0" w:line="22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[Signature Page to Consent and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75565</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00"/>
          </w:cols>
          <w:pgMar w:left="980" w:top="583" w:right="519" w:bottom="1440" w:gutter="0" w:footer="0" w:header="0"/>
        </w:sectPr>
      </w:pPr>
    </w:p>
    <w:bookmarkStart w:id="32" w:name="page33"/>
    <w:bookmarkEnd w:id="32"/>
    <w:p>
      <w:pPr>
        <w:ind w:left="4500"/>
        <w:spacing w:after="0"/>
        <w:rPr>
          <w:sz w:val="20"/>
          <w:szCs w:val="20"/>
          <w:color w:val="auto"/>
        </w:rPr>
      </w:pPr>
      <w:r>
        <w:rPr>
          <w:rFonts w:ascii="Arial" w:cs="Arial" w:eastAsia="Arial" w:hAnsi="Arial"/>
          <w:sz w:val="17"/>
          <w:szCs w:val="17"/>
          <w:b w:val="1"/>
          <w:bCs w:val="1"/>
          <w:color w:val="auto"/>
        </w:rPr>
        <w:t>RUSH TRUCK CENTERS OF TEXAS, L.P.</w:t>
      </w: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Rushtex, Inc., a Delaware corporation</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Derrek Weaver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Derrek Weaver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Consent and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33" w:name="page34"/>
    <w:bookmarkEnd w:id="33"/>
    <w:p>
      <w:pPr>
        <w:ind w:left="4500"/>
        <w:spacing w:after="0"/>
        <w:rPr>
          <w:sz w:val="20"/>
          <w:szCs w:val="20"/>
          <w:color w:val="auto"/>
        </w:rPr>
      </w:pPr>
      <w:r>
        <w:rPr>
          <w:rFonts w:ascii="Arial" w:cs="Arial" w:eastAsia="Arial" w:hAnsi="Arial"/>
          <w:sz w:val="18"/>
          <w:szCs w:val="18"/>
          <w:b w:val="1"/>
          <w:bCs w:val="1"/>
          <w:u w:val="single" w:color="auto"/>
          <w:color w:val="auto"/>
        </w:rPr>
        <w:t>HOLDINGS</w:t>
      </w:r>
      <w:r>
        <w:rPr>
          <w:rFonts w:ascii="Arial" w:cs="Arial" w:eastAsia="Arial" w:hAnsi="Arial"/>
          <w:sz w:val="18"/>
          <w:szCs w:val="18"/>
          <w:color w:val="auto"/>
        </w:rPr>
        <w:t>:</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ENTERPRISES, INC.</w:t>
      </w:r>
      <w:r>
        <w:rPr>
          <w:rFonts w:ascii="Arial" w:cs="Arial" w:eastAsia="Arial" w:hAnsi="Arial"/>
          <w:sz w:val="18"/>
          <w:szCs w:val="18"/>
          <w:color w:val="auto"/>
        </w:rPr>
        <w: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Borrower Agent and a Guarantor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Derrek Weaver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Derrek Weaver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Executive Vice President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Consent and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34" w:name="page35"/>
    <w:bookmarkEnd w:id="34"/>
    <w:p>
      <w:pPr>
        <w:ind w:left="4500"/>
        <w:spacing w:after="0"/>
        <w:rPr>
          <w:sz w:val="20"/>
          <w:szCs w:val="20"/>
          <w:color w:val="auto"/>
        </w:rPr>
      </w:pPr>
      <w:r>
        <w:rPr>
          <w:rFonts w:ascii="Arial" w:cs="Arial" w:eastAsia="Arial" w:hAnsi="Arial"/>
          <w:sz w:val="18"/>
          <w:szCs w:val="18"/>
          <w:b w:val="1"/>
          <w:bCs w:val="1"/>
          <w:u w:val="single" w:color="auto"/>
          <w:color w:val="auto"/>
        </w:rPr>
        <w:t>ADMINISTRATIVE AGENT AND LENDERS</w:t>
      </w:r>
      <w:r>
        <w:rPr>
          <w:rFonts w:ascii="Arial" w:cs="Arial" w:eastAsia="Arial" w:hAnsi="Arial"/>
          <w:sz w:val="18"/>
          <w:szCs w:val="18"/>
          <w:b w:val="1"/>
          <w:bCs w:val="1"/>
          <w:color w:val="auto"/>
        </w:rPr>
        <w:t>:</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BMO HARRIS BANK N.A.</w:t>
      </w:r>
      <w:r>
        <w:rPr>
          <w:rFonts w:ascii="Arial" w:cs="Arial" w:eastAsia="Arial" w:hAnsi="Arial"/>
          <w:sz w:val="18"/>
          <w:szCs w:val="18"/>
          <w:color w:val="auto"/>
        </w:rPr>
        <w: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 and a Lender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 E. Fyffe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Sara E. Fyffe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Consent and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35" w:name="page36"/>
    <w:bookmarkEnd w:id="35"/>
    <w:p>
      <w:pPr>
        <w:ind w:left="45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 Alfred Lopez</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Jose Alfred Lopez</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Vice President – Wholesale Credit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Consent and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36" w:name="page37"/>
    <w:bookmarkEnd w:id="36"/>
    <w:p>
      <w:pPr>
        <w:ind w:left="4500"/>
        <w:spacing w:after="0"/>
        <w:rPr>
          <w:sz w:val="20"/>
          <w:szCs w:val="20"/>
          <w:color w:val="auto"/>
        </w:rPr>
      </w:pPr>
      <w:r>
        <w:rPr>
          <w:rFonts w:ascii="Arial" w:cs="Arial" w:eastAsia="Arial" w:hAnsi="Arial"/>
          <w:sz w:val="18"/>
          <w:szCs w:val="18"/>
          <w:b w:val="1"/>
          <w:bCs w:val="1"/>
          <w:color w:val="auto"/>
        </w:rPr>
        <w:t>MASSMUTUAL ASSET FINANCE LLC</w:t>
      </w:r>
      <w:r>
        <w:rPr>
          <w:rFonts w:ascii="Arial" w:cs="Arial" w:eastAsia="Arial" w:hAnsi="Arial"/>
          <w:sz w:val="18"/>
          <w:szCs w:val="18"/>
          <w:color w:val="auto"/>
        </w:rPr>
        <w: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Don Butler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Don Butler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SVP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Consent and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37" w:name="page38"/>
    <w:bookmarkEnd w:id="37"/>
    <w:p>
      <w:pPr>
        <w:ind w:left="4500"/>
        <w:spacing w:after="0"/>
        <w:rPr>
          <w:sz w:val="20"/>
          <w:szCs w:val="20"/>
          <w:color w:val="auto"/>
        </w:rPr>
      </w:pPr>
      <w:r>
        <w:rPr>
          <w:rFonts w:ascii="Arial" w:cs="Arial" w:eastAsia="Arial" w:hAnsi="Arial"/>
          <w:sz w:val="17"/>
          <w:szCs w:val="17"/>
          <w:b w:val="1"/>
          <w:bCs w:val="1"/>
          <w:color w:val="auto"/>
        </w:rPr>
        <w:t>NYCB SPECIALTY FINANCE COMPANY, LLC, A</w:t>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WHOLLY OWNED SUBSIDIARY OF NEW YORK</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COMMUNITY BANK</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C. Mazmanian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Mark C. Mazmanian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First Senior Vice President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Consent and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38" w:name="page39"/>
    <w:bookmarkEnd w:id="38"/>
    <w:p>
      <w:pPr>
        <w:ind w:left="4500"/>
        <w:spacing w:after="0"/>
        <w:rPr>
          <w:sz w:val="20"/>
          <w:szCs w:val="20"/>
          <w:color w:val="auto"/>
        </w:rPr>
      </w:pPr>
      <w:r>
        <w:rPr>
          <w:rFonts w:ascii="Arial" w:cs="Arial" w:eastAsia="Arial" w:hAnsi="Arial"/>
          <w:sz w:val="18"/>
          <w:szCs w:val="18"/>
          <w:b w:val="1"/>
          <w:bCs w:val="1"/>
          <w:color w:val="auto"/>
        </w:rPr>
        <w:t>FROST BANK</w:t>
      </w:r>
      <w:r>
        <w:rPr>
          <w:rFonts w:ascii="Arial" w:cs="Arial" w:eastAsia="Arial" w:hAnsi="Arial"/>
          <w:sz w:val="18"/>
          <w:szCs w:val="18"/>
          <w:color w:val="auto"/>
        </w:rPr>
        <w: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Lane Allen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Lane Allen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Consent and Third Amendment to Credit Agreement]</w:t>
      </w:r>
    </w:p>
    <w:p>
      <w:pPr>
        <w:sectPr>
          <w:pgSz w:w="11900" w:h="16838" w:orient="portrait"/>
          <w:cols w:equalWidth="0" w:num="1">
            <w:col w:w="9019"/>
          </w:cols>
          <w:pgMar w:left="1440" w:top="579" w:right="1440" w:bottom="1440" w:gutter="0" w:footer="0" w:header="0"/>
        </w:sectPr>
      </w:pPr>
    </w:p>
    <w:bookmarkStart w:id="39" w:name="page40"/>
    <w:bookmarkEnd w:id="39"/>
    <w:p>
      <w:pPr>
        <w:ind w:left="10160"/>
        <w:spacing w:after="0"/>
        <w:rPr>
          <w:sz w:val="20"/>
          <w:szCs w:val="20"/>
          <w:color w:val="auto"/>
        </w:rPr>
      </w:pPr>
      <w:r>
        <w:rPr>
          <w:rFonts w:ascii="Arial" w:cs="Arial" w:eastAsia="Arial" w:hAnsi="Arial"/>
          <w:sz w:val="17"/>
          <w:szCs w:val="17"/>
          <w:u w:val="single" w:color="auto"/>
          <w:color w:val="auto"/>
        </w:rPr>
        <w:t>EXHIBIT 31.1</w:t>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4"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3" w:lineRule="exact"/>
        <w:rPr>
          <w:rFonts w:ascii="Arial" w:cs="Arial" w:eastAsia="Arial" w:hAnsi="Arial"/>
          <w:sz w:val="18"/>
          <w:szCs w:val="18"/>
          <w:color w:val="auto"/>
        </w:rPr>
      </w:pPr>
    </w:p>
    <w:p>
      <w:pPr>
        <w:jc w:val="both"/>
        <w:ind w:right="380" w:firstLine="8"/>
        <w:spacing w:after="0" w:line="263" w:lineRule="auto"/>
        <w:tabs>
          <w:tab w:leader="none" w:pos="3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400" w:firstLine="8"/>
        <w:spacing w:after="0" w:line="276" w:lineRule="auto"/>
        <w:tabs>
          <w:tab w:leader="none" w:pos="3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3" w:lineRule="auto"/>
        <w:tabs>
          <w:tab w:leader="none" w:pos="3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331"/>
        <w:spacing w:after="0" w:line="263" w:lineRule="auto"/>
        <w:tabs>
          <w:tab w:leader="none" w:pos="80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1"/>
        <w:spacing w:after="0" w:line="263" w:lineRule="auto"/>
        <w:tabs>
          <w:tab w:leader="none" w:pos="8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1"/>
        <w:spacing w:after="0" w:line="306" w:lineRule="auto"/>
        <w:tabs>
          <w:tab w:leader="none" w:pos="987"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7"/>
          <w:szCs w:val="17"/>
          <w:color w:val="auto"/>
        </w:rPr>
      </w:pPr>
    </w:p>
    <w:p>
      <w:pPr>
        <w:jc w:val="both"/>
        <w:ind w:firstLine="331"/>
        <w:spacing w:after="0" w:line="263" w:lineRule="auto"/>
        <w:tabs>
          <w:tab w:leader="none" w:pos="8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auditors and the audit committee of registrant's board of directors (or persons performing the equivalent functions):</w:t>
      </w:r>
    </w:p>
    <w:p>
      <w:pPr>
        <w:spacing w:after="0" w:line="210" w:lineRule="exact"/>
        <w:rPr>
          <w:sz w:val="20"/>
          <w:szCs w:val="20"/>
          <w:color w:val="auto"/>
        </w:rPr>
      </w:pPr>
    </w:p>
    <w:p>
      <w:pPr>
        <w:ind w:firstLine="331"/>
        <w:spacing w:after="0" w:line="276" w:lineRule="auto"/>
        <w:tabs>
          <w:tab w:leader="none" w:pos="8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1"/>
        <w:spacing w:after="0" w:line="276" w:lineRule="auto"/>
        <w:tabs>
          <w:tab w:leader="none" w:pos="8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20"/>
                <w:szCs w:val="20"/>
                <w:color w:val="auto"/>
              </w:rPr>
            </w:pPr>
            <w:r>
              <w:rPr>
                <w:rFonts w:ascii="Arial" w:cs="Arial" w:eastAsia="Arial" w:hAnsi="Arial"/>
                <w:sz w:val="18"/>
                <w:szCs w:val="18"/>
                <w:color w:val="auto"/>
              </w:rPr>
              <w:t>Date:   August 7, 2020</w:t>
            </w:r>
          </w:p>
        </w:tc>
        <w:tc>
          <w:tcPr>
            <w:tcW w:w="5180" w:type="dxa"/>
            <w:vAlign w:val="bottom"/>
            <w:gridSpan w:val="3"/>
          </w:tcPr>
          <w:p>
            <w:pPr>
              <w:ind w:left="1960"/>
              <w:spacing w:after="0"/>
              <w:rPr>
                <w:sz w:val="20"/>
                <w:szCs w:val="20"/>
                <w:color w:val="auto"/>
              </w:rPr>
            </w:pPr>
            <w:r>
              <w:rPr>
                <w:rFonts w:ascii="Arial" w:cs="Arial" w:eastAsia="Arial" w:hAnsi="Arial"/>
                <w:sz w:val="18"/>
                <w:szCs w:val="18"/>
                <w:color w:val="auto"/>
              </w:rPr>
              <w:t>By:  /S/ W.M. “RUSTY” RUSH</w:t>
            </w:r>
          </w:p>
        </w:tc>
      </w:tr>
      <w:tr>
        <w:trPr>
          <w:trHeight w:val="222"/>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820" w:type="dxa"/>
            <w:vAlign w:val="bottom"/>
          </w:tcPr>
          <w:p>
            <w:pPr>
              <w:spacing w:after="0"/>
              <w:rPr>
                <w:sz w:val="19"/>
                <w:szCs w:val="19"/>
                <w:color w:val="auto"/>
              </w:rPr>
            </w:pPr>
          </w:p>
        </w:tc>
      </w:tr>
      <w:tr>
        <w:trPr>
          <w:trHeight w:val="215"/>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5"/>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40" w:name="page41"/>
    <w:bookmarkEnd w:id="40"/>
    <w:p>
      <w:pPr>
        <w:ind w:left="10160"/>
        <w:spacing w:after="0"/>
        <w:rPr>
          <w:sz w:val="20"/>
          <w:szCs w:val="20"/>
          <w:color w:val="auto"/>
        </w:rPr>
      </w:pPr>
      <w:r>
        <w:rPr>
          <w:rFonts w:ascii="Arial" w:cs="Arial" w:eastAsia="Arial" w:hAnsi="Arial"/>
          <w:sz w:val="17"/>
          <w:szCs w:val="17"/>
          <w:u w:val="single" w:color="auto"/>
          <w:color w:val="auto"/>
        </w:rPr>
        <w:t>EXHIBIT 31.2</w:t>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4"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4" w:lineRule="exact"/>
        <w:rPr>
          <w:rFonts w:ascii="Arial" w:cs="Arial" w:eastAsia="Arial" w:hAnsi="Arial"/>
          <w:sz w:val="18"/>
          <w:szCs w:val="18"/>
          <w:color w:val="auto"/>
        </w:rPr>
      </w:pPr>
    </w:p>
    <w:p>
      <w:pPr>
        <w:jc w:val="both"/>
        <w:ind w:right="380" w:firstLine="8"/>
        <w:spacing w:after="0" w:line="263" w:lineRule="auto"/>
        <w:tabs>
          <w:tab w:leader="none" w:pos="3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400" w:firstLine="8"/>
        <w:spacing w:after="0" w:line="276" w:lineRule="auto"/>
        <w:tabs>
          <w:tab w:leader="none" w:pos="3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3"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331"/>
        <w:spacing w:after="0" w:line="263" w:lineRule="auto"/>
        <w:tabs>
          <w:tab w:leader="none" w:pos="8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1"/>
        <w:spacing w:after="0" w:line="263" w:lineRule="auto"/>
        <w:tabs>
          <w:tab w:leader="none" w:pos="8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1"/>
        <w:spacing w:after="0" w:line="306" w:lineRule="auto"/>
        <w:tabs>
          <w:tab w:leader="none" w:pos="987"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7"/>
          <w:szCs w:val="17"/>
          <w:color w:val="auto"/>
        </w:rPr>
      </w:pPr>
    </w:p>
    <w:p>
      <w:pPr>
        <w:jc w:val="both"/>
        <w:ind w:firstLine="331"/>
        <w:spacing w:after="0" w:line="263" w:lineRule="auto"/>
        <w:tabs>
          <w:tab w:leader="none" w:pos="8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auditors and the audit committee of registrant's board of directors (or persons performing the equivalent functions):</w:t>
      </w:r>
    </w:p>
    <w:p>
      <w:pPr>
        <w:spacing w:after="0" w:line="210" w:lineRule="exact"/>
        <w:rPr>
          <w:sz w:val="20"/>
          <w:szCs w:val="20"/>
          <w:color w:val="auto"/>
        </w:rPr>
      </w:pPr>
    </w:p>
    <w:p>
      <w:pPr>
        <w:ind w:firstLine="331"/>
        <w:spacing w:after="0" w:line="276" w:lineRule="auto"/>
        <w:tabs>
          <w:tab w:leader="none" w:pos="8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1"/>
        <w:spacing w:after="0" w:line="276" w:lineRule="auto"/>
        <w:tabs>
          <w:tab w:leader="none" w:pos="8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Arial" w:cs="Arial" w:eastAsia="Arial" w:hAnsi="Arial"/>
                <w:sz w:val="18"/>
                <w:szCs w:val="18"/>
                <w:color w:val="auto"/>
              </w:rPr>
              <w:t>Date:   August 7, 2020</w:t>
            </w:r>
          </w:p>
        </w:tc>
        <w:tc>
          <w:tcPr>
            <w:tcW w:w="5940" w:type="dxa"/>
            <w:vAlign w:val="bottom"/>
            <w:gridSpan w:val="3"/>
          </w:tcPr>
          <w:p>
            <w:pPr>
              <w:ind w:left="2340"/>
              <w:spacing w:after="0"/>
              <w:rPr>
                <w:sz w:val="20"/>
                <w:szCs w:val="20"/>
                <w:color w:val="auto"/>
              </w:rPr>
            </w:pPr>
            <w:r>
              <w:rPr>
                <w:rFonts w:ascii="Arial" w:cs="Arial" w:eastAsia="Arial" w:hAnsi="Arial"/>
                <w:sz w:val="18"/>
                <w:szCs w:val="18"/>
                <w:color w:val="auto"/>
              </w:rPr>
              <w:t>By:  /S/ STEVEN L. KELLER</w:t>
            </w:r>
          </w:p>
        </w:tc>
      </w:tr>
      <w:tr>
        <w:trPr>
          <w:trHeight w:val="222"/>
        </w:trPr>
        <w:tc>
          <w:tcPr>
            <w:tcW w:w="40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5"/>
        </w:trPr>
        <w:tc>
          <w:tcPr>
            <w:tcW w:w="4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0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2020,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6"/>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300" w:right="380" w:hanging="646"/>
        <w:spacing w:after="0" w:line="27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W.M. “Rusty” Rush</w:t>
      </w:r>
    </w:p>
    <w:p>
      <w:pPr>
        <w:spacing w:after="0" w:line="9"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7, 2020</w:t>
      </w:r>
    </w:p>
    <w:p>
      <w:pPr>
        <w:spacing w:after="0" w:line="210"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400"/>
        <w:spacing w:after="0" w:line="285"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300" w:hanging="646"/>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300" w:right="380" w:hanging="646"/>
        <w:spacing w:after="0" w:line="27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9"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7, 2020</w:t>
      </w:r>
    </w:p>
    <w:p>
      <w:pPr>
        <w:spacing w:after="0" w:line="210"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Roman"/>
      <w:start w:val="1"/>
    </w:lvl>
  </w:abstractNum>
  <w:abstractNum w:abstractNumId="3">
    <w:nsid w:val="4E6AFB66"/>
    <w:multiLevelType w:val="hybridMultilevel"/>
    <w:lvl w:ilvl="0">
      <w:lvlJc w:val="left"/>
      <w:lvlText w:val="(%1)"/>
      <w:numFmt w:val="lowerRoman"/>
      <w:start w:val="2"/>
    </w:lvl>
  </w:abstractNum>
  <w:abstractNum w:abstractNumId="4">
    <w:nsid w:val="25E45D32"/>
    <w:multiLevelType w:val="hybridMultilevel"/>
    <w:lvl w:ilvl="0">
      <w:lvlJc w:val="left"/>
      <w:lvlText w:val="*"/>
      <w:numFmt w:val="bullet"/>
      <w:start w:val="1"/>
    </w:lvl>
    <w:lvl w:ilvl="1">
      <w:lvlJc w:val="left"/>
      <w:lvlText w:val="%2"/>
      <w:numFmt w:val="decimal"/>
      <w:start w:val="104"/>
    </w:lvl>
  </w:abstractNum>
  <w:abstractNum w:abstractNumId="5">
    <w:nsid w:val="519B500D"/>
    <w:multiLevelType w:val="hybridMultilevel"/>
    <w:lvl w:ilvl="0">
      <w:lvlJc w:val="left"/>
      <w:lvlText w:val="**"/>
      <w:numFmt w:val="bullet"/>
      <w:start w:val="1"/>
    </w:lvl>
    <w:lvl w:ilvl="1">
      <w:lvlJc w:val="left"/>
      <w:lvlText w:val="%2"/>
      <w:numFmt w:val="decimal"/>
      <w:start w:val="1"/>
    </w:lvl>
  </w:abstractNum>
  <w:abstractNum w:abstractNumId="6">
    <w:nsid w:val="431BD7B7"/>
    <w:multiLevelType w:val="hybridMultilevel"/>
    <w:lvl w:ilvl="0">
      <w:lvlJc w:val="left"/>
      <w:lvlText w:val="%1."/>
      <w:numFmt w:val="upperLetter"/>
      <w:start w:val="1"/>
    </w:lvl>
  </w:abstractNum>
  <w:abstractNum w:abstractNumId="7">
    <w:nsid w:val="3F2DBA31"/>
    <w:multiLevelType w:val="hybridMultilevel"/>
    <w:lvl w:ilvl="0">
      <w:lvlJc w:val="left"/>
      <w:lvlText w:val="%1"/>
      <w:numFmt w:val="decimal"/>
      <w:start w:val="1"/>
    </w:lvl>
    <w:lvl w:ilvl="1">
      <w:lvlJc w:val="left"/>
      <w:lvlText w:val="%2."/>
      <w:numFmt w:val="upperLetter"/>
      <w:start w:val="9"/>
    </w:lvl>
  </w:abstractNum>
  <w:abstractNum w:abstractNumId="8">
    <w:nsid w:val="7C83E458"/>
    <w:multiLevelType w:val="hybridMultilevel"/>
    <w:lvl w:ilvl="0">
      <w:lvlJc w:val="left"/>
      <w:lvlText w:val="%1."/>
      <w:numFmt w:val="decimal"/>
      <w:start w:val="1"/>
    </w:lvl>
    <w:lvl w:ilvl="1">
      <w:lvlJc w:val="left"/>
      <w:lvlText w:val="%2"/>
      <w:numFmt w:val="upperLetter"/>
      <w:start w:val="1"/>
    </w:lvl>
  </w:abstractNum>
  <w:abstractNum w:abstractNumId="9">
    <w:nsid w:val="257130A3"/>
    <w:multiLevelType w:val="hybridMultilevel"/>
    <w:lvl w:ilvl="0">
      <w:lvlJc w:val="left"/>
      <w:lvlText w:val="%1."/>
      <w:numFmt w:val="decimal"/>
      <w:start w:val="2"/>
    </w:lvl>
  </w:abstractNum>
  <w:abstractNum w:abstractNumId="10">
    <w:nsid w:val="62BBD95A"/>
    <w:multiLevelType w:val="hybridMultilevel"/>
    <w:lvl w:ilvl="0">
      <w:lvlJc w:val="left"/>
      <w:lvlText w:val="%1"/>
      <w:numFmt w:val="upperLetter"/>
      <w:start w:val="68"/>
    </w:lvl>
    <w:lvl w:ilvl="1">
      <w:lvlJc w:val="left"/>
      <w:lvlText w:val="(%2)"/>
      <w:numFmt w:val="lowerLetter"/>
      <w:start w:val="2"/>
    </w:lvl>
  </w:abstractNum>
  <w:abstractNum w:abstractNumId="11">
    <w:nsid w:val="436C6125"/>
    <w:multiLevelType w:val="hybridMultilevel"/>
    <w:lvl w:ilvl="0">
      <w:lvlJc w:val="left"/>
      <w:lvlText w:val="%1."/>
      <w:numFmt w:val="decimal"/>
      <w:start w:val="3"/>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upperLetter"/>
      <w:start w:val="35"/>
    </w:lvl>
  </w:abstractNum>
  <w:abstractNum w:abstractNumId="15">
    <w:nsid w:val="2443A858"/>
    <w:multiLevelType w:val="hybridMultilevel"/>
    <w:lvl w:ilvl="0">
      <w:lvlJc w:val="left"/>
      <w:lvlText w:val="%1."/>
      <w:numFmt w:val="decimal"/>
      <w:start w:val="1"/>
    </w:lvl>
    <w:lvl w:ilvl="1">
      <w:lvlJc w:val="left"/>
      <w:lvlText w:val="%2."/>
      <w:numFmt w:val="upperLetter"/>
      <w:start w:val="6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5"/>
    </w:lvl>
  </w:abstractNum>
  <w:abstractNum w:abstractNumId="20">
    <w:nsid w:val="79838CB2"/>
    <w:multiLevelType w:val="hybridMultilevel"/>
    <w:lvl w:ilvl="0">
      <w:lvlJc w:val="left"/>
      <w:lvlText w:val="%1"/>
      <w:numFmt w:val="decimal"/>
      <w:start w:val="1"/>
    </w:lvl>
    <w:lvl w:ilvl="1">
      <w:lvlJc w:val="left"/>
      <w:lvlText w:val="%2."/>
      <w:numFmt w:val="upperLetter"/>
      <w:start w:val="22"/>
    </w:lvl>
  </w:abstractNum>
  <w:abstractNum w:abstractNumId="21">
    <w:nsid w:val="4353D0CD"/>
    <w:multiLevelType w:val="hybridMultilevel"/>
    <w:lvl w:ilvl="0">
      <w:lvlJc w:val="left"/>
      <w:lvlText w:val="%1."/>
      <w:numFmt w:val="decimal"/>
      <w:start w:val="1"/>
    </w:lvl>
    <w:lvl w:ilvl="1">
      <w:lvlJc w:val="left"/>
      <w:lvlText w:val="%2"/>
      <w:numFmt w:val="upperLetter"/>
      <w:start w:val="1"/>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38" Type="http://schemas.openxmlformats.org/officeDocument/2006/relationships/hyperlink" Target="http://www.sec.gov/Archives/edgar/data/1012019/000110465908051789/a08-18770_1ex3d1.htm" TargetMode="External"/><Relationship Id="rId39" Type="http://schemas.openxmlformats.org/officeDocument/2006/relationships/hyperlink" Target="http://www.sec.gov/Archives/edgar/data/1012019/000143774913006455/rusha20130517_8k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2020-08-07T10:39:36Z</dcterms:created>
  <dcterms:modified xsi:type="dcterms:W3CDTF">2020-08-07T10:39:36Z</dcterms:modified>
</cp:coreProperties>
</file>