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19" w:lineRule="exact"/>
        <w:rPr>
          <w:rFonts w:ascii="MS PGothic" w:cs="MS PGothic" w:eastAsia="MS PGothic" w:hAnsi="MS PGothic"/>
          <w:sz w:val="17"/>
          <w:szCs w:val="17"/>
          <w:color w:val="auto"/>
        </w:rPr>
      </w:pPr>
    </w:p>
    <w:p>
      <w:pPr>
        <w:ind w:left="382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 w:lineRule="exact"/>
        <w:rPr>
          <w:sz w:val="24"/>
          <w:szCs w:val="24"/>
          <w:color w:val="auto"/>
        </w:rPr>
      </w:pPr>
    </w:p>
    <w:p>
      <w:pPr>
        <w:ind w:left="2440" w:right="1980" w:hanging="2432"/>
        <w:spacing w:after="0" w:line="493" w:lineRule="auto"/>
        <w:tabs>
          <w:tab w:leader="none" w:pos="57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_____________________ to _______________________</w:t>
      </w:r>
    </w:p>
    <w:p>
      <w:pPr>
        <w:jc w:val="center"/>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72" w:right="339" w:bottom="244" w:gutter="0" w:footer="0" w:header="0"/>
        </w:sectPr>
      </w:pPr>
    </w:p>
    <w:p>
      <w:pPr>
        <w:spacing w:after="0" w:line="20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74-1733016</w:t>
      </w:r>
    </w:p>
    <w:p>
      <w:pPr>
        <w:spacing w:after="0" w:line="2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04" w:lineRule="exact"/>
        <w:rPr>
          <w:sz w:val="24"/>
          <w:szCs w:val="24"/>
          <w:color w:val="auto"/>
        </w:rPr>
      </w:pPr>
    </w:p>
    <w:p>
      <w:pPr>
        <w:sectPr>
          <w:pgSz w:w="11900" w:h="16838" w:orient="portrait"/>
          <w:cols w:equalWidth="0" w:num="2">
            <w:col w:w="6400" w:space="720"/>
            <w:col w:w="4120"/>
          </w:cols>
          <w:pgMar w:left="320" w:top="472" w:right="339" w:bottom="244"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240"/>
          </w:cols>
          <w:pgMar w:left="320" w:top="472" w:right="339" w:bottom="244"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(830) 302-5200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5400"/>
        <w:spacing w:after="0" w:line="207" w:lineRule="exact"/>
        <w:tabs>
          <w:tab w:leader="none" w:pos="65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5400"/>
        <w:spacing w:after="0" w:line="207" w:lineRule="exact"/>
        <w:tabs>
          <w:tab w:leader="none" w:pos="65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p>
      <w:pPr>
        <w:ind w:left="340"/>
        <w:spacing w:after="0" w:line="207" w:lineRule="exact"/>
        <w:tabs>
          <w:tab w:leader="none" w:pos="2580" w:val="left"/>
          <w:tab w:leader="none" w:pos="4840" w:val="left"/>
          <w:tab w:leader="none" w:pos="70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ind w:left="71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5400"/>
        <w:spacing w:after="0" w:line="207" w:lineRule="exact"/>
        <w:tabs>
          <w:tab w:leader="none" w:pos="65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April 29, 2022.</w:t>
      </w:r>
    </w:p>
    <w:p>
      <w:pPr>
        <w:spacing w:after="0" w:line="225"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880" w:type="dxa"/>
            <w:vAlign w:val="bottom"/>
            <w:gridSpan w:val="3"/>
          </w:tcPr>
          <w:p>
            <w:pPr>
              <w:jc w:val="center"/>
              <w:ind w:right="1780"/>
              <w:spacing w:after="0"/>
              <w:rPr>
                <w:sz w:val="20"/>
                <w:szCs w:val="20"/>
                <w:color w:val="auto"/>
              </w:rPr>
            </w:pPr>
            <w:r>
              <w:rPr>
                <w:rFonts w:ascii="Times New Roman" w:cs="Times New Roman" w:eastAsia="Times New Roman" w:hAnsi="Times New Roman"/>
                <w:sz w:val="18"/>
                <w:szCs w:val="18"/>
                <w:color w:val="auto"/>
                <w:w w:val="99"/>
              </w:rPr>
              <w:t>Number of Shares</w:t>
            </w:r>
          </w:p>
        </w:tc>
      </w:tr>
      <w:tr>
        <w:trPr>
          <w:trHeight w:val="194"/>
        </w:trPr>
        <w:tc>
          <w:tcPr>
            <w:tcW w:w="2340" w:type="dxa"/>
            <w:vAlign w:val="bottom"/>
          </w:tcPr>
          <w:p>
            <w:pPr>
              <w:spacing w:after="0"/>
              <w:rPr>
                <w:sz w:val="16"/>
                <w:szCs w:val="16"/>
                <w:color w:val="auto"/>
              </w:rPr>
            </w:pPr>
          </w:p>
        </w:tc>
        <w:tc>
          <w:tcPr>
            <w:tcW w:w="9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6"/>
              </w:rPr>
              <w:t>Title of Class</w:t>
            </w:r>
          </w:p>
        </w:tc>
        <w:tc>
          <w:tcPr>
            <w:tcW w:w="1600" w:type="dxa"/>
            <w:vAlign w:val="bottom"/>
            <w:gridSpan w:val="2"/>
          </w:tcPr>
          <w:p>
            <w:pPr>
              <w:spacing w:after="0"/>
              <w:rPr>
                <w:sz w:val="16"/>
                <w:szCs w:val="16"/>
                <w:color w:val="auto"/>
              </w:rPr>
            </w:pPr>
          </w:p>
        </w:tc>
        <w:tc>
          <w:tcPr>
            <w:tcW w:w="2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Outstanding</w:t>
            </w:r>
          </w:p>
        </w:tc>
        <w:tc>
          <w:tcPr>
            <w:tcW w:w="2380" w:type="dxa"/>
            <w:vAlign w:val="bottom"/>
          </w:tcPr>
          <w:p>
            <w:pPr>
              <w:spacing w:after="0"/>
              <w:rPr>
                <w:sz w:val="16"/>
                <w:szCs w:val="16"/>
                <w:color w:val="auto"/>
              </w:rPr>
            </w:pPr>
          </w:p>
        </w:tc>
      </w:tr>
      <w:tr>
        <w:trPr>
          <w:trHeight w:val="218"/>
        </w:trPr>
        <w:tc>
          <w:tcPr>
            <w:tcW w:w="4900" w:type="dxa"/>
            <w:vAlign w:val="bottom"/>
            <w:gridSpan w:val="4"/>
          </w:tcPr>
          <w:p>
            <w:pPr>
              <w:ind w:left="1380"/>
              <w:spacing w:after="0"/>
              <w:rPr>
                <w:sz w:val="20"/>
                <w:szCs w:val="20"/>
                <w:color w:val="auto"/>
              </w:rPr>
            </w:pPr>
            <w:r>
              <w:rPr>
                <w:rFonts w:ascii="Times New Roman" w:cs="Times New Roman" w:eastAsia="Times New Roman" w:hAnsi="Times New Roman"/>
                <w:sz w:val="18"/>
                <w:szCs w:val="18"/>
                <w:color w:val="auto"/>
              </w:rPr>
              <w:t>Class A Common Stock, $.01 Par Value</w:t>
            </w:r>
          </w:p>
        </w:tc>
        <w:tc>
          <w:tcPr>
            <w:tcW w:w="2480" w:type="dxa"/>
            <w:vAlign w:val="bottom"/>
          </w:tcPr>
          <w:p>
            <w:pPr>
              <w:spacing w:after="0"/>
              <w:rPr>
                <w:sz w:val="18"/>
                <w:szCs w:val="18"/>
                <w:color w:val="auto"/>
              </w:rPr>
            </w:pPr>
          </w:p>
        </w:tc>
        <w:tc>
          <w:tcPr>
            <w:tcW w:w="15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42,811,405</w:t>
            </w:r>
          </w:p>
        </w:tc>
        <w:tc>
          <w:tcPr>
            <w:tcW w:w="2380" w:type="dxa"/>
            <w:vAlign w:val="bottom"/>
          </w:tcPr>
          <w:p>
            <w:pPr>
              <w:spacing w:after="0"/>
              <w:rPr>
                <w:sz w:val="18"/>
                <w:szCs w:val="18"/>
                <w:color w:val="auto"/>
              </w:rPr>
            </w:pPr>
          </w:p>
        </w:tc>
      </w:tr>
      <w:tr>
        <w:trPr>
          <w:trHeight w:val="234"/>
        </w:trPr>
        <w:tc>
          <w:tcPr>
            <w:tcW w:w="4900" w:type="dxa"/>
            <w:vAlign w:val="bottom"/>
            <w:gridSpan w:val="4"/>
          </w:tcPr>
          <w:p>
            <w:pPr>
              <w:ind w:left="1380"/>
              <w:spacing w:after="0"/>
              <w:rPr>
                <w:sz w:val="20"/>
                <w:szCs w:val="20"/>
                <w:color w:val="auto"/>
              </w:rPr>
            </w:pPr>
            <w:r>
              <w:rPr>
                <w:rFonts w:ascii="Times New Roman" w:cs="Times New Roman" w:eastAsia="Times New Roman" w:hAnsi="Times New Roman"/>
                <w:sz w:val="18"/>
                <w:szCs w:val="18"/>
                <w:color w:val="auto"/>
              </w:rPr>
              <w:t>Class B Common Stock, $.01 Par Value</w:t>
            </w:r>
          </w:p>
        </w:tc>
        <w:tc>
          <w:tcPr>
            <w:tcW w:w="2480" w:type="dxa"/>
            <w:vAlign w:val="bottom"/>
          </w:tcPr>
          <w:p>
            <w:pPr>
              <w:spacing w:after="0"/>
              <w:rPr>
                <w:sz w:val="20"/>
                <w:szCs w:val="20"/>
                <w:color w:val="auto"/>
              </w:rPr>
            </w:pPr>
          </w:p>
        </w:tc>
        <w:tc>
          <w:tcPr>
            <w:tcW w:w="150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12,542,501</w:t>
            </w:r>
          </w:p>
        </w:tc>
        <w:tc>
          <w:tcPr>
            <w:tcW w:w="2380" w:type="dxa"/>
            <w:vAlign w:val="bottom"/>
          </w:tcPr>
          <w:p>
            <w:pPr>
              <w:spacing w:after="0"/>
              <w:rPr>
                <w:sz w:val="20"/>
                <w:szCs w:val="20"/>
                <w:color w:val="auto"/>
              </w:rPr>
            </w:pPr>
          </w:p>
        </w:tc>
      </w:tr>
      <w:tr>
        <w:trPr>
          <w:trHeight w:val="432"/>
        </w:trPr>
        <w:tc>
          <w:tcPr>
            <w:tcW w:w="49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53"/>
        </w:trPr>
        <w:tc>
          <w:tcPr>
            <w:tcW w:w="2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r>
      <w:tr>
        <w:trPr>
          <w:trHeight w:val="189"/>
        </w:trPr>
        <w:tc>
          <w:tcPr>
            <w:tcW w:w="4080" w:type="dxa"/>
            <w:vAlign w:val="bottom"/>
            <w:tcBorders>
              <w:left w:val="single" w:sz="8" w:color="auto"/>
              <w:bottom w:val="single" w:sz="8" w:color="auto"/>
              <w:right w:val="single" w:sz="8" w:color="auto"/>
            </w:tcBorders>
            <w:gridSpan w:val="3"/>
          </w:tcPr>
          <w:p>
            <w:pPr>
              <w:ind w:left="1380"/>
              <w:spacing w:after="0" w:line="170" w:lineRule="exact"/>
              <w:rPr>
                <w:sz w:val="20"/>
                <w:szCs w:val="20"/>
                <w:color w:val="auto"/>
              </w:rPr>
            </w:pPr>
            <w:r>
              <w:rPr>
                <w:rFonts w:ascii="Times New Roman" w:cs="Times New Roman" w:eastAsia="Times New Roman" w:hAnsi="Times New Roman"/>
                <w:sz w:val="18"/>
                <w:szCs w:val="18"/>
                <w:color w:val="auto"/>
              </w:rPr>
              <w:t>Title of each class</w:t>
            </w:r>
          </w:p>
        </w:tc>
        <w:tc>
          <w:tcPr>
            <w:tcW w:w="820" w:type="dxa"/>
            <w:vAlign w:val="bottom"/>
            <w:tcBorders>
              <w:bottom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ind w:right="830"/>
              <w:spacing w:after="0" w:line="170" w:lineRule="exact"/>
              <w:rPr>
                <w:sz w:val="20"/>
                <w:szCs w:val="20"/>
                <w:color w:val="auto"/>
              </w:rPr>
            </w:pPr>
            <w:r>
              <w:rPr>
                <w:rFonts w:ascii="Times New Roman" w:cs="Times New Roman" w:eastAsia="Times New Roman" w:hAnsi="Times New Roman"/>
                <w:sz w:val="18"/>
                <w:szCs w:val="18"/>
                <w:color w:val="auto"/>
                <w:w w:val="99"/>
              </w:rPr>
              <w:t>Trading Symbol(s)</w:t>
            </w:r>
          </w:p>
        </w:tc>
        <w:tc>
          <w:tcPr>
            <w:tcW w:w="3880" w:type="dxa"/>
            <w:vAlign w:val="bottom"/>
            <w:tcBorders>
              <w:bottom w:val="single" w:sz="8" w:color="auto"/>
              <w:right w:val="single" w:sz="8" w:color="auto"/>
            </w:tcBorders>
            <w:gridSpan w:val="3"/>
          </w:tcPr>
          <w:p>
            <w:pPr>
              <w:jc w:val="center"/>
              <w:ind w:right="60"/>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74"/>
        </w:trPr>
        <w:tc>
          <w:tcPr>
            <w:tcW w:w="4080" w:type="dxa"/>
            <w:vAlign w:val="bottom"/>
            <w:tcBorders>
              <w:left w:val="single" w:sz="8" w:color="auto"/>
              <w:right w:val="single" w:sz="8" w:color="auto"/>
            </w:tcBorders>
            <w:gridSpan w:val="3"/>
          </w:tcPr>
          <w:p>
            <w:pPr>
              <w:ind w:left="600"/>
              <w:spacing w:after="0" w:line="175" w:lineRule="exact"/>
              <w:rPr>
                <w:sz w:val="20"/>
                <w:szCs w:val="20"/>
                <w:color w:val="auto"/>
              </w:rPr>
            </w:pPr>
            <w:r>
              <w:rPr>
                <w:rFonts w:ascii="Times New Roman" w:cs="Times New Roman" w:eastAsia="Times New Roman" w:hAnsi="Times New Roman"/>
                <w:sz w:val="18"/>
                <w:szCs w:val="18"/>
                <w:color w:val="auto"/>
              </w:rPr>
              <w:t>Class A Common Stock, $0.01 par value</w:t>
            </w:r>
          </w:p>
        </w:tc>
        <w:tc>
          <w:tcPr>
            <w:tcW w:w="820" w:type="dxa"/>
            <w:vAlign w:val="bottom"/>
          </w:tcPr>
          <w:p>
            <w:pPr>
              <w:spacing w:after="0"/>
              <w:rPr>
                <w:sz w:val="15"/>
                <w:szCs w:val="15"/>
                <w:color w:val="auto"/>
              </w:rPr>
            </w:pPr>
          </w:p>
        </w:tc>
        <w:tc>
          <w:tcPr>
            <w:tcW w:w="2480" w:type="dxa"/>
            <w:vAlign w:val="bottom"/>
            <w:tcBorders>
              <w:right w:val="single" w:sz="8" w:color="auto"/>
            </w:tcBorders>
          </w:tcPr>
          <w:p>
            <w:pPr>
              <w:jc w:val="center"/>
              <w:ind w:right="810"/>
              <w:spacing w:after="0" w:line="175" w:lineRule="exact"/>
              <w:rPr>
                <w:sz w:val="20"/>
                <w:szCs w:val="20"/>
                <w:color w:val="auto"/>
              </w:rPr>
            </w:pPr>
            <w:r>
              <w:rPr>
                <w:rFonts w:ascii="Times New Roman" w:cs="Times New Roman" w:eastAsia="Times New Roman" w:hAnsi="Times New Roman"/>
                <w:sz w:val="18"/>
                <w:szCs w:val="18"/>
                <w:color w:val="auto"/>
              </w:rPr>
              <w:t>RUSHA</w:t>
            </w:r>
          </w:p>
        </w:tc>
        <w:tc>
          <w:tcPr>
            <w:tcW w:w="620" w:type="dxa"/>
            <w:vAlign w:val="bottom"/>
          </w:tcPr>
          <w:p>
            <w:pPr>
              <w:spacing w:after="0"/>
              <w:rPr>
                <w:sz w:val="15"/>
                <w:szCs w:val="15"/>
                <w:color w:val="auto"/>
              </w:rPr>
            </w:pPr>
          </w:p>
        </w:tc>
        <w:tc>
          <w:tcPr>
            <w:tcW w:w="3260" w:type="dxa"/>
            <w:vAlign w:val="bottom"/>
            <w:tcBorders>
              <w:right w:val="single" w:sz="8" w:color="auto"/>
            </w:tcBorders>
            <w:gridSpan w:val="2"/>
          </w:tcPr>
          <w:p>
            <w:pPr>
              <w:jc w:val="center"/>
              <w:ind w:right="680"/>
              <w:spacing w:after="0" w:line="175" w:lineRule="exact"/>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4080" w:type="dxa"/>
            <w:vAlign w:val="bottom"/>
            <w:tcBorders>
              <w:left w:val="single" w:sz="8" w:color="auto"/>
              <w:bottom w:val="single" w:sz="8" w:color="auto"/>
              <w:right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82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RUSHB</w:t>
            </w:r>
          </w:p>
        </w:tc>
        <w:tc>
          <w:tcPr>
            <w:tcW w:w="620" w:type="dxa"/>
            <w:vAlign w:val="bottom"/>
            <w:tcBorders>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568"/>
        </w:trPr>
        <w:tc>
          <w:tcPr>
            <w:tcW w:w="2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244"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938"/>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80" w:type="dxa"/>
            <w:vAlign w:val="bottom"/>
            <w:gridSpan w:val="10"/>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gridSpan w:val="9"/>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1"/>
        </w:trPr>
        <w:tc>
          <w:tcPr>
            <w:tcW w:w="105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Consolidated Balance Sheets - March 31, 2022 (unaudited) and December 31, 2021</w:t>
            </w:r>
          </w:p>
        </w:tc>
        <w:tc>
          <w:tcPr>
            <w:tcW w:w="3120" w:type="dxa"/>
            <w:vAlign w:val="bottom"/>
            <w:gridSpan w:val="5"/>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and Comprehensive Income - For the Three Months Ended March 31, 2022 and 2021</w:t>
            </w:r>
          </w:p>
        </w:tc>
        <w:tc>
          <w:tcPr>
            <w:tcW w:w="3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 For the Three Months Ended March 31, 2022 and 2021 (unaudited)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Consolidated Statements of Cash Flows - For the Three Months Ended March 31, 2022 and 2021 (unaudited)</w:t>
            </w:r>
          </w:p>
        </w:tc>
        <w:tc>
          <w:tcPr>
            <w:tcW w:w="580" w:type="dxa"/>
            <w:vAlign w:val="bottom"/>
            <w:gridSpan w:val="2"/>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1280" w:type="dxa"/>
            <w:vAlign w:val="bottom"/>
            <w:gridSpan w:val="3"/>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80" w:type="dxa"/>
            <w:vAlign w:val="bottom"/>
            <w:gridSpan w:val="4"/>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2"/>
        </w:trPr>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780" w:type="dxa"/>
            <w:vAlign w:val="bottom"/>
            <w:gridSpan w:val="6"/>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100"/>
        </w:trPr>
        <w:tc>
          <w:tcPr>
            <w:tcW w:w="105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1"/>
        </w:trPr>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800" w:type="dxa"/>
            <w:vAlign w:val="bottom"/>
            <w:gridSpan w:val="12"/>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4800" w:type="dxa"/>
            <w:vAlign w:val="bottom"/>
            <w:gridSpan w:val="7"/>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820" w:type="dxa"/>
            <w:vAlign w:val="bottom"/>
            <w:gridSpan w:val="9"/>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24"/>
                <w:szCs w:val="24"/>
                <w:color w:val="auto"/>
              </w:rPr>
            </w:pPr>
          </w:p>
        </w:tc>
        <w:tc>
          <w:tcPr>
            <w:tcW w:w="7380" w:type="dxa"/>
            <w:vAlign w:val="bottom"/>
            <w:gridSpan w:val="10"/>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Exhibits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6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53"/>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40" w:type="dxa"/>
            <w:vAlign w:val="bottom"/>
            <w:gridSpan w:val="10"/>
          </w:tcPr>
          <w:p>
            <w:pPr>
              <w:jc w:val="center"/>
              <w:ind w:left="409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73"/>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2"/>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auto"/>
                <w:w w:val="98"/>
              </w:rPr>
              <w:t>CONSOLIDATED BALANCE SHEETS</w:t>
            </w:r>
          </w:p>
        </w:tc>
        <w:tc>
          <w:tcPr>
            <w:tcW w:w="4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6720" w:type="dxa"/>
            <w:vAlign w:val="bottom"/>
            <w:gridSpan w:val="6"/>
          </w:tcPr>
          <w:p>
            <w:pPr>
              <w:jc w:val="center"/>
              <w:ind w:left="1870"/>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209,526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148,146</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186,757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140,186</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1,111,067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1,020,136</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100" w:type="dxa"/>
            <w:vAlign w:val="bottom"/>
          </w:tcPr>
          <w:p>
            <w:pPr>
              <w:spacing w:after="0"/>
              <w:rPr>
                <w:sz w:val="18"/>
                <w:szCs w:val="18"/>
                <w:color w:val="auto"/>
              </w:rPr>
            </w:pPr>
          </w:p>
        </w:tc>
      </w:tr>
      <w:tr>
        <w:trPr>
          <w:trHeight w:val="209"/>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1,523,575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1,324,454</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1,265,601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1,278,207</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69,008</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370,331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370,331</w:t>
            </w:r>
          </w:p>
        </w:tc>
      </w:tr>
      <w:tr>
        <w:trPr>
          <w:trHeight w:val="216"/>
        </w:trPr>
        <w:tc>
          <w:tcPr>
            <w:tcW w:w="800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3,321,548</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3,119,977</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Floor plan notes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702,209</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630,731</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 obligations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26,695</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12,096</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171,119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122,291</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80,561</w:t>
            </w: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1,128,702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1,003,504</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338,426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334,926</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89,835</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57,976</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26,514</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141,492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140,473</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7"/>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2022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2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7"/>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 B shares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authorized; 43,093,711 Class A shares and 12,597,341 Class B shares outstanding in 2022; and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43,107,867 Class A shares and 12,398,606 Class B shares outstanding in 2021</w:t>
            </w: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482,146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470,750</w:t>
            </w:r>
          </w:p>
        </w:tc>
      </w:tr>
      <w:tr>
        <w:trPr>
          <w:trHeight w:val="198"/>
        </w:trPr>
        <w:tc>
          <w:tcPr>
            <w:tcW w:w="8000" w:type="dxa"/>
            <w:vAlign w:val="bottom"/>
            <w:gridSpan w:val="7"/>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531,969 Class A shares and 596,298 Class B shares in 2022; and 339,786 Class A</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shares and 492,052 Class B shares in 2021</w:t>
            </w:r>
          </w:p>
        </w:tc>
        <w:tc>
          <w:tcPr>
            <w:tcW w:w="200" w:type="dxa"/>
            <w:vAlign w:val="bottom"/>
          </w:tcPr>
          <w:p>
            <w:pPr>
              <w:spacing w:after="0"/>
              <w:rPr>
                <w:sz w:val="20"/>
                <w:szCs w:val="20"/>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(52,248)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(36,933)</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1,113,341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1,031,582</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1,545,039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3,321,548</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3,119,977</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20" w:type="dxa"/>
            <w:vAlign w:val="bottom"/>
            <w:gridSpan w:val="3"/>
          </w:tcPr>
          <w:p>
            <w:pPr>
              <w:jc w:val="center"/>
              <w:ind w:right="69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300" w:type="dxa"/>
            <w:vAlign w:val="bottom"/>
            <w:gridSpan w:val="8"/>
          </w:tcPr>
          <w:p>
            <w:pPr>
              <w:jc w:val="center"/>
              <w:ind w:left="290"/>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INCOME AND COMPREHENSIVE INCOME</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620" w:type="dxa"/>
            <w:vAlign w:val="bottom"/>
            <w:tcBorders>
              <w:top w:val="single" w:sz="8" w:color="auto"/>
            </w:tcBorders>
            <w:gridSpan w:val="3"/>
          </w:tcPr>
          <w:p>
            <w:pPr>
              <w:jc w:val="center"/>
              <w:ind w:right="69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46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20" w:type="dxa"/>
            <w:vAlign w:val="bottom"/>
            <w:gridSpan w:val="3"/>
          </w:tcPr>
          <w:p>
            <w:pPr>
              <w:jc w:val="center"/>
              <w:ind w:right="690"/>
              <w:spacing w:after="0"/>
              <w:rPr>
                <w:sz w:val="20"/>
                <w:szCs w:val="20"/>
                <w:color w:val="auto"/>
              </w:rPr>
            </w:pPr>
            <w:r>
              <w:rPr>
                <w:rFonts w:ascii="Times New Roman" w:cs="Times New Roman" w:eastAsia="Times New Roman" w:hAnsi="Times New Roman"/>
                <w:sz w:val="18"/>
                <w:szCs w:val="18"/>
                <w:color w:val="auto"/>
              </w:rPr>
              <w:t>(Unaudited)</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46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935,719</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747,719</w:t>
            </w:r>
          </w:p>
        </w:tc>
      </w:tr>
      <w:tr>
        <w:trPr>
          <w:trHeight w:val="216"/>
        </w:trPr>
        <w:tc>
          <w:tcPr>
            <w:tcW w:w="3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543,263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415,737</w:t>
            </w:r>
          </w:p>
        </w:tc>
      </w:tr>
      <w:tr>
        <w:trPr>
          <w:trHeight w:val="216"/>
        </w:trPr>
        <w:tc>
          <w:tcPr>
            <w:tcW w:w="3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Lease and rental</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71,335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58,227</w:t>
            </w:r>
          </w:p>
        </w:tc>
      </w:tr>
      <w:tr>
        <w:trPr>
          <w:trHeight w:val="216"/>
        </w:trPr>
        <w:tc>
          <w:tcPr>
            <w:tcW w:w="3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and insurance</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6,465</w:t>
            </w:r>
          </w:p>
        </w:tc>
      </w:tr>
      <w:tr>
        <w:trPr>
          <w:trHeight w:val="216"/>
        </w:trPr>
        <w:tc>
          <w:tcPr>
            <w:tcW w:w="3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Pr>
          <w:p>
            <w:pPr>
              <w:spacing w:after="0"/>
              <w:rPr>
                <w:sz w:val="18"/>
                <w:szCs w:val="18"/>
                <w:color w:val="auto"/>
              </w:rPr>
            </w:pPr>
          </w:p>
        </w:tc>
      </w:tr>
      <w:tr>
        <w:trPr>
          <w:trHeight w:val="210"/>
        </w:trPr>
        <w:tc>
          <w:tcPr>
            <w:tcW w:w="3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1,563,202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1,231,806</w:t>
            </w: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834,993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677,092</w:t>
            </w:r>
          </w:p>
        </w:tc>
      </w:tr>
      <w:tr>
        <w:trPr>
          <w:trHeight w:val="216"/>
        </w:trPr>
        <w:tc>
          <w:tcPr>
            <w:tcW w:w="3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334,208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261,842</w:t>
            </w:r>
          </w:p>
        </w:tc>
      </w:tr>
      <w:tr>
        <w:trPr>
          <w:trHeight w:val="216"/>
        </w:trPr>
        <w:tc>
          <w:tcPr>
            <w:tcW w:w="37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and rental</w:t>
            </w:r>
          </w:p>
        </w:tc>
        <w:tc>
          <w:tcPr>
            <w:tcW w:w="38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1,217,762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986,992</w:t>
            </w:r>
          </w:p>
        </w:tc>
        <w:tc>
          <w:tcPr>
            <w:tcW w:w="100" w:type="dxa"/>
            <w:vAlign w:val="bottom"/>
          </w:tcPr>
          <w:p>
            <w:pPr>
              <w:spacing w:after="0"/>
              <w:rPr>
                <w:sz w:val="18"/>
                <w:szCs w:val="18"/>
                <w:color w:val="auto"/>
              </w:rPr>
            </w:pPr>
          </w:p>
        </w:tc>
      </w:tr>
      <w:tr>
        <w:trPr>
          <w:trHeight w:val="209"/>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345,440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244,814</w:t>
            </w: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224,447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174,955</w:t>
            </w: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13,726</w:t>
            </w: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r>
      <w:tr>
        <w:trPr>
          <w:trHeight w:val="209"/>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56,225</w:t>
            </w: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3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8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120,344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56,637</w:t>
            </w:r>
          </w:p>
        </w:tc>
      </w:tr>
      <w:tr>
        <w:trPr>
          <w:trHeight w:val="216"/>
        </w:trPr>
        <w:tc>
          <w:tcPr>
            <w:tcW w:w="3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8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92,453</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45,333</w:t>
            </w:r>
          </w:p>
        </w:tc>
      </w:tr>
      <w:tr>
        <w:trPr>
          <w:trHeight w:val="20"/>
        </w:trPr>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46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0.82</w:t>
            </w: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46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r>
      <w:tr>
        <w:trPr>
          <w:trHeight w:val="216"/>
        </w:trPr>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55,567</w:t>
            </w: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57,912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57,734</w:t>
            </w:r>
          </w:p>
        </w:tc>
      </w:tr>
      <w:tr>
        <w:trPr>
          <w:trHeight w:val="216"/>
        </w:trPr>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46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430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92,898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45,588</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120" w:type="dxa"/>
            <w:vAlign w:val="bottom"/>
            <w:gridSpan w:val="7"/>
          </w:tcPr>
          <w:p>
            <w:pPr>
              <w:jc w:val="center"/>
              <w:ind w:right="80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gridSpan w:val="14"/>
          </w:tcPr>
          <w:p>
            <w:pPr>
              <w:jc w:val="center"/>
              <w:ind w:right="18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840" w:type="dxa"/>
            <w:vAlign w:val="bottom"/>
            <w:gridSpan w:val="12"/>
            <w:shd w:val="clear" w:color="auto" w:fill="000000"/>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720" w:type="dxa"/>
            <w:vAlign w:val="bottom"/>
            <w:gridSpan w:val="23"/>
          </w:tcPr>
          <w:p>
            <w:pPr>
              <w:jc w:val="center"/>
              <w:ind w:right="660"/>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SHAREHOLDERS’ EQUITY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Stock</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Shares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9"/>
              </w:rPr>
              <w:t>Outstanding</w:t>
            </w:r>
          </w:p>
        </w:tc>
        <w:tc>
          <w:tcPr>
            <w:tcW w:w="180" w:type="dxa"/>
            <w:vAlign w:val="bottom"/>
          </w:tcPr>
          <w:p>
            <w:pPr>
              <w:spacing w:after="0"/>
              <w:rPr>
                <w:sz w:val="20"/>
                <w:szCs w:val="20"/>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Par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Paid-In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Treasury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Retained</w:t>
            </w: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Comprehensive</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Borders>
              <w:top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Class A</w:t>
            </w:r>
          </w:p>
        </w:tc>
        <w:tc>
          <w:tcPr>
            <w:tcW w:w="74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7"/>
              </w:rPr>
              <w:t>Class 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Earnings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Income</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43,108</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12,399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563</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470,750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(36,933)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1,031,582</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$ 1,466,749</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 and</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awards</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CEEFF"/>
          </w:tcPr>
          <w:p>
            <w:pPr>
              <w:spacing w:after="0"/>
              <w:rPr>
                <w:sz w:val="20"/>
                <w:szCs w:val="20"/>
                <w:color w:val="auto"/>
              </w:rPr>
            </w:pP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to stock options,</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shares and</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stock purchase</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13,793</w:t>
            </w: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share</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2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(7,215)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(7,212)</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 employee stock</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20"/>
                <w:szCs w:val="20"/>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repurchases</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(15,315)</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Dividend Class A common</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(8,189)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(8,189)</w:t>
            </w: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Class B common</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(2,505)</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2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92,453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92,453</w:t>
            </w:r>
          </w:p>
        </w:tc>
      </w:tr>
      <w:tr>
        <w:trPr>
          <w:trHeight w:val="210"/>
        </w:trPr>
        <w:tc>
          <w:tcPr>
            <w:tcW w:w="22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March 31, 2022</w:t>
            </w:r>
          </w:p>
        </w:tc>
        <w:tc>
          <w:tcPr>
            <w:tcW w:w="110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43,094</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12,597</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568</w:t>
            </w:r>
          </w:p>
        </w:tc>
        <w:tc>
          <w:tcPr>
            <w:tcW w:w="2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482,146</w:t>
            </w:r>
          </w:p>
        </w:tc>
        <w:tc>
          <w:tcPr>
            <w:tcW w:w="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(52,248)</w:t>
            </w:r>
          </w:p>
        </w:tc>
        <w:tc>
          <w:tcPr>
            <w:tcW w:w="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1,113,341</w:t>
            </w:r>
          </w:p>
        </w:tc>
        <w:tc>
          <w:tcPr>
            <w:tcW w:w="2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$ 1,545,039</w:t>
            </w:r>
          </w:p>
        </w:tc>
        <w:tc>
          <w:tcPr>
            <w:tcW w:w="10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Stock</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Shares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9"/>
              </w:rPr>
              <w:t>Outstanding</w:t>
            </w:r>
          </w:p>
        </w:tc>
        <w:tc>
          <w:tcPr>
            <w:tcW w:w="180" w:type="dxa"/>
            <w:vAlign w:val="bottom"/>
          </w:tcPr>
          <w:p>
            <w:pPr>
              <w:spacing w:after="0"/>
              <w:rPr>
                <w:sz w:val="20"/>
                <w:szCs w:val="20"/>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Par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Paid-In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Treasury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Retained</w:t>
            </w: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Comprehensive</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Borders>
              <w:top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Class A</w:t>
            </w:r>
          </w:p>
        </w:tc>
        <w:tc>
          <w:tcPr>
            <w:tcW w:w="74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7"/>
              </w:rPr>
              <w:t>Class 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Earnings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Income</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42,504</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12,470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551</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437,646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(2,879)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831,850</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$ 1,268,037</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 and</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awards</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shd w:val="clear" w:color="auto" w:fill="CCEEFF"/>
          </w:tcPr>
          <w:p>
            <w:pPr>
              <w:spacing w:after="0"/>
              <w:rPr>
                <w:sz w:val="20"/>
                <w:szCs w:val="20"/>
                <w:color w:val="auto"/>
              </w:rPr>
            </w:pP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to stock options,</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shares and</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stock purchase</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100" w:type="dxa"/>
            <w:vAlign w:val="bottom"/>
          </w:tcPr>
          <w:p>
            <w:pPr>
              <w:spacing w:after="0"/>
              <w:rPr>
                <w:sz w:val="20"/>
                <w:szCs w:val="20"/>
                <w:color w:val="auto"/>
              </w:rPr>
            </w:pP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share</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2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(6,780)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(6,777)</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 employee stock</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20"/>
                <w:szCs w:val="20"/>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repurchases</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(6,483)</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Dividend Class A common</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(7,684)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(7,684)</w:t>
            </w: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Class B common</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(2,380)</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2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45,333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45,333</w:t>
            </w:r>
          </w:p>
        </w:tc>
      </w:tr>
      <w:tr>
        <w:trPr>
          <w:trHeight w:val="209"/>
        </w:trPr>
        <w:tc>
          <w:tcPr>
            <w:tcW w:w="22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March 31, 2021</w:t>
            </w:r>
          </w:p>
        </w:tc>
        <w:tc>
          <w:tcPr>
            <w:tcW w:w="110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42,885</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12,660</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558</w:t>
            </w:r>
          </w:p>
        </w:tc>
        <w:tc>
          <w:tcPr>
            <w:tcW w:w="2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449,790</w:t>
            </w:r>
          </w:p>
        </w:tc>
        <w:tc>
          <w:tcPr>
            <w:tcW w:w="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(9,362)</w:t>
            </w:r>
          </w:p>
        </w:tc>
        <w:tc>
          <w:tcPr>
            <w:tcW w:w="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867,119</w:t>
            </w:r>
          </w:p>
        </w:tc>
        <w:tc>
          <w:tcPr>
            <w:tcW w:w="2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$ 1,309,229</w:t>
            </w:r>
          </w:p>
        </w:tc>
        <w:tc>
          <w:tcPr>
            <w:tcW w:w="10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08" w:right="339" w:bottom="659"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659"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380" w:type="dxa"/>
            <w:vAlign w:val="bottom"/>
            <w:gridSpan w:val="4"/>
          </w:tcPr>
          <w:p>
            <w:pPr>
              <w:jc w:val="center"/>
              <w:ind w:right="380"/>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CASH FLOWS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92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92,453</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45,333</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45,809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42,601</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sale of property and equipment,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Gain on joint venture transaction</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 related to employee stock options and employee stock purchases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13,793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11,520</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Provision for deferred income tax expense</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(8,375)</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(58,810)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(14,690)</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inventories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(98,292)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(1,797)</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23,903</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(31,243)</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(25,495)</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(795)</w:t>
            </w:r>
          </w:p>
        </w:tc>
      </w:tr>
      <w:tr>
        <w:trPr>
          <w:trHeight w:val="209"/>
        </w:trPr>
        <w:tc>
          <w:tcPr>
            <w:tcW w:w="8000" w:type="dxa"/>
            <w:vAlign w:val="bottom"/>
            <w:tcBorders>
              <w:top w:val="single" w:sz="8" w:color="CCEEFF"/>
            </w:tcBorders>
            <w:gridSpan w:val="6"/>
          </w:tcPr>
          <w:p>
            <w:pPr>
              <w:ind w:left="8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100" w:type="dxa"/>
            <w:vAlign w:val="bottom"/>
            <w:tcBorders>
              <w:top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(32,933)</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disposition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6"/>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(32,159)</w:t>
            </w:r>
          </w:p>
        </w:tc>
      </w:tr>
      <w:tr>
        <w:trPr>
          <w:trHeight w:val="210"/>
        </w:trPr>
        <w:tc>
          <w:tcPr>
            <w:tcW w:w="12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Draws (payments) on floor plan notes payable – non-trade, net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71,478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38,518</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207,500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20,125</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(44,669)</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(2,090)</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relating to equity awards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7,410</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(6,779)</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(11,083)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(9,914)</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(14,421)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(6,561)</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6"/>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(3,960)</w:t>
            </w:r>
          </w:p>
        </w:tc>
      </w:tr>
      <w:tr>
        <w:trPr>
          <w:trHeight w:val="20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148,146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312,048</w:t>
            </w:r>
          </w:p>
        </w:tc>
      </w:tr>
      <w:tr>
        <w:trPr>
          <w:trHeight w:val="210"/>
        </w:trPr>
        <w:tc>
          <w:tcPr>
            <w:tcW w:w="12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209,526</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316,070</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7,262</w:t>
            </w: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(refund) paid,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27,552</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2,672</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10,368</w:t>
            </w:r>
          </w:p>
        </w:tc>
      </w:tr>
    </w:tbl>
    <w:p>
      <w:pPr>
        <w:spacing w:after="0" w:line="19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Principles of Consolidation and 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2021. Results of operations for interim periods are not necessarily indicative of results that may be expected for any other interim periods or the full fiscal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Risks and Uncertainties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the COVID-19 pandemic may not be over, business conditions have improved significantly since the onset of the pandemic in the second quarter of 2020. However, our industry continues to be impacted by supply chain issues generally attributable to the COVID-19 pandemic that are negatively affecting new commercial vehicle production and the availability of aftermarket parts. The Company is unable to predict the impact that the COVID-19 pandemic will have on its future business and operating results due to numerous uncertainties, including the duration of the COVID-19 pandemic and its effect on global economic trends and the various supply chains serving the commercial vehicle industry.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 and Call Option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25, 2019, the Company acquired 50% of the equity interest in Rush Truck Centres of Canada Limited (“RTC Canada”), which acquired the operating assets of Tallman Group, the largest International Truck dealer in Canada. The Company was also granted a call option in the purchase agreement that provides the Company with the right to acquire the remaining 50% equity interest in RTC Canada until the close of business on February 25, 2024. The value of the Company’s call option was $3.6 million as of March 31, 2022, and is reported in Other Assets on the Consolidated Balance Sheet.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25, 2019, the Company entered into a Guaranty Agreement (“Guaranty”) with Bank of Montreal (“BMO”), pursuant to which the Company agreed to guaranty up to CAD250 million (the “Guaranty Cap”) of certain credit facilities entered into by and between Tallman Truck Centre Limited (“TTCL”) and BMO. The Company owned a 50% equity interest in TTCL, which was the sole owner of RTC Canada. Later in 2019, RTC Canada and TTCL were amalgamated into RTC Canada. Interest, fees and expenses incurred by BMO to enforce its rights with respect to the guaranteed obligations and its rights against the Company under the Guaranty are not subject to the Guaranty Cap. In exchange for the Guaranty, RTC Canada is receiving a reduced rate of interest on its credit facilities with BMO. The Guaranty was valued at $5.3 million as of March 31, 2022 and $5.2 million as of December 31, 2021, and is included in the investment in RTC Canada. As of March 31, 2022, the Company’s investment in RTC Canada is $38.7 million. The Company’s equity income in RTC Canada is included in Other income on the Consolidated Statements of Income.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3, 2022, a subsidiary of Cummins, Inc. acquired a 50% equity interest in Natural Gas Fuel Systems, LLC, which previously conducted business as Momentum Fuel Technologies, from the Company for $27.5 million. The $12.5 million gain realized on the transaction is included in Other income on the Consolidated Statements of Income and Comprehensive Income. The Company is accounting for the business as a joint venture and recognizes the investment using the equity method. As of March 31, 2022, the Company’s investment in Natural Gas Fuels Systems, LLC is $14.9 million. The Company’s equity income in Natural Gas Fuels Systems, LLC is included in Other income on the Consolidated Statements of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March 31, 2022,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26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 share – Net income available to common</w:t>
            </w:r>
          </w:p>
        </w:tc>
        <w:tc>
          <w:tcPr>
            <w:tcW w:w="98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92,453</w:t>
            </w:r>
          </w:p>
        </w:tc>
        <w:tc>
          <w:tcPr>
            <w:tcW w:w="118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45,333</w:t>
            </w:r>
          </w:p>
        </w:tc>
        <w:tc>
          <w:tcPr>
            <w:tcW w:w="0" w:type="dxa"/>
            <w:vAlign w:val="bottom"/>
          </w:tcPr>
          <w:p>
            <w:pPr>
              <w:spacing w:after="0"/>
              <w:rPr>
                <w:sz w:val="1"/>
                <w:szCs w:val="1"/>
                <w:color w:val="auto"/>
              </w:rPr>
            </w:pPr>
          </w:p>
        </w:tc>
      </w:tr>
      <w:tr>
        <w:trPr>
          <w:trHeight w:val="221"/>
        </w:trPr>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shareholders</w:t>
            </w:r>
          </w:p>
        </w:tc>
        <w:tc>
          <w:tcPr>
            <w:tcW w:w="98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 outstanding</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55,938</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55,567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 Employee stock options and restricted share awards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0"/>
        </w:trPr>
        <w:tc>
          <w:tcPr>
            <w:tcW w:w="7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3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 outstanding and</w:t>
            </w:r>
          </w:p>
        </w:tc>
        <w:tc>
          <w:tcPr>
            <w:tcW w:w="9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57,912</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57,734</w:t>
            </w:r>
          </w:p>
        </w:tc>
        <w:tc>
          <w:tcPr>
            <w:tcW w:w="0" w:type="dxa"/>
            <w:vAlign w:val="bottom"/>
          </w:tcPr>
          <w:p>
            <w:pPr>
              <w:spacing w:after="0"/>
              <w:rPr>
                <w:sz w:val="1"/>
                <w:szCs w:val="1"/>
                <w:color w:val="auto"/>
              </w:rPr>
            </w:pPr>
          </w:p>
        </w:tc>
      </w:tr>
      <w:tr>
        <w:trPr>
          <w:trHeight w:val="194"/>
        </w:trPr>
        <w:tc>
          <w:tcPr>
            <w:tcW w:w="73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assumed conversions</w:t>
            </w:r>
          </w:p>
        </w:tc>
        <w:tc>
          <w:tcPr>
            <w:tcW w:w="9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980" w:type="dxa"/>
            <w:vAlign w:val="bottom"/>
            <w:shd w:val="clear" w:color="auto" w:fill="CCEEFF"/>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1180" w:type="dxa"/>
            <w:vAlign w:val="bottom"/>
            <w:gridSpan w:val="2"/>
            <w:shd w:val="clear" w:color="auto" w:fill="CCEEFF"/>
          </w:tcPr>
          <w:p>
            <w:pPr>
              <w:jc w:val="right"/>
              <w:ind w:right="8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980" w:type="dxa"/>
            <w:vAlign w:val="bottom"/>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1180" w:type="dxa"/>
            <w:vAlign w:val="bottom"/>
            <w:gridSpan w:val="2"/>
          </w:tcPr>
          <w:p>
            <w:pPr>
              <w:jc w:val="right"/>
              <w:ind w:right="8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ended March 31, 2022 and 2021 that were not included in the computation of diluted earnings per share because the effect would have been anti-dilutive are as follows (in thousands):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2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March 31,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34"/>
        </w:trPr>
        <w:tc>
          <w:tcPr>
            <w:tcW w:w="5680" w:type="dxa"/>
            <w:vAlign w:val="bottom"/>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options – weighted average</w:t>
            </w:r>
          </w:p>
        </w:tc>
        <w:tc>
          <w:tcPr>
            <w:tcW w:w="1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56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 Options and Restricted Stock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718-10,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which requires the measurement and recognition of compensation expense for all share-based payment awards made to the Company’s employees and directors, including employee stock options, restricted stock unit awards, restricted stock awards and employee stock purchases related to the Employee Stock Purchase Plan, based on estimated fair values.</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calculated using the Black-Scholes option-pricing model for employee stock options and included in selling, general and administrative expense, was $13.8 million for the three months ended March 31, 2022, and $11.5 million for the three months ended March 31, 2021.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$14.3 million of unrecognized compensation cost related to non-vested employee stock options to be recognized over a weighted-average period of 2.6 years and $17.0 million of unrecognized compensation cost related to non-vested restricted stock awards to be recognized over a weighted-average period of 1.7 years.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Instruments and Fair Value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March 31, 2022, and December 31, 2021. The carrying value of current assets and current liabilities approximates the fair value due to the short maturity of these items.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carrying amount of such debt approximates fair value.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revenues, segment income or loss from continuing operations and segment assets for the periods ended March 31, 2022 and 2021 (in thousands):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Truck</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Segment</w:t>
            </w:r>
          </w:p>
        </w:tc>
        <w:tc>
          <w:tcPr>
            <w:tcW w:w="26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Totals</w:t>
            </w:r>
          </w:p>
        </w:tc>
      </w:tr>
      <w:tr>
        <w:trPr>
          <w:trHeight w:val="209"/>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March 31, 2022</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1,559,051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1,563,202</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107,320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107,499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120,259</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120,344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3,266,895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3,321,548</w:t>
            </w:r>
          </w:p>
        </w:tc>
      </w:tr>
      <w:tr>
        <w:trPr>
          <w:trHeight w:val="216"/>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March 31, 2021</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1,228,111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1,231,806</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55,950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56,225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56,432</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56,637</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2,958,832</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3,008,423</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had unrecognized income tax benefits totaling $4.3 million as a component of accrued liabilities as of March 31, 2022 and December 31, 2021,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The Company had approximately $279,000 accrued for the payment of interest as of March 31, 2022 and December 31, 2021. No amounts were accrued for penalties.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March 31, 2022, the tax years ended December 31, 2018 through 2021 remained subject to audit by federal tax authorities, and the tax years ended December 31, 2017 through 2021, remained subject to audit by state tax authorities.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revenues are primarily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disaggregated revenue by revenue source, excluding lease and rental revenue, for the three months ended March 31, 2022 and 2021 (in thousands):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Three Months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Three Months</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March 31, 2022</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March 31, 2021</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sales revenue</w:t>
            </w:r>
          </w:p>
        </w:tc>
        <w:tc>
          <w:tcPr>
            <w:tcW w:w="1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935,719</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Parts revenue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repair service revenue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Finance revenue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revenue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1,491,867</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1,173,579</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performance obligations and associated revenues are generally transferred to customers at a point in time. The Company did not have any material contract assets or contract liabilities on the balance sheet as of March 31, 2022. Revenues related to commercial vehicle sales, parts sales, commercial vehicle repair service, finance and the majority of other revenues are related to the Truck Segment.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Vehicles as Lessor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leases commercial vehicles that the Company owns to customers primarily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Sales-type leases are recognized by the Company as lease receivables. The lessee obtains control of the underlying asset and the Company recognizes sales revenue upon lease commencement. The receivable for sales-type leases as of March 31, 2022 was $5.6 million, compared to $5.4 million as of December 31, 2021, and is reflected in Other Assets on the Consolidated Balance Sheet.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and rental income during the three months ended March 31, 2022 and March 31, 2021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Three Months</w:t>
            </w:r>
          </w:p>
        </w:tc>
        <w:tc>
          <w:tcPr>
            <w:tcW w:w="14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Three Months</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Ended</w:t>
            </w:r>
          </w:p>
        </w:tc>
        <w:tc>
          <w:tcPr>
            <w:tcW w:w="14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Ended</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March 31, 2022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March 31, 2021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payments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61,998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50,705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Nonlease payments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7,522</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71,335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58,227</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3160" w:type="dxa"/>
            <w:vAlign w:val="bottom"/>
            <w:tcBorders>
              <w:top w:val="single" w:sz="8" w:color="CCEEFF"/>
            </w:tcBorders>
          </w:tcPr>
          <w:p>
            <w:pPr>
              <w:spacing w:after="0"/>
              <w:rPr>
                <w:sz w:val="24"/>
                <w:szCs w:val="24"/>
                <w:color w:val="auto"/>
              </w:rPr>
            </w:pPr>
          </w:p>
        </w:tc>
        <w:tc>
          <w:tcPr>
            <w:tcW w:w="2520" w:type="dxa"/>
            <w:vAlign w:val="bottom"/>
            <w:tcBorders>
              <w:top w:val="single" w:sz="8" w:color="CCEEFF"/>
            </w:tcBorders>
          </w:tcPr>
          <w:p>
            <w:pPr>
              <w:jc w:val="right"/>
              <w:ind w:right="99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Accumulated Other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income (loss) (in thousands):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r>
      <w:tr>
        <w:trPr>
          <w:trHeight w:val="20"/>
        </w:trPr>
        <w:tc>
          <w:tcPr>
            <w:tcW w:w="7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1,232</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equity method investment in RTC Canada was valued using the exchange rate of one US Dollar to 1.2505 Canadian dollars as of March 31, 2022. The adjustment is reflected in Other Assets on the Consolidated Balance Sheet.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Receivable and Allowance for Credit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establishes an allowance for credit losses to present the net amount of accounts receivable expected to be collected. Under Accounting Standards Update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the Company is required to remeasure expected credit losses for financial instruments held on the reporting date based on historical experience, current conditions and reasonable forecasts.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consists primarily of commercial vehicle sales receivables, manufacturers’ receivables, leasing and parts and service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Provision for</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Write offs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the Three</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Against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31,</w:t>
            </w: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Months Ended</w:t>
            </w: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Allowance, net</w:t>
            </w: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Balance</w:t>
            </w:r>
          </w:p>
        </w:tc>
      </w:tr>
      <w:tr>
        <w:trPr>
          <w:trHeight w:val="234"/>
        </w:trPr>
        <w:tc>
          <w:tcPr>
            <w:tcW w:w="5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20"/>
                <w:szCs w:val="20"/>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 2022</w:t>
            </w:r>
          </w:p>
        </w:tc>
        <w:tc>
          <w:tcPr>
            <w:tcW w:w="10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of Recoveries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10"/>
        </w:trPr>
        <w:tc>
          <w:tcPr>
            <w:tcW w:w="5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receivables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Manufacturers’ receivables</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parts and service receivables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1,912</w:t>
            </w:r>
          </w:p>
        </w:tc>
      </w:tr>
      <w:tr>
        <w:trPr>
          <w:trHeight w:val="20"/>
        </w:trPr>
        <w:tc>
          <w:tcPr>
            <w:tcW w:w="5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Acquisition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13, 2021, the Company completed the acquisition of certain of the assets of the Summit Truck Group, LLC and certain of its subsidiaries and affiliates (collectively, “Summit”) which included full-service commercial vehicle dealerships and Idealease franchises in Arkansas, Kansas, Missouri, Tennessee and Texas. The acquisition included Summit’s dealerships representing International, IC Bus, Idealease, Isuzu and other commercial vehicle manufacturers for a purchase price of approximately $205.3 million, excluding the real property associated with the transaction. The Company financed approximately $102.0 million of the purchase price under its floor plan and lease and rental truck financing arrangements and the remainder of the purchase price was paid in cash. In addition, the Company purchased certain real property owned by Summit for a purchase price of approximately $57.0 million, which was paid in cash.</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price allocation has not yet been finalized for the Summit acquisition. The Company is currently working with Summit to obtain additional information related to property and equipment, inventory and valuation of intangible assets. Management has recorded the purchase price allocations based upon currently available information about Summit.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operations of Summit are included in the accompanying consolidated financial statements from the date of the acquisition. The preliminary purchase price was allocated based on the fair values of the assets and liabilities at the date of acquisition as follows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73,710</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76,078</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including real estate</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113,161</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(3,359)</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Pr>
          <w:p>
            <w:pPr>
              <w:spacing w:after="0"/>
              <w:rPr>
                <w:sz w:val="18"/>
                <w:szCs w:val="18"/>
                <w:color w:val="auto"/>
              </w:rPr>
            </w:pPr>
          </w:p>
        </w:tc>
      </w:tr>
      <w:tr>
        <w:trPr>
          <w:trHeight w:val="209"/>
        </w:trPr>
        <w:tc>
          <w:tcPr>
            <w:tcW w:w="7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262,327</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goodwill acquired in the Summit acquisition will be amortized over 15 years for tax purposes.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 2022, the Company acquired an additional 30% of RTC Canada for approximately $20.0 million, bringing the Company’s total ownership of RTC Canada to 80%. Prior to acquiring the additional 30%, the Company accounted for the equity interest in RTC Canada using the equity method of accounting. Going forward, the operating results of RTC Canada will be consolidated in the Consolidated Statements of Operations and Comprehensive Income and the Consolidated Balance Sheets from the date of the acquisition. In addition, the operating results of RTC Canada will also be discussed in Management’s Discussion and Analysis of Financial Condition and Results of Operations in the Company’s quarterly and annual reports.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behalf from time to time in other reports, filings with the Securities and Exchange Commission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news releases, conferences, website postings or otherwise) that are not statements of historical fact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the Private Securities Litigation Reform Act of 1995, Section 27A of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notwithstanding that such statements are not specifically identified. Forward-looking statements include statements about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position, business strategy and plans and objectives of management of the Company for future operations, as well as statements regarding the effects COVID-19 may have on our business and financial results. These forward-looking statements reflect the best judgments of the Company about the future events and trends based on the beliefs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as well as assumptions made by and information currently available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management. Use of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the year ended December 31, 2021,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Inc. PacLease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Leasing Corporation. Navistar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Navistar International Corporation. International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Navistar International Transportation Corp. Idealease is a registered trademark of Idealease, Inc. aka Idealease of North America, Inc. Blue Bird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Blue Bird Investment Corporation. IC Bus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IC Bus, LLC. Hino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Isuzu Motors Limited. Ford Motor Credit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Ford Motor Company. Ford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Ford Motor Company. Cummins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Cummins, Inc. This report contains additional trade names or trademarks of other companies. Our use of such trade names or trademarks should not imply any endorsement or relationship with such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Since commencing operations as a Peterbilt heavy-duty truck dealer in 1966, we have grown to operate over 125 franchised Rush Truck Centers in 23 states. In 2019, we purchased a 50% equity interest in an entity in Canada, Rush Truck Centres of Canada Limited (“RTC Canada”), which currently owns and operates 15 International dealership locations in Ontario, Canada.</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COVID-19 Pandemic and Its Impact on Our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COVID-19 pandemic may not be over, business conditions have improved significantly since the onset of the pandemic in the second quarter of 2020. However, our industry continues to be impacted by supply chain issues generally believed to be attributable to the COVID-19 pandemic that are negatively affecting new commercial vehicle production and the availability of aftermarket parts.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 Research Co., LLC (“A. C.T. Research”), a commercial vehicle industry data and forecasting service provider, currently forecasts new U.S. Class 8 retail truck sales to be 244,500 units in 2022, which would represent a 7.5% increase compared to 2021. We expect our market share of new Class 8 truck sales to range between 5.8% and 6.1% in 2022. This market share percentage would result in the sale of approximately 14,300 to 15,000 new Class 8 trucks in 2022, based on A.C.T. Research’s current U.S. retail sales estimate of 244,500 units.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new U.S. Class 4-7 retail commercial vehicle sales, A.C.T. Research currently forecasts sales to be 263,200 units in 2022, which would represent a 5.6% increase compared to 2021. We expect our market share of new Class 4 through 7 commercial vehicle sales to range between 4.0% and 4.2% in 2022. This market share percentage would result in the sale of approximately 10,500 to 11,000 new Class 4 through 7 commercial vehicles in 2022, based on A.C.T. Research’s current U.S. retail sales estimates of 263,200 units.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sell approximately 1,700 light-duty vehicles and approximately 7,800 to 8,200 used commercial vehicles in 2022. We expect lease and rental revenue to increase 25% to 30% during 2022, compared to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our Aftermarket Products and Services revenues will increase 20% to 25% in 2022, compared to 2021.</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above projections for new commercial vehicle sales will depend on our ability to obtain commercial vehicles from the manufacturers we represent based on allocations from the manufacturers and supply chain issues affecting manufacturers. In addition, we are beginning to see elevated fuel prices and lower spot market rates and believe inflation and rising interest rates may begin to negatively impact consumer spending and capital expenditures across a variety of industries we support. We are monitoring these and other economic factors that may impact industry demand moving forward. However, with the ongoing integration of our strategic initiatives into our newly acquired dealership locations, and our continued disciplined approach to expense management, we believe our financial results will continue to be strong in 2022.</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all of the above projections for new commercial vehicle sales, lease and rental revenues and Aftermarket Products and Services revenues include the dealership and Idealease locations that we acquired on December 13, 2021, when we completed the acquisition of certain of the assets of the of Summit Truck Group, LLC and certain of its subsidiaries and affiliates (collectively, “Summit”), which included full-service commercial vehicle dealerships and Idealease franchises in Arkansas, Kansas, Missouri, Tennessee and Texas (the “Summit Acquisition”). The Summit Acquisition included Summit’s dealerships representing International, IC Bus, Idealease, Isuzu and other commercial vehicle manufacturers.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 Intangible Assets and Goodwill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We determine whether substantially all the fair value of the gross assets acquired is concentrated in a single identifiable asset or a group of similar identifiable assets. If so, the single asset or group of assets, as applicable, is not a business. If not, we determine whether the single asset or group of assets, as applicable, meets the definition of a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business combinations, we recorded certain intangible assets, including franchise rights. We periodically review the estimated useful lives and fair values of our identifiable intangible assets, taking into consideration any events or circumstances that might result in a diminished fair value or revised useful life.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excess purchase price over the fair value of assets acquired is recorded as goodwill. We test goodwill for impairment annually in the fourth quarter, or whenever events or changes in circumstances indicate an impairment may have occurred. Because we operate a single reporting unit, the Truck Segment, the impairment test is performed at that level by comparing the estimated fair value of the reporting unit to the carrying value of the reporting unit. We estimate the fair value of the reporting unit using a "step one" analysis utilizing a fair-value-based approach that uses a discounted cash flow analysis of projected future results to determine if it is more likely than not that the fair value of a reporting unit is less than its carrying amount. Determining the fair value of goodwill is subjective in nature and often involves the use of estimates and assumptions including, without limitation, use of estimates of future prices and volumes for our products, capital needs, economic trends and other factors which are inherently difficult to forecast. If actual results, or the plans and estimates used in future impairment analyses are lower than the original estimates used to assess the recoverability of these assets, we could incur impairment charges in a future period. The annual impairment test was performed in the fourth quarter of 2021. No impairment of goodwill was identified during 2021 and no circumstances or events occurred in the first quarter of 2022 that would require a test for impairment.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Accruals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ASU 2014-09, “</w:t>
      </w:r>
      <w:r>
        <w:rPr>
          <w:rFonts w:ascii="Times New Roman" w:cs="Times New Roman" w:eastAsia="Times New Roman" w:hAnsi="Times New Roman"/>
          <w:sz w:val="18"/>
          <w:szCs w:val="18"/>
          <w:i w:val="1"/>
          <w:iCs w:val="1"/>
          <w:color w:val="auto"/>
        </w:rPr>
        <w:t>Revenue from Contracts with Customers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lease commercial vehicles and real estate under finance and operating leases. We determine whether an arrangement is a lease at its inception. For leases with terms greater than twelve months, we record a lease asset and liability at the present value of lease payments over the term. Many of our leases include renewal options and termination options that are factored into our determination of lease payments when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commercial vehicles that we own to customers. Lease and rental revenue is recognized over the period of the related lease or rental agreement. Variable rental revenue is recognized when it is earned.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 at their cost basis adjusted for any write-offs and net of allowances for credit losses. We maintain allowances for credit losses, which represent an estimate of expected losses over the remaining contractual life of our receivables after considering current market conditions and estimates for supportable forecasts, when appropriate. The estimate is a result of our ongoing assessments and evaluations of collectability, historical loss experience, and future expectations in estimating credit losses in each of our receivable portfolios (commercial vehicle receivables, manufacturers’ receivables, parts and service receivables, leasing receivables and other trade receivables). For trade receivables, we use the probability of default and our historical loss experience rates by portfolio and apply them to a related aging analysis while also considering customer and economic risk where appropriate. Determination of the proper amount of allowances by portfolio requires us to exercise our judgment about the timing, frequency and severity of credit losses that could materially affect the provision for credit losses and, as a result, net earnings. The allowances take into consideration numerous quantitative and qualitative factors that include receivable type, historical loss experience, collection experience, current economic conditions, estimates for supportable forecasts (when appropriate) and credit risk characteristics.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the three months ended March 31, 2022 and 2021.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financial data as a percentage of total revenues:</w:t>
      </w:r>
    </w:p>
    <w:p>
      <w:pPr>
        <w:spacing w:after="0" w:line="22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Parts and service sales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34.7</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and rental</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and insurance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61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77.9</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80.1</w:t>
            </w:r>
          </w:p>
        </w:tc>
      </w:tr>
      <w:tr>
        <w:trPr>
          <w:trHeight w:val="20"/>
        </w:trPr>
        <w:tc>
          <w:tcPr>
            <w:tcW w:w="61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22.1</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61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6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6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1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p>
      <w:pPr>
        <w:spacing w:after="0" w:line="22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service sales</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60.5</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and rental</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tcPr>
          <w:p>
            <w:pPr>
              <w:spacing w:after="0"/>
              <w:rPr>
                <w:sz w:val="18"/>
                <w:szCs w:val="18"/>
                <w:color w:val="auto"/>
              </w:rPr>
            </w:pPr>
          </w:p>
        </w:tc>
      </w:tr>
      <w:tr>
        <w:trPr>
          <w:trHeight w:val="425"/>
        </w:trPr>
        <w:tc>
          <w:tcPr>
            <w:tcW w:w="840" w:type="dxa"/>
            <w:vAlign w:val="bottom"/>
          </w:tcPr>
          <w:p>
            <w:pPr>
              <w:spacing w:after="0"/>
              <w:rPr>
                <w:sz w:val="24"/>
                <w:szCs w:val="24"/>
                <w:color w:val="auto"/>
              </w:rPr>
            </w:pPr>
          </w:p>
        </w:tc>
        <w:tc>
          <w:tcPr>
            <w:tcW w:w="6100" w:type="dxa"/>
            <w:vAlign w:val="bottom"/>
            <w:tcBorders>
              <w:top w:val="single" w:sz="8" w:color="CCEEFF"/>
            </w:tcBorders>
          </w:tcPr>
          <w:p>
            <w:pPr>
              <w:ind w:left="470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6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revenues for new heavy-duty, new medium-duty, new light-duty and used commercial vehicles and the absorption ratio (revenue in millions):</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7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3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43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8"/>
                <w:szCs w:val="18"/>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heavy-duty vehicles</w:t>
            </w:r>
          </w:p>
        </w:tc>
        <w:tc>
          <w:tcPr>
            <w:tcW w:w="10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3,528</w:t>
            </w:r>
          </w:p>
        </w:tc>
        <w:tc>
          <w:tcPr>
            <w:tcW w:w="10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2,995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medium-duty vehicles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2,141</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light-duty vehicles</w:t>
            </w:r>
          </w:p>
        </w:tc>
        <w:tc>
          <w:tcPr>
            <w:tcW w:w="10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w:t>
            </w:r>
          </w:p>
        </w:tc>
        <w:tc>
          <w:tcPr>
            <w:tcW w:w="10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4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6,150</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5,724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2,395</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4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Vehicle revenues: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heavy-duty vehicles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546.1</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medium-duty vehicles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178.0</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light-duty vehicles</w:t>
            </w:r>
          </w:p>
        </w:tc>
        <w:tc>
          <w:tcPr>
            <w:tcW w:w="10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10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4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747.9</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656.6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4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 revenue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185.7</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16"/>
        </w:trPr>
        <w:tc>
          <w:tcPr>
            <w:tcW w:w="4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Other vehicle revenues:</w:t>
            </w:r>
            <w:r>
              <w:rPr>
                <w:rFonts w:ascii="Times New Roman" w:cs="Times New Roman" w:eastAsia="Times New Roman" w:hAnsi="Times New Roman"/>
                <w:sz w:val="25"/>
                <w:szCs w:val="25"/>
                <w:color w:val="auto"/>
                <w:vertAlign w:val="superscript"/>
              </w:rPr>
              <w:t>(1)</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4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Dealership absorption ratio:</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ind w:left="86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136.3% absorption ratio for the first quarter of 2022, compared to a 122.6% absorption ratio for the first quarter of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revenues increased $331.4 million, or 26.9%, in the first quarter of 2022, compared to the first quarter of 2021. This increase was primarily the result of continued recovery of the national economy, strong demand for new and used commercial vehicle and the Summit Acquisition, which increased revenues across all areas of our business.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Aftermarket Products and Services revenues increased $127.5 million, or 30.7%, in the first quarter of 2022, compared to the first quarter of 2021. Our Aftermarket Parts and Services continue to benefit from a strong national economy.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Revenues from sales of new and used commercial vehicles increased $188.0 million, or 25.1%, in the first quarter of 2022, compared to the first quarter of 2021. The strong national economy, which led to historically high freight rates throughout the country, continues to maintain strong demand for commercial vehicles.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3,528 new Class 8 trucks in the first quarter of 2022, a 17.8% increase compared to 2,995 new Class 8 trucks in the first quarter of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in new Class 8 truck sales was primarily a result of the Summit Acquisition.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2,141 new Class 4 through 7 commercial vehicles, including 193 buses, in the first quarter of 2022, a 8.3% decrease compared to 2,334 new medium-duty commercial vehicles, including 140 buses, in the first quarter of 2021. Our new Class 4 through 7 commercial vehicle sales were negatively impacted by new commercial vehicle production constraints that affected the manufacturers we represent.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481 new light-duty vehicles in the first quarter of 2022, a 21.8% increase compared to 395 new light-duty vehicles in the first quarter of 2021. Our light-duty vehicle sales benefited from the increased demand for light-duty vehicles in the 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sold 2,395 used commercial vehicles in the first quarter of 2022, a 24.5% increase compared to 1,924 used commercial vehicles in the first quarter of 2021. Demand for used commercial vehicles remained strong in the first quarter of 2022. However, the number of used commercial vehicles we will be able to sell in 2022 depends on our ability to acquire quality used commercial vehicle inventory. We believe used truck demand and values will decrease when new truck production increases to a level adequate to meet customer demand; however, we believe demand for used trucks will remain strong throughout 2022.</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Commercial vehicle lease and rental revenues increased $13.1 million, or 22.5%, in the first quarter of 2022, compared to the first quarter of 2021. The increase was partly due to increased rental fleet utilization and strong demand for vehicles to lease, which was impacted by the limited supply of new commercial vehicles.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Finance and insurance revenues increased $1.1 million, or 16.4%, in the first quarter of 2022, compared to the first quarter of 2021. The increase in finance and insurance revenues was partially due to sales of finance and insurance products to a higher percentage of new and used commercial vehicle purchasers in the first quarter of 2022. Finance and insurance revenues have limited direct costs and, therefore, contribute a disproportionate share of our operating profits.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increased $1.7 million, or 46.5%, in the first quarter of 2022, compared to the first quarter of 2021. Other income consists primarily of document fees related to commercial vehicle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increased $100.6 million, or 41.1%, in the first quarter of 2022, compared to the first quarter of 2021. Gross profit as a percentage of sales increased to 22.1% in the first quarter of 2022, from 19.9% in the first quarter of 2021. This increase in gross profit as a percentage of sales is a result of increased gross margins related to new and used commercial vehicle sales and an increase in Aftermarket Products and Services as a percentage of our overall product sales mix.</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increased to 38.5% in the first quarter of 2022, compared to 37.0% in the first quarter of 2021. This increase is primarily related increases in parts pricing and increases in parts rebates from parts suppliers. Gross profit from our Aftermarket Products and Services operations increased to $209.1 million in the first quarter of 2022, from $153.9 million in the first quarter of 2021. Historically, gross margins on parts sales range from 28% to 30% and gross margins on service and collision center operations range from 66% to 68%. Gross profits from parts sales represented 62.5% of total gross profit for Aftermarket Products and Services operations in the first quarter of 2022 and 59.5% in the first quarter of 2021. Service and collision center operations represented 37.5% of total gross profit for Aftermarket Products and Services operations in the first quarter of 2022 and 40.5% in the first quarter of 2021. We expect blended gross margins on Aftermarket Products and Services operations to range from 37.5% to 38.5% in 2022.</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new Class 8 truck sales increased to 9.7% in the first quarter of 2022, from 8.9% in the first quarter of 2021. This increase is primarily due to strong demand for new Class 8 trucks and the mix of purchasers during the first quarter of 2022. In 2022, we expect overall gross margins from new heavy-duty truck sales of approximately 8.0% to 9.5%.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margins on new Class 4 through 7 commercial vehicle sales increased to 8.6% in the first quarter of 2022, from 7.1% in the first quarter of 2021. This increase is primarily due to the mix of purchasers during the first quarter of 2022 and strong demand for new Class 4 through 7 commercial vehicles. For 2022, we expect overall gross margins from new medium-duty commercial vehicle sales of approximately 7.5% to 8.5%, but this will largely depend upon the mix of purchasers and types of vehicles sold.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margins on used commercial vehicle sales decreased to 15.9% in the first quarter of 2022, from 18.1% in the first quarter of 2021. This decrease is primarily due to a softening in used truck values as new Class 8 vehicle production begins to increase. We expect margins on used commercial vehicles to gradually decrease throughout 2022 as new commercial vehicle production increases and reach their historical range between 8.0% and 10.0% by the end of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Gross margins from truck lease and rental sales increased to 31.9% in the first quarter of 2022, from 17.5% in the first quarter of 2021. This increase is primarily related to increased rental fleet utilization and changes to the way we finance commercial vehicles for our lease and rental fleet. In September of 2021, we entered into a credit agreement (“the WF Credit Agreement”) with the lenders signatory thereto (the “WF Lenders”) and Wells Fargo Bank, National Association (“WF”), as Administrative Agent (in such capacity, the “WF Agent”) that allows us to finance a portion of our Idealease lease and rental fleet through a general borrowing facility. In October of 2021, we entered into that certain Amended and Restated Inventory Financing and Purchase Money Security Agreement with PLC, a division of PACCAR Financial Corp. (the “PLC Agreement”) in the amount of $300.0 million to be used in connection with the acquisition of PacLease lease and rental fleet vehicles. The interest associated with the WF Credit Agreement and the PLC Agreement is recorded in interest expense on the Consolidated Statement of Income. Prior to the WF Credit Agreement and the PLC Agreement, interest expense associated with our lease and rental fleet purchases was recorded in cost of sales because each borrowing was directly related to each lease and rental vehicle purchased. This change in the structure of financing of our lease and rental fleet results in increased gross margins from our commercial vehicle lease and rental sales. We expect gross margins from lease and rental sales of approximately 31.0% to 33.0% during 2022.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9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$49.5 million, or 28.3%, in the first quarter of 2022, compared to the first quarter of 2021. This increase primarily resulted from increased personnel expense and increased selling expense, compared to the first quarter of 2021, and in addition, increased general and administrative expense associated with the Summit Acquisition. SG&amp;A expenses as a percentage of total revenues increased to 14.4% in the first quarter of 2022, from 14.2% in the first quarter of 2021. Annual SG&amp;A expenses as a percentage of total revenues have ranged from approximately 12.4% to 14.3% over the last five years. In general, when new and used commercial vehicle revenues decrease as a percentage of total revenues, SG&amp;A expenses as a percentage of total revenues will be at the higher end of this range. For 2022, we expect SG&amp;A expenses as a percentage of total revenues to range from 13.0% to 14.0%, due to the increase in revenues from sales of new and used commercial vehicles and Aftermarket Products and Services revenues. We expect the selling portion of SG&amp;A expenses to be approximately 25.0% to 30.0% of new and used commercial vehicle gross profit.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interest expense increased $0.7 million, or 140.4%, in the first quarter of 2022, compared to the first quarter of 2021. This increase in interest expense is a result of the increase in inventory levels compared to 2021. We expect net interest expense in 2022 to increase due to interest related to lease and rental borrowings, but the amount of the increase will depend on inventory levels, interest rate fluctuations and the amount of cash available to make prepayments on our floor plan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income from continuing operations before income taxes increased $63.7 million, or 112.5%, in the first quarter of 2022, compared to the first quarter of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taxes increased $16.6 million, or 146.7%, in the first quarter of 2022, compared to the first quarter of 2021. We provided for taxes at a 23.2% effective rate in the first quarter of 2022 and 20.0% in the first quarter of 2021. The tax rate in the first quarter of 2021 was primarily impacted by the tax benefit related to the gain associated with vesting and exercise of equity awards granted through our long-term incentive plan. We expect our effective tax rate to be approximately 23.0% to 24.0% of pretax income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2022, we had working capital of approximately $394.9 million, including $209.5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with BMO Harris Bank N.A. (“BMO Harris”) (the “Floor Plan Credit Agreement”), and the resulting interest earned is recognized as an offset to our gross interest expense under the Floor Plan Credit Agreement.</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$15.0 million. There were no advances outstanding under this secured line of credit on March 31, 2022, however, $14.3 million was pledged to secure various letters of credit related to self-insurance products, leaving $0.7 million available for future borrowings as of March 31, 2022.</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long-term debt, floor plan financing agreements and the WF Credit Agreement require us to satisfy various financial ratios such as the leverage ratio, the asset coverage ratio and the fixed charge coverage ratio. As of March 31, 2022, we were in compliance with all debt covenants related to debt secured by lease and rental units, our floor plan credit agreements and the WF Credit Agreement. We do not anticipate any breach of the covenants in the foreseeable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commercial vehicles worth approximately $150.0 million to $170.0 million for our leasing operations during 2022, depending on customer demand, most of which will be financed. We also expect to make capital expenditures for the purchase of recurring items such as computers, shop tools and equipment and company vehicles of approximately $35.0 million to $40.0 million during 2022.</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2022, we paid a cash dividend of $11.1 million. Additionally, on April 26, 2022, our Board of Directors declared a cash dividend of $0.19 per share of Class A and Class B Common Stock, to be paid on June 10, 2022, to all shareholders of record as of May 12, 2022. The total dividend disbursement is estimated at approximately $10.5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30, 2021, we announced that our Board of Directors approved a new stock repurchase program authorizing management to repurchase, from time to time, up to an aggregate of $100.0 million of our shares of Class A Common Stock and/or Class B Common Stock. In connection with the adoption of the new stock repurchase plan, we terminated the prior stock repurchase plan, which was scheduled to expire on December 31, 2021.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March 31, 2022, we had repurchased $20.2 million of our shares of common stock under the current stock repurchase program. The current stock repurchase program expires on December 31, 2022, and may be suspended or discontinued at any time.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March 31, 2022.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increased by $61.4 million during the three months ended March 31, 2022, and increased by $4.0 million during the three months ended March 31, 2021. The major components of these changes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quarter of 2022, operating activities resulted in net cash provided by operations of $34.6 million. Net cash provided by operating activities primarily consisted of $92.5 million in net income adjusted by the gain of $12.5 million related to the joint venture transaction, as well as non-cash adjustments related to depreciation and amortization of $45.8 million, deferred income tax benefit of $1.0 million and stock-based compensation of $13.8 million. Cash provided by operating activities included an aggregate of $101.7 million net change in operating assets and liabilities. Included in the net change in operating assets and liabilities was primarily cash outflows of $58.8 million from the increase in accounts receivable, $98.3 million from the increase in inventory, $8.7 million from the decrease in customer deposits, which were offset by cash inflows of $64.2 million from the net increase in accounts payable and accrued liabilities. The majority of our commercial vehicle inventory is financed through our floor plan credit agreements.</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2021, operating activities resulted in net cash provided by operations of $40.1 million. Net cash provided by operating activities primarily consisted of $45.3 million in net income, as well as non-cash adjustments related to depreciation and amortization of $42.6 million, deferred income tax benefit of $8.4 million and stock-based compensation of $11.5 million. Cash provided by operating activities included an aggregate of $50.1 million net change in operating assets and liabilities. Included in the net change in operating assets and liabilities was primarily cash outflows of $14.7 million from the increase in accounts receivable, $1.8 million from the increase in inventory, $0.7 million in the increase in other current assets, $1.6 million from the net decrease in accounts payable and accrued liabilities, $31.2 million from the decrease in customer deposits.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cash used in investing activities totaled $16.3 million. Cash flows used in investing activities consist primarily of cash used for capital expenditures. Capital expenditures totaled $45.7 million during the first quarter of 2022 and consisted primarily of purchases of property and equipment, improvements to our existing dealership facilities and $27.8 million for purchases of rental and lease vehicles for the rental and leasing operations. The cash outflows were offset by the cash inflow of $27.5 million related to Cummins, Inc.’s acquisition of a 50% equity interest in Momentum Fuel Technologies.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2021, cash used in investing activities was $32.2 million. Cash flows used in investing activities consist primarily of cash used for capital expenditures. Capital expenditures of $32.9 million consisted primarily of $8.3 million for purchases of property and equipment and improvements to our existing dealership facilities and $24.6 million for additional units for the rental and leasing operations, which were directly offset by borrowings of long-term debt.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non-trade. During the first quarter of 2022, financing activities provided $43.1 million in net cash flow. Cash outflows were primarily related to $208.0 million used for principal repayments of long-term debt and finance lease obligations, $14.4 million used for the repurchase of our common stock and $11.1 million used for the payment of cash dividends. These cash outflows were offset by cash inflows related to borrowings of $207.5 million of long-term debt and $71.5 million used for net draws on floor plan (non-trade).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non-trade. During the first quarter of 2021, financing activities used $4.0 million in net cash flow. Cash outflows were primarily related to $46.8 million used for principal repayments of long-term debt and capital lease obligations, $6.6 million used for the repurchase of our common stock and $9.9 million used for the payment of cash dividends. These cash outflows were offset by cash inflows related to borrowings of $28.2 million of long-term debt and $38.5 million used for net draws on floor plan (non-trade). The borrowings of long-term debt were related to purchasing units for the rental and leasing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2021, we entered into the WF Credit Agreement with the WF Lenders and the WF Agent. Pursuant to the terms of the WF Credit Agreement, the WF Lenders have agreed to make up to $250.0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SOFR rate plus (i) 1.25% or (ii) 1.5%, depending on our consolidated leverage ratio or (B) on or after the term SOFR transition date, the term SOFR rate plus (i) 1.25% or (ii)</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1.5%, depending on our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March 31, 2022, we had approximately $153.4 million outstanding under the WF Credit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 2021, we entered into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Advances under the PLC Agreement bear interest per annum, payable on the fifth day of the following month, at our option, at either (A) the prime rate, minus 1.55%, provided that the floating rate of interest is subject to a floor of 0%, or (B) a fixed rate, to be determined between us and PLC in each instance of borrowing at a fixed rate. The PLC Agreement expires on October 1, 2025, although either party has the right to terminate the PLC Agreement at any time upon 180 days written notice. If we terminate the PLC Agreement prior to October 1, 2025, then all payments will be deemed to be voluntary prepayments subject to a potential prepayment premium. On March 31, 2022, we had approximately $185.0 million outstanding under the PLC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days or less from the date the commercial vehicles are invoiced from the factory. On September 14, 2021, we entered into Floor Plan Credit Agreement with BMO Harris and the lenders signatory thereto. Prior to the Floor Plan Credit Agreement, we financed the majority of all new commercial vehicle inventory and the loan value of our used commercial vehicle inventory under the Fourth Amended and Restated Floor Plan Credit Agreement with BMO Harris and the majority of such financings will continue to occur under the Floor Plan Credit Agreement.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1.10% and are payable monthly. Loans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March 31, 2022, we had approximately $591.4 million outstanding under the Floor Plan Credit Agreement. The average daily outstanding borrowings under the Floor Plan Credit Agreement were $522.8 million during the three months ended March 31, 2022.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31, 2022, our backlog of commercial vehicle orders was approximately $3,441.4 million, compared to a backlog of commercial vehicle orders of approximately $1,736.0 million on March 31, 2021. This increase in our backlog is primarily due to production constraints experienced by the manufacturers we represent.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March 31, 2022, and we expect to fill the majority of our backlog orders during 2022, assuming that the manufacturers we represent can meet their current production schedule. Our current backlog is the largest it has ever been in our Company’s history. Given the potential for industry headwinds in the coming months caused by lower spot rates and higher interest rates and fuel prices, which could negatively impact industry demand for new commercial vehicles moving forward, we believe that the longer it takes to fill our backlog, the greater the risk that a significant amount of commercial vehicle orders currently reflected in our backlog could be cancelled.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Aftermarket Products and Services operations historically have experienced higher sales volumes in the second and third quarters.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total U.S. retail sales of new Class 8 commercial vehicles have ranged from a low of approximately 110,000 in 2010,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59"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current model years through 2027. In addition,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the California Air Resources Board adopted a final rule that is intended to phase out the sale of diesel-powered commercial vehicles over time by requiring a certain percentage of each manufacturer’s commercial vehicles sold within the state to be “zero-emission vehicles,” or “near-zero emission vehicles,” starting in model year 2024. In addition, in July 2020, a group of fifteen U.S. states and the District of Columbia entered into a joint memorandum of understanding that commits each of them to work together to advance and accelerate the market for electric Class 3 through 8 commercial vehicles; one additional state signed in 2021. Four of the states that signed are states where we operate new commercial vehicle dealerships: California, Colorado, North Carolina and Virginia. The signatories to the memorandum all agreed on a goal of ensuring that 100% of new Class 3 through 8 commercial vehicles are zero emission by 2050, with an interim target of 30% zero emission by 2030. Attaining these goals would likely require the adoption of new laws and regulations and we cannot predict at this time whether such laws and regulations would have an adverse impact on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 through interest rates related to our floor plan financing agreements, the WF Credit Agreement, the PLC Agreement and discount rates related to finance sales. Our floor plan debt is based on LIBOR, the WF Credit Agreement is based on SOFR and the PLC Agreement is based on the prime rate. As of March 31, 2022, we had floor plan borrowings and borrowings from WF and PLC in the amount of $1,040.6 million. Assuming an increase or decrease in LIBOR, SOFR or the prime rate of 100 basis points, annual interest expense could correspondingly increase or decrease by approximately $10.4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2022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the three months ended March 31, 2022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March 31, 2022,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2021 Annual Report on Form 10-K (the “2021 Annual Report”) describes some of the risks and uncertainties associated with our business that have the potential to materially affect our business, financial condition or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2021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make any unregistered sales of equity securities during the first quarter of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repurchase activity for the first quarter of 2022 is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May</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Yet be</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8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r>
      <w:tr>
        <w:trPr>
          <w:trHeight w:val="23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34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20"/>
                <w:szCs w:val="20"/>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 2022</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86,995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54.81 </w:t>
            </w:r>
            <w:r>
              <w:rPr>
                <w:rFonts w:ascii="Times New Roman" w:cs="Times New Roman" w:eastAsia="Times New Roman" w:hAnsi="Times New Roman"/>
                <w:sz w:val="18"/>
                <w:szCs w:val="18"/>
                <w:b w:val="1"/>
                <w:bCs w:val="1"/>
                <w:color w:val="auto"/>
              </w:rPr>
              <w:t>(4)</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86,995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90,299,682</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 2022</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89,495</w:t>
            </w: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49.42 </w:t>
            </w:r>
            <w:r>
              <w:rPr>
                <w:rFonts w:ascii="Times New Roman" w:cs="Times New Roman" w:eastAsia="Times New Roman" w:hAnsi="Times New Roman"/>
                <w:sz w:val="18"/>
                <w:szCs w:val="18"/>
                <w:b w:val="1"/>
                <w:bCs w:val="1"/>
                <w:color w:val="auto"/>
              </w:rPr>
              <w:t>(5)</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89,495</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85,874,538</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2022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119,939</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50.99 </w:t>
            </w:r>
            <w:r>
              <w:rPr>
                <w:rFonts w:ascii="Times New Roman" w:cs="Times New Roman" w:eastAsia="Times New Roman" w:hAnsi="Times New Roman"/>
                <w:sz w:val="18"/>
                <w:szCs w:val="18"/>
                <w:b w:val="1"/>
                <w:bCs w:val="1"/>
                <w:color w:val="auto"/>
              </w:rPr>
              <w:t>(6)</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119,939</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79,755,289</w:t>
            </w:r>
          </w:p>
        </w:tc>
      </w:tr>
      <w:tr>
        <w:trPr>
          <w:trHeight w:val="20"/>
        </w:trPr>
        <w:tc>
          <w:tcPr>
            <w:tcW w:w="4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296,429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A and Class B Common Stock repurchased by the Company.</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2021, we announced the approval of a new stock repurchase program, effective December 2, 2021, authorizing management to repurchase, from time to time, up to an aggregate of $100.0 million of our shares of Class A Common Stock and/or Class B Common Stock.</w:t>
      </w:r>
    </w:p>
    <w:p>
      <w:pPr>
        <w:ind w:left="660" w:right="12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47,479 shares of Class A Common Stock at an average price paid per share of $55.39 and 39,516 shares of Class B Common Stock at an average price paid per share of $54.11.</w:t>
      </w:r>
    </w:p>
    <w:p>
      <w:pPr>
        <w:ind w:left="660" w:right="2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65,836 shares of Class A Common Stock at an average price paid per share of $50.01 and 23,659 shares of Class B Common Stock at an average price paid per share of $47.78.</w:t>
      </w:r>
    </w:p>
    <w:p>
      <w:pPr>
        <w:ind w:left="660" w:right="20" w:hanging="652"/>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78,868 shares of Class A Common Stock at an average price paid per share of $51.99 and 41,071 shares of Class B Common Stock at an average price paid per share of $49.06.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98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9880" w:type="dxa"/>
            <w:vAlign w:val="bottom"/>
            <w:gridSpan w:val="9"/>
          </w:tcPr>
          <w:p>
            <w:pPr>
              <w:spacing w:after="0" w:line="169"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Restated Articles of Incorporation of Rush Enterprises, Inc. (incorporated herein by reference to Exhibit 3.1 of the Company’s Quarterly</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Report on Form 10-Q (File No. 000-20797) for the quarter ended June 30, 2008)</w:t>
              </w:r>
            </w:hyperlink>
          </w:p>
        </w:tc>
        <w:tc>
          <w:tcPr>
            <w:tcW w:w="40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9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Rush Enterprises, Inc. Amended and Restated Bylaws (incorporated herein by reference to Exhibit 3.1 of the Company’s Current Report</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9"/>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on Form 8-K (File No. 000-20797) filed May 21, 2013)</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7"/>
                <w:szCs w:val="17"/>
                <w:color w:val="auto"/>
              </w:rPr>
            </w:pPr>
          </w:p>
        </w:tc>
        <w:tc>
          <w:tcPr>
            <w:tcW w:w="9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First Amendment to Amended and Restated Bylaws of Rush Enterprises, Inc. (incorporated herein by reference to Exhibit 3.1 of the</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Company’s Current Report on Form 8-K (File No. 000-20797) filed May 24, 2021)</w:t>
              </w:r>
            </w:hyperlink>
          </w:p>
        </w:tc>
        <w:tc>
          <w:tcPr>
            <w:tcW w:w="3880" w:type="dxa"/>
            <w:vAlign w:val="bottom"/>
            <w:gridSpan w:val="6"/>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9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CEO pursuant to Rules 13a-14(a) and 15d-14(a) adopted pursuant to Section 302 of the Sarbanes-Oxley Act of 2002.</w:t>
            </w:r>
          </w:p>
        </w:tc>
        <w:tc>
          <w:tcPr>
            <w:tcW w:w="280" w:type="dxa"/>
            <w:vAlign w:val="bottom"/>
            <w:gridSpan w:val="2"/>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9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CFO pursuant to Rules 13a-14(a) and 15d-14(a) adopted pursuant to Section 302 of the Sarbanes-Oxley Act of 2002.</w:t>
            </w:r>
          </w:p>
        </w:tc>
        <w:tc>
          <w:tcPr>
            <w:tcW w:w="300" w:type="dxa"/>
            <w:vAlign w:val="bottom"/>
            <w:gridSpan w:val="3"/>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92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CEO pursuant to 18 U.S.C. Section 1350 as adopted pursuant to Section 906 of the Sarbanes-Oxley Act of 2002.</w:t>
            </w:r>
          </w:p>
        </w:tc>
        <w:tc>
          <w:tcPr>
            <w:tcW w:w="600" w:type="dxa"/>
            <w:vAlign w:val="bottom"/>
            <w:gridSpan w:val="4"/>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92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CFO pursuant to 18 U.S.C. Section 1350 as adopted pursuant to Section 906 of the Sarbanes-Oxley Act of 2002.</w:t>
            </w:r>
          </w:p>
        </w:tc>
        <w:tc>
          <w:tcPr>
            <w:tcW w:w="620" w:type="dxa"/>
            <w:vAlign w:val="bottom"/>
            <w:gridSpan w:val="5"/>
          </w:tcPr>
          <w:p>
            <w:pPr>
              <w:spacing w:after="0"/>
              <w:rPr>
                <w:sz w:val="17"/>
                <w:szCs w:val="17"/>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8"/>
                <w:szCs w:val="18"/>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tc>
      </w:tr>
    </w:tbl>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right="100" w:hanging="652"/>
        <w:spacing w:after="0" w:line="290"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w:t>
      </w:r>
    </w:p>
    <w:p>
      <w:pPr>
        <w:spacing w:after="0" w:line="157"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52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RUSH ENTERPRISES, INC.</w:t>
            </w:r>
          </w:p>
        </w:tc>
      </w:tr>
      <w:tr>
        <w:trPr>
          <w:trHeight w:val="60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10, 2022</w:t>
            </w:r>
          </w:p>
        </w:tc>
        <w:tc>
          <w:tcPr>
            <w:tcW w:w="552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18"/>
        </w:trPr>
        <w:tc>
          <w:tcPr>
            <w:tcW w:w="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12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16"/>
        </w:trPr>
        <w:tc>
          <w:tcPr>
            <w:tcW w:w="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6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2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10, 2022</w:t>
            </w:r>
          </w:p>
        </w:tc>
        <w:tc>
          <w:tcPr>
            <w:tcW w:w="552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8"/>
        </w:trPr>
        <w:tc>
          <w:tcPr>
            <w:tcW w:w="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360" w:type="dxa"/>
            <w:vAlign w:val="bottom"/>
            <w:gridSpan w:val="2"/>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6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r>
        <w:trPr>
          <w:trHeight w:val="432"/>
        </w:trPr>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25"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5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tabs>
          <w:tab w:leader="none" w:pos="78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10,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W.M. “RUSTY” RUSH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W.M. “Rusty” Rush</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Chief Executive Officer and</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5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00" w:right="3400" w:hanging="5966"/>
        <w:spacing w:after="0" w:line="261" w:lineRule="auto"/>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xml:space="preserve">May 10, 2022 By: </w:t>
      </w:r>
      <w:r>
        <w:rPr>
          <w:rFonts w:ascii="Times New Roman" w:cs="Times New Roman" w:eastAsia="Times New Roman" w:hAnsi="Times New Roman"/>
          <w:sz w:val="18"/>
          <w:szCs w:val="18"/>
          <w:u w:val="single" w:color="auto"/>
          <w:color w:val="auto"/>
        </w:rPr>
        <w:t>/S/ STEVEN L. KELLER</w:t>
      </w:r>
      <w:r>
        <w:rPr>
          <w:rFonts w:ascii="Times New Roman" w:cs="Times New Roman" w:eastAsia="Times New Roman" w:hAnsi="Times New Roman"/>
          <w:sz w:val="18"/>
          <w:szCs w:val="18"/>
          <w:color w:val="auto"/>
        </w:rPr>
        <w:t xml:space="preserve"> Steven L. Keller</w:t>
      </w:r>
    </w:p>
    <w:p>
      <w:pPr>
        <w:spacing w:after="0" w:line="2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President, Chief Executive Officer and Chairman of the Board of the Company, certify, pursuant to 18 U.S.C. Section 1350, as adopted pursuant to Section 906 of the Sarbanes-Oxley Act of 2002, that:</w:t>
      </w:r>
    </w:p>
    <w:p>
      <w:pPr>
        <w:spacing w:after="0" w:line="176" w:lineRule="exact"/>
        <w:rPr>
          <w:sz w:val="20"/>
          <w:szCs w:val="20"/>
          <w:color w:val="auto"/>
        </w:rPr>
      </w:pPr>
    </w:p>
    <w:p>
      <w:pPr>
        <w:ind w:left="1200" w:hanging="544"/>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552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7"/>
              </w:rPr>
              <w:t>/S/ W.M. “RUSTY” RUSH</w:t>
            </w:r>
          </w:p>
        </w:tc>
        <w:tc>
          <w:tcPr>
            <w:tcW w:w="820" w:type="dxa"/>
            <w:vAlign w:val="bottom"/>
          </w:tcPr>
          <w:p>
            <w:pPr>
              <w:spacing w:after="0"/>
              <w:rPr>
                <w:sz w:val="17"/>
                <w:szCs w:val="17"/>
                <w:color w:val="auto"/>
              </w:rPr>
            </w:pPr>
          </w:p>
        </w:tc>
      </w:tr>
      <w:tr>
        <w:trPr>
          <w:trHeight w:val="2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w:t>
            </w:r>
          </w:p>
        </w:tc>
        <w:tc>
          <w:tcPr>
            <w:tcW w:w="3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W.M. “Rusty” Rush</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President, Chief Executive Officer and</w:t>
            </w:r>
          </w:p>
        </w:tc>
      </w:tr>
      <w:tr>
        <w:trPr>
          <w:trHeight w:val="216"/>
        </w:trPr>
        <w:tc>
          <w:tcPr>
            <w:tcW w:w="500" w:type="dxa"/>
            <w:vAlign w:val="bottom"/>
          </w:tcPr>
          <w:p>
            <w:pPr>
              <w:spacing w:after="0"/>
              <w:rPr>
                <w:sz w:val="18"/>
                <w:szCs w:val="18"/>
                <w:color w:val="auto"/>
              </w:rPr>
            </w:pPr>
          </w:p>
        </w:tc>
        <w:tc>
          <w:tcPr>
            <w:tcW w:w="3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May 10, 2022</w:t>
            </w: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200" w:hanging="544"/>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0"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17"/>
                <w:szCs w:val="17"/>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KELLER</w:t>
            </w:r>
          </w:p>
        </w:tc>
        <w:tc>
          <w:tcPr>
            <w:tcW w:w="340" w:type="dxa"/>
            <w:vAlign w:val="bottom"/>
          </w:tcPr>
          <w:p>
            <w:pPr>
              <w:spacing w:after="0"/>
              <w:rPr>
                <w:sz w:val="17"/>
                <w:szCs w:val="17"/>
                <w:color w:val="auto"/>
              </w:rPr>
            </w:pPr>
          </w:p>
        </w:tc>
      </w:tr>
      <w:tr>
        <w:trPr>
          <w:trHeight w:val="218"/>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Steven L. Keller</w:t>
            </w:r>
          </w:p>
        </w:tc>
      </w:tr>
      <w:tr>
        <w:trPr>
          <w:trHeight w:val="216"/>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May 10, 2022</w:t>
            </w: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2" Type="http://schemas.openxmlformats.org/officeDocument/2006/relationships/image" Target="media/image22.png"/><Relationship Id="rId29" Type="http://schemas.openxmlformats.org/officeDocument/2006/relationships/hyperlink" Target="http://www.sec.gov/Archives/edgar/data/1012019/000110465908051789/a08-18770_1ex3d1.htm" TargetMode="External"/><Relationship Id="rId30" Type="http://schemas.openxmlformats.org/officeDocument/2006/relationships/hyperlink" Target="http://www.sec.gov/Archives/edgar/data/1012019/000143774913006455/rusha20130517_8kex3-1.htm" TargetMode="External"/><Relationship Id="rId31" Type="http://schemas.openxmlformats.org/officeDocument/2006/relationships/hyperlink" Target="http://www.sec.gov/ix?doc=/Archives/edgar/data/1012019/000143774921013172/rusha20210524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2022-05-10T11:57:31Z</dcterms:created>
  <dcterms:modified xsi:type="dcterms:W3CDTF">2022-05-10T11:57:31Z</dcterms:modified>
</cp:coreProperties>
</file>