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color w:val="auto"/>
                <w:w w:val="94"/>
              </w:rPr>
              <w:t>For the transition period from</w:t>
            </w:r>
          </w:p>
        </w:tc>
        <w:tc>
          <w:tcPr>
            <w:tcW w:w="2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39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453"/>
        </w:trPr>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4"/>
          </w:tcPr>
          <w:p>
            <w:pPr>
              <w:jc w:val="center"/>
              <w:ind w:right="2640"/>
              <w:spacing w:after="0"/>
              <w:rPr>
                <w:sz w:val="20"/>
                <w:szCs w:val="20"/>
                <w:color w:val="auto"/>
              </w:rPr>
            </w:pPr>
            <w:r>
              <w:rPr>
                <w:rFonts w:ascii="Arial" w:cs="Arial" w:eastAsia="Arial" w:hAnsi="Arial"/>
                <w:sz w:val="18"/>
                <w:szCs w:val="18"/>
                <w:color w:val="auto"/>
                <w:w w:val="92"/>
              </w:rPr>
              <w:t>Commission File Number 0-20797</w:t>
            </w:r>
          </w:p>
        </w:tc>
      </w:tr>
      <w:tr>
        <w:trPr>
          <w:trHeight w:val="418"/>
        </w:trPr>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4"/>
          </w:tcPr>
          <w:p>
            <w:pPr>
              <w:jc w:val="center"/>
              <w:ind w:right="266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200" w:type="dxa"/>
            <w:vAlign w:val="bottom"/>
          </w:tcPr>
          <w:p>
            <w:pPr>
              <w:spacing w:after="0"/>
              <w:rPr>
                <w:sz w:val="20"/>
                <w:szCs w:val="20"/>
                <w:color w:val="auto"/>
              </w:rPr>
            </w:pPr>
          </w:p>
        </w:tc>
        <w:tc>
          <w:tcPr>
            <w:tcW w:w="76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200" w:type="dxa"/>
            <w:vAlign w:val="bottom"/>
          </w:tcPr>
          <w:p>
            <w:pPr>
              <w:spacing w:after="0"/>
              <w:rPr>
                <w:sz w:val="24"/>
                <w:szCs w:val="24"/>
                <w:color w:val="auto"/>
              </w:rPr>
            </w:pPr>
          </w:p>
        </w:tc>
        <w:tc>
          <w:tcPr>
            <w:tcW w:w="2000" w:type="dxa"/>
            <w:vAlign w:val="bottom"/>
          </w:tcPr>
          <w:p>
            <w:pPr>
              <w:jc w:val="center"/>
              <w:ind w:right="570"/>
              <w:spacing w:after="0"/>
              <w:rPr>
                <w:sz w:val="20"/>
                <w:szCs w:val="20"/>
                <w:color w:val="auto"/>
              </w:rPr>
            </w:pPr>
            <w:r>
              <w:rPr>
                <w:rFonts w:ascii="Arial" w:cs="Arial" w:eastAsia="Arial" w:hAnsi="Arial"/>
                <w:sz w:val="18"/>
                <w:szCs w:val="18"/>
                <w:color w:val="auto"/>
                <w:w w:val="85"/>
              </w:rPr>
              <w:t>Texas</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74-1733016</w:t>
            </w:r>
          </w:p>
        </w:tc>
        <w:tc>
          <w:tcPr>
            <w:tcW w:w="840" w:type="dxa"/>
            <w:vAlign w:val="bottom"/>
          </w:tcPr>
          <w:p>
            <w:pPr>
              <w:spacing w:after="0"/>
              <w:rPr>
                <w:sz w:val="24"/>
                <w:szCs w:val="24"/>
                <w:color w:val="auto"/>
              </w:rPr>
            </w:pPr>
          </w:p>
        </w:tc>
      </w:tr>
      <w:tr>
        <w:trPr>
          <w:trHeight w:val="216"/>
        </w:trPr>
        <w:tc>
          <w:tcPr>
            <w:tcW w:w="4200" w:type="dxa"/>
            <w:vAlign w:val="bottom"/>
            <w:gridSpan w:val="2"/>
          </w:tcPr>
          <w:p>
            <w:pPr>
              <w:jc w:val="center"/>
              <w:ind w:left="143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jc w:val="center"/>
              <w:ind w:left="20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00" w:type="dxa"/>
            <w:vAlign w:val="bottom"/>
            <w:gridSpan w:val="2"/>
          </w:tcPr>
          <w:p>
            <w:pPr>
              <w:jc w:val="center"/>
              <w:ind w:left="143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960"/>
        <w:spacing w:after="0" w:line="207" w:lineRule="exact"/>
        <w:tabs>
          <w:tab w:leader="none" w:pos="7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960"/>
        <w:spacing w:after="0" w:line="207" w:lineRule="exact"/>
        <w:tabs>
          <w:tab w:leader="none" w:pos="7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340"/>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8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960"/>
        <w:spacing w:after="0" w:line="207" w:lineRule="exact"/>
        <w:tabs>
          <w:tab w:leader="none" w:pos="7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6, 2019.</w:t>
      </w:r>
    </w:p>
    <w:p>
      <w:pPr>
        <w:spacing w:after="0" w:line="225" w:lineRule="exact"/>
        <w:rPr>
          <w:sz w:val="24"/>
          <w:szCs w:val="24"/>
          <w:color w:val="auto"/>
        </w:rPr>
      </w:pPr>
    </w:p>
    <w:tbl>
      <w:tblPr>
        <w:tblLayout w:type="fixed"/>
        <w:tblInd w:w="67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jc w:val="center"/>
              <w:ind w:right="3130"/>
              <w:spacing w:after="0"/>
              <w:rPr>
                <w:sz w:val="20"/>
                <w:szCs w:val="20"/>
                <w:color w:val="auto"/>
              </w:rPr>
            </w:pPr>
            <w:r>
              <w:rPr>
                <w:rFonts w:ascii="Arial" w:cs="Arial" w:eastAsia="Arial" w:hAnsi="Arial"/>
                <w:sz w:val="18"/>
                <w:szCs w:val="18"/>
                <w:color w:val="auto"/>
                <w:w w:val="95"/>
              </w:rPr>
              <w:t>Number of</w:t>
            </w:r>
          </w:p>
        </w:tc>
      </w:tr>
      <w:tr>
        <w:trPr>
          <w:trHeight w:val="216"/>
        </w:trPr>
        <w:tc>
          <w:tcPr>
            <w:tcW w:w="2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jc w:val="center"/>
              <w:ind w:right="3130"/>
              <w:spacing w:after="0"/>
              <w:rPr>
                <w:sz w:val="20"/>
                <w:szCs w:val="20"/>
                <w:color w:val="auto"/>
              </w:rPr>
            </w:pPr>
            <w:r>
              <w:rPr>
                <w:rFonts w:ascii="Arial" w:cs="Arial" w:eastAsia="Arial" w:hAnsi="Arial"/>
                <w:sz w:val="18"/>
                <w:szCs w:val="18"/>
                <w:color w:val="auto"/>
                <w:w w:val="84"/>
              </w:rPr>
              <w:t>Shares</w:t>
            </w:r>
          </w:p>
        </w:tc>
      </w:tr>
      <w:tr>
        <w:trPr>
          <w:trHeight w:val="190"/>
        </w:trPr>
        <w:tc>
          <w:tcPr>
            <w:tcW w:w="2860" w:type="dxa"/>
            <w:vAlign w:val="bottom"/>
          </w:tcPr>
          <w:p>
            <w:pPr>
              <w:ind w:left="620"/>
              <w:spacing w:after="0" w:line="190" w:lineRule="exact"/>
              <w:rPr>
                <w:sz w:val="20"/>
                <w:szCs w:val="20"/>
                <w:color w:val="auto"/>
              </w:rPr>
            </w:pPr>
            <w:r>
              <w:rPr>
                <w:rFonts w:ascii="Arial" w:cs="Arial" w:eastAsia="Arial" w:hAnsi="Arial"/>
                <w:sz w:val="18"/>
                <w:szCs w:val="18"/>
                <w:color w:val="auto"/>
              </w:rPr>
              <w:t>Class</w:t>
            </w:r>
          </w:p>
        </w:tc>
        <w:tc>
          <w:tcPr>
            <w:tcW w:w="1580" w:type="dxa"/>
            <w:vAlign w:val="bottom"/>
            <w:gridSpan w:val="2"/>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00" w:type="dxa"/>
            <w:vAlign w:val="bottom"/>
            <w:gridSpan w:val="3"/>
          </w:tcPr>
          <w:p>
            <w:pPr>
              <w:jc w:val="center"/>
              <w:ind w:right="313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2860" w:type="dxa"/>
            <w:vAlign w:val="bottom"/>
            <w:tcBorders>
              <w:left w:val="single" w:sz="8" w:color="auto"/>
            </w:tcBorders>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Class A Common Stock, $.01 Par Value</w:t>
            </w:r>
          </w:p>
        </w:tc>
        <w:tc>
          <w:tcPr>
            <w:tcW w:w="19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28,212,301</w:t>
            </w:r>
          </w:p>
        </w:tc>
        <w:tc>
          <w:tcPr>
            <w:tcW w:w="3220" w:type="dxa"/>
            <w:vAlign w:val="bottom"/>
          </w:tcPr>
          <w:p>
            <w:pPr>
              <w:spacing w:after="0"/>
              <w:rPr>
                <w:sz w:val="19"/>
                <w:szCs w:val="19"/>
                <w:color w:val="auto"/>
              </w:rPr>
            </w:pPr>
          </w:p>
        </w:tc>
      </w:t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rPr>
              <w:t>Class B Common Stock, $.01 Par Value</w:t>
            </w:r>
          </w:p>
        </w:tc>
        <w:tc>
          <w:tcPr>
            <w:tcW w:w="19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8,448,669</w:t>
            </w:r>
          </w:p>
        </w:tc>
        <w:tc>
          <w:tcPr>
            <w:tcW w:w="3220" w:type="dxa"/>
            <w:vAlign w:val="bottom"/>
          </w:tcPr>
          <w:p>
            <w:pPr>
              <w:spacing w:after="0"/>
              <w:rPr>
                <w:sz w:val="20"/>
                <w:szCs w:val="20"/>
                <w:color w:val="auto"/>
              </w:rPr>
            </w:pPr>
          </w:p>
        </w:tc>
      </w:tr>
      <w:tr>
        <w:trPr>
          <w:trHeight w:val="432"/>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3"/>
        </w:trPr>
        <w:tc>
          <w:tcPr>
            <w:tcW w:w="2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gridSpan w:val="2"/>
          </w:tcPr>
          <w:p>
            <w:pPr>
              <w:ind w:left="1260"/>
              <w:spacing w:after="0"/>
              <w:rPr>
                <w:sz w:val="20"/>
                <w:szCs w:val="20"/>
                <w:color w:val="auto"/>
              </w:rPr>
            </w:pPr>
            <w:r>
              <w:rPr>
                <w:rFonts w:ascii="Arial" w:cs="Arial" w:eastAsia="Arial" w:hAnsi="Arial"/>
                <w:sz w:val="18"/>
                <w:szCs w:val="18"/>
                <w:color w:val="auto"/>
              </w:rPr>
              <w:t>Title of each class</w:t>
            </w: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82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Class A Common Stock, $.01 par value</w:t>
            </w:r>
          </w:p>
        </w:tc>
        <w:tc>
          <w:tcPr>
            <w:tcW w:w="620" w:type="dxa"/>
            <w:vAlign w:val="bottom"/>
          </w:tcPr>
          <w:p>
            <w:pPr>
              <w:spacing w:after="0"/>
              <w:rPr>
                <w:sz w:val="16"/>
                <w:szCs w:val="16"/>
                <w:color w:val="auto"/>
              </w:rPr>
            </w:pPr>
          </w:p>
        </w:tc>
        <w:tc>
          <w:tcPr>
            <w:tcW w:w="1980" w:type="dxa"/>
            <w:vAlign w:val="bottom"/>
          </w:tcPr>
          <w:p>
            <w:pPr>
              <w:jc w:val="center"/>
              <w:spacing w:after="0" w:line="195" w:lineRule="exact"/>
              <w:rPr>
                <w:sz w:val="20"/>
                <w:szCs w:val="20"/>
                <w:color w:val="auto"/>
              </w:rPr>
            </w:pPr>
            <w:r>
              <w:rPr>
                <w:rFonts w:ascii="Arial" w:cs="Arial" w:eastAsia="Arial" w:hAnsi="Arial"/>
                <w:sz w:val="18"/>
                <w:szCs w:val="18"/>
                <w:color w:val="auto"/>
                <w:w w:val="98"/>
              </w:rPr>
              <w:t>RUSHA</w:t>
            </w:r>
          </w:p>
        </w:tc>
        <w:tc>
          <w:tcPr>
            <w:tcW w:w="3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27"/>
        </w:trPr>
        <w:tc>
          <w:tcPr>
            <w:tcW w:w="38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Class B Common Stock, $.01 par value</w:t>
            </w:r>
          </w:p>
        </w:tc>
        <w:tc>
          <w:tcPr>
            <w:tcW w:w="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RUSHB</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4"/>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00"/>
          </w:cols>
          <w:pgMar w:left="240" w:top="476" w:right="159" w:bottom="397"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8"/>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12"/>
        </w:trPr>
        <w:tc>
          <w:tcPr>
            <w:tcW w:w="126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30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 March 31, 2019 (unaudited) and December 31, 2018</w:t>
              </w:r>
            </w:hyperlink>
          </w:p>
        </w:tc>
        <w:tc>
          <w:tcPr>
            <w:tcW w:w="3780" w:type="dxa"/>
            <w:vAlign w:val="bottom"/>
            <w:gridSpan w:val="4"/>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41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Income and Comprehensive Income - For the Three Months Ended March 31, 2019 and 2018 (unaudited)</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41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Three Months Ended March 31, 2019 and 2018 (unaudited)</w:t>
              </w:r>
            </w:hyperlink>
          </w:p>
        </w:tc>
        <w:tc>
          <w:tcPr>
            <w:tcW w:w="18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41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 (unaudited)</w:t>
              </w:r>
            </w:hyperlink>
          </w:p>
        </w:tc>
        <w:tc>
          <w:tcPr>
            <w:tcW w:w="3840" w:type="dxa"/>
            <w:vAlign w:val="bottom"/>
            <w:tcBorders>
              <w:top w:val="single" w:sz="8" w:color="0000EE"/>
            </w:tcBorders>
            <w:gridSpan w:val="4"/>
          </w:tcPr>
          <w:p>
            <w:pPr>
              <w:spacing w:after="0"/>
              <w:rPr>
                <w:sz w:val="24"/>
                <w:szCs w:val="24"/>
                <w:color w:val="auto"/>
              </w:rPr>
            </w:pPr>
          </w:p>
        </w:tc>
        <w:tc>
          <w:tcPr>
            <w:tcW w:w="1940" w:type="dxa"/>
            <w:vAlign w:val="bottom"/>
            <w:gridSpan w:val="2"/>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6">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7">
              <w:r>
                <w:rPr>
                  <w:rFonts w:ascii="Arial" w:cs="Arial" w:eastAsia="Arial" w:hAnsi="Arial"/>
                  <w:sz w:val="18"/>
                  <w:szCs w:val="18"/>
                  <w:color w:val="0000EE"/>
                </w:rPr>
                <w:t>Quantitative and Qualitative Disclosures About Market Risk</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tcBorders>
              <w:left w:val="single" w:sz="8" w:color="0000EE"/>
            </w:tcBorders>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8">
              <w:r>
                <w:rPr>
                  <w:rFonts w:ascii="Arial" w:cs="Arial" w:eastAsia="Arial" w:hAnsi="Arial"/>
                  <w:sz w:val="18"/>
                  <w:szCs w:val="18"/>
                  <w:color w:val="0000EE"/>
                </w:rPr>
                <w:t>Controls and Procedures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060"/>
        </w:trPr>
        <w:tc>
          <w:tcPr>
            <w:tcW w:w="28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20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26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980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8">
              <w:r>
                <w:rPr>
                  <w:rFonts w:ascii="Arial" w:cs="Arial" w:eastAsia="Arial" w:hAnsi="Arial"/>
                  <w:sz w:val="18"/>
                  <w:szCs w:val="18"/>
                  <w:color w:val="0000EE"/>
                </w:rPr>
                <w:t>Risk Factors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color w:val="0000EE"/>
                </w:rPr>
                <w:t>Unregistered Sales of Equity Securities and Use of Proceeds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9">
              <w:r>
                <w:rPr>
                  <w:rFonts w:ascii="Arial" w:cs="Arial" w:eastAsia="Arial" w:hAnsi="Arial"/>
                  <w:sz w:val="18"/>
                  <w:szCs w:val="18"/>
                  <w:color w:val="0000EE"/>
                </w:rPr>
                <w:t>Defaults Upon Senior Securities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74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60" w:type="dxa"/>
            <w:vAlign w:val="bottom"/>
            <w:gridSpan w:val="17"/>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9">
              <w:r>
                <w:rPr>
                  <w:rFonts w:ascii="Arial" w:cs="Arial" w:eastAsia="Arial" w:hAnsi="Arial"/>
                  <w:sz w:val="18"/>
                  <w:szCs w:val="18"/>
                  <w:color w:val="0000EE"/>
                </w:rPr>
                <w:t>Mine Safety Disclosures</w:t>
              </w:r>
            </w:hyperlink>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412"/>
        </w:trPr>
        <w:tc>
          <w:tcPr>
            <w:tcW w:w="1260" w:type="dxa"/>
            <w:vAlign w:val="bottom"/>
            <w:gridSpan w:val="2"/>
          </w:tcPr>
          <w:p>
            <w:pPr>
              <w:ind w:left="58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8040" w:type="dxa"/>
            <w:vAlign w:val="bottom"/>
            <w:gridSpan w:val="9"/>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412"/>
        </w:trPr>
        <w:tc>
          <w:tcPr>
            <w:tcW w:w="126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480" w:type="dxa"/>
            <w:vAlign w:val="bottom"/>
            <w:gridSpan w:val="12"/>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412"/>
        </w:trPr>
        <w:tc>
          <w:tcPr>
            <w:tcW w:w="126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53"/>
        </w:trPr>
        <w:tc>
          <w:tcPr>
            <w:tcW w:w="1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1"/>
          </w:tcPr>
          <w:p>
            <w:pPr>
              <w:ind w:left="44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126,572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1,465,442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1,819,457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1,195,824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3,422,026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1,111,473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operating lease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1,650,685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2019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89"/>
              </w:rPr>
              <w:t>authorized; 28,186,893 Class A shares and 8,462,616 Class B shares outstanding in 2019; and 28,709,636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Class A shares and 8,290,277 Class B shares outstanding in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88"/>
              </w:rPr>
              <w:t>Treasury stock, at cost: 4,430,753 Class A shares and 5,084,211 Class B shares in 2019 and 3,791,751 Class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 shares and 5,030,787 Class B shares in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(271,890)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1,083,421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3,422,026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838,283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438,354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59,433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1,348,317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273,189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37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1,091,401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1,013,786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256,916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187,181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in earnings of unconsolidated entities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37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49,558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37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37,104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w:t>
            </w:r>
          </w:p>
        </w:tc>
        <w:tc>
          <w:tcPr>
            <w:tcW w:w="3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7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37,488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20" w:type="dxa"/>
            <w:vAlign w:val="bottom"/>
            <w:gridSpan w:val="5"/>
          </w:tcPr>
          <w:p>
            <w:pPr>
              <w:jc w:val="center"/>
              <w:ind w:left="15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00" w:type="dxa"/>
            <w:vAlign w:val="bottom"/>
          </w:tcPr>
          <w:p>
            <w:pPr>
              <w:jc w:val="right"/>
              <w:ind w:right="22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37,104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41,764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loss on sale of property and equipment,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w w:val="93"/>
              </w:rPr>
              <w:t>Stock-based compensation expense related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(10,214)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(21,233)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(39,255)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(59,853)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equity method investment and call option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floor plan notes payable – non-trade,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37,858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line of credit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(43,024)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cash dividends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(25,616)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126,572</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13,612</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 net</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6,589</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2018.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(“ERP Platform”) of $10.3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March 31, 2019 and $11.1 million for the three months ended March 31, 2018 (see below). The Company estimates that amortization expense relating to the ERP Platform will be approximately $1.9 million for each of the next five years.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recognized $19.9 million of amortization expense in 2018 related to the components of the ERP Platform that were replaced. The ERP Platform asset and related amortization are reflected in the Truck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March 31, 2019 and December 31, 2018,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ind w:left="80" w:right="380" w:firstLine="567"/>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of RTC Canada until the close of business on February 25, 2024. On March 31, 2019, the fair market value of the Company’s call option was $3.6 million and is reported in Other Assets on the Consolidated Balance Sheet. The determination of fair market value is based upon a number of assumptions, including the estimated fair value of the equity of RTC Canada and the risk free interest rate. As of March 31, 2019, the Company’s investment in RTC Canada is $19.4 million.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gridSpan w:val="3"/>
          </w:tcPr>
          <w:p>
            <w:pPr>
              <w:jc w:val="right"/>
              <w:ind w:right="650"/>
              <w:spacing w:after="0"/>
              <w:rPr>
                <w:sz w:val="20"/>
                <w:szCs w:val="20"/>
                <w:color w:val="auto"/>
              </w:rPr>
            </w:pPr>
            <w:r>
              <w:rPr>
                <w:rFonts w:ascii="Arial" w:cs="Arial" w:eastAsia="Arial" w:hAnsi="Arial"/>
                <w:sz w:val="18"/>
                <w:szCs w:val="18"/>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160"/>
              <w:spacing w:after="0" w:line="201" w:lineRule="exact"/>
              <w:rPr>
                <w:sz w:val="20"/>
                <w:szCs w:val="20"/>
                <w:color w:val="auto"/>
              </w:rPr>
            </w:pPr>
            <w:r>
              <w:rPr>
                <w:rFonts w:ascii="Arial" w:cs="Arial" w:eastAsia="Arial" w:hAnsi="Arial"/>
                <w:sz w:val="18"/>
                <w:szCs w:val="18"/>
                <w:color w:val="auto"/>
              </w:rPr>
              <w:t>Numerator for basic and diluted earnings per share – Net income available to</w:t>
            </w:r>
          </w:p>
        </w:tc>
        <w:tc>
          <w:tcPr>
            <w:tcW w:w="1000" w:type="dxa"/>
            <w:vAlign w:val="bottom"/>
            <w:vMerge w:val="restart"/>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8"/>
              </w:rPr>
              <w:t>37,104</w:t>
            </w:r>
          </w:p>
        </w:tc>
        <w:tc>
          <w:tcPr>
            <w:tcW w:w="180" w:type="dxa"/>
            <w:vAlign w:val="bottom"/>
          </w:tcPr>
          <w:p>
            <w:pPr>
              <w:spacing w:after="0"/>
              <w:rPr>
                <w:sz w:val="17"/>
                <w:szCs w:val="17"/>
                <w:color w:val="auto"/>
              </w:rPr>
            </w:pPr>
          </w:p>
        </w:tc>
        <w:tc>
          <w:tcPr>
            <w:tcW w:w="1000" w:type="dxa"/>
            <w:vAlign w:val="bottom"/>
            <w:vMerge w:val="restart"/>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21,039</w:t>
            </w:r>
          </w:p>
        </w:tc>
        <w:tc>
          <w:tcPr>
            <w:tcW w:w="0" w:type="dxa"/>
            <w:vAlign w:val="bottom"/>
          </w:tcPr>
          <w:p>
            <w:pPr>
              <w:spacing w:after="0"/>
              <w:rPr>
                <w:sz w:val="1"/>
                <w:szCs w:val="1"/>
                <w:color w:val="auto"/>
              </w:rPr>
            </w:pPr>
          </w:p>
        </w:tc>
      </w:tr>
      <w:tr>
        <w:trPr>
          <w:trHeight w:val="217"/>
        </w:trPr>
        <w:tc>
          <w:tcPr>
            <w:tcW w:w="632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10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w w:val="94"/>
              </w:rPr>
              <w:t>Denominator for basic earnings per share – weighted average shares outstanding</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36,817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39,665</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Effect of dilutive securities– Employee and director stock options and restricted</w:t>
            </w:r>
          </w:p>
        </w:tc>
        <w:tc>
          <w:tcPr>
            <w:tcW w:w="10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awards</w:t>
            </w:r>
          </w:p>
        </w:tc>
        <w:tc>
          <w:tcPr>
            <w:tcW w:w="10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tcPr>
          <w:p>
            <w:pPr>
              <w:ind w:left="160"/>
              <w:spacing w:after="0" w:line="195" w:lineRule="exact"/>
              <w:rPr>
                <w:sz w:val="20"/>
                <w:szCs w:val="20"/>
                <w:color w:val="auto"/>
              </w:rPr>
            </w:pPr>
            <w:r>
              <w:rPr>
                <w:rFonts w:ascii="Arial" w:cs="Arial" w:eastAsia="Arial" w:hAnsi="Arial"/>
                <w:sz w:val="18"/>
                <w:szCs w:val="18"/>
                <w:color w:val="auto"/>
                <w:w w:val="96"/>
              </w:rPr>
              <w:t>Denominator for diluted earnings per share – adjusted weighted average shares</w:t>
            </w:r>
          </w:p>
        </w:tc>
        <w:tc>
          <w:tcPr>
            <w:tcW w:w="10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8"/>
              </w:rPr>
              <w:t>37,834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41,092</w:t>
            </w:r>
          </w:p>
        </w:tc>
        <w:tc>
          <w:tcPr>
            <w:tcW w:w="0" w:type="dxa"/>
            <w:vAlign w:val="bottom"/>
          </w:tcPr>
          <w:p>
            <w:pPr>
              <w:spacing w:after="0"/>
              <w:rPr>
                <w:sz w:val="1"/>
                <w:szCs w:val="1"/>
                <w:color w:val="auto"/>
              </w:rPr>
            </w:pPr>
          </w:p>
        </w:tc>
      </w:tr>
      <w:tr>
        <w:trPr>
          <w:trHeight w:val="190"/>
        </w:trPr>
        <w:tc>
          <w:tcPr>
            <w:tcW w:w="6320" w:type="dxa"/>
            <w:vAlign w:val="bottom"/>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10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0.98</w:t>
            </w:r>
          </w:p>
        </w:tc>
        <w:tc>
          <w:tcPr>
            <w:tcW w:w="180" w:type="dxa"/>
            <w:vAlign w:val="bottom"/>
          </w:tcPr>
          <w:p>
            <w:pPr>
              <w:spacing w:after="0"/>
              <w:rPr>
                <w:sz w:val="17"/>
                <w:szCs w:val="17"/>
                <w:color w:val="auto"/>
              </w:rPr>
            </w:pP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three months ended March 31, 2019 and 2018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March 31, 2019</w:t>
            </w:r>
          </w:p>
        </w:tc>
        <w:tc>
          <w:tcPr>
            <w:tcW w:w="180" w:type="dxa"/>
            <w:vAlign w:val="bottom"/>
          </w:tcPr>
          <w:p>
            <w:pPr>
              <w:spacing w:after="0"/>
              <w:rPr>
                <w:sz w:val="20"/>
                <w:szCs w:val="20"/>
                <w:color w:val="auto"/>
              </w:rPr>
            </w:pP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March 31, 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4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8"/>
                <w:szCs w:val="18"/>
                <w:color w:val="auto"/>
              </w:rPr>
            </w:pPr>
          </w:p>
        </w:tc>
      </w:tr>
      <w:tr>
        <w:trPr>
          <w:trHeight w:val="426"/>
        </w:trPr>
        <w:tc>
          <w:tcPr>
            <w:tcW w:w="86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jc w:val="right"/>
              <w:ind w:right="1330"/>
              <w:spacing w:after="0"/>
              <w:rPr>
                <w:sz w:val="20"/>
                <w:szCs w:val="20"/>
                <w:color w:val="auto"/>
              </w:rPr>
            </w:pPr>
            <w:r>
              <w:rPr>
                <w:rFonts w:ascii="Arial" w:cs="Arial" w:eastAsia="Arial" w:hAnsi="Arial"/>
                <w:sz w:val="18"/>
                <w:szCs w:val="18"/>
                <w:color w:val="auto"/>
              </w:rPr>
              <w:t>7</w:t>
            </w:r>
          </w:p>
        </w:tc>
        <w:tc>
          <w:tcPr>
            <w:tcW w:w="15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$8.8 million for the three months ended March 31, 2019, and $7.9 million for the three months ended March 31,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the Company had $11.5 million of unrecognized compensation cost related to non-vested employee stock options to be recognized over a weighted-average period of 2.7 years and $13.6 million of unrecognized compensation cost related to non-vested restricted stock units and restricted stock awards to be recognized over a weighted-average period of 1.7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on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on the measurement date.</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2019, and December 31, 2018. The carrying value of current assets and current liabilities approximates the fair value due to the short maturity of these items.</w:t>
      </w:r>
    </w:p>
    <w:p>
      <w:pPr>
        <w:spacing w:after="0" w:line="154"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400" w:firstLine="648"/>
        <w:spacing w:after="0" w:line="297" w:lineRule="auto"/>
        <w:rPr>
          <w:sz w:val="20"/>
          <w:szCs w:val="20"/>
          <w:color w:val="auto"/>
        </w:rPr>
      </w:pPr>
      <w:r>
        <w:rPr>
          <w:rFonts w:ascii="Arial" w:cs="Arial" w:eastAsia="Arial" w:hAnsi="Arial"/>
          <w:sz w:val="16"/>
          <w:szCs w:val="16"/>
          <w:color w:val="auto"/>
        </w:rPr>
        <w:t>During the first quarter of 2016, the Company instituted plans to consolidate its dealership network. In 2016, the Company recorded an impairment charge related to the value of the real estate in the affected locations and a write-down of certain excess real estate. 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As of March 31, 2019, the remaining real estate associated with the restructuring activities is included in assets held for sale on the Consolidated Balance Sheets.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Measurements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Using Significant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4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 2019</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380" w:firstLine="648"/>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 The following table contains summarized information about reportable segment revenues, segment income or loss from continuing operations and segment assets for the periods ended March 31, 2019 and 2018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Truck Segment</w:t>
            </w:r>
          </w:p>
        </w:tc>
        <w:tc>
          <w:tcPr>
            <w:tcW w:w="24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Totals</w:t>
            </w:r>
          </w:p>
        </w:tc>
        <w:tc>
          <w:tcPr>
            <w:tcW w:w="3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2019</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1,344,449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1,348,317</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56,742</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56,867</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49,505</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49,558</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3,384,441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3,422,026</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1,236,652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1,240,781</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32,360</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32,389</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28,103</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28,083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2,864,504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2,899,204</w:t>
            </w:r>
          </w:p>
        </w:tc>
        <w:tc>
          <w:tcPr>
            <w:tcW w:w="300" w:type="dxa"/>
            <w:vAlign w:val="bottom"/>
          </w:tcPr>
          <w:p>
            <w:pPr>
              <w:spacing w:after="0"/>
              <w:rPr>
                <w:sz w:val="18"/>
                <w:szCs w:val="18"/>
                <w:color w:val="auto"/>
              </w:rPr>
            </w:pPr>
          </w:p>
        </w:tc>
      </w:tr>
      <w:tr>
        <w:trPr>
          <w:trHeight w:val="432"/>
        </w:trPr>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$2.4 million as a component of accrued liabilities at March 31, 2019 and December 31, 2018,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$139,000 accrued for the payment of interest at March 31, 2019 and December 31, 2018. No amounts were accrued for penalties.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2019, the tax years ended December 31, 2015 through 2018 remain subject to audit by federal tax authorities and the tax years ended December 31, 2014 through 2018 remain subject to audit by state tax authorities.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adopted ASU 2016-09 on January 1, 2017, which requires excess tax benefits and tax deficiencies to be recognized as income tax benefit or expense in the income statement and presented as an operating activity in the statement of cash flows when the awards are vested or are settled. In the first quarter of 2019, the Company recorded $76,000 of tax expense related to an excess tax deficiency with respect to equity compensation. In the first quarter of 2018, the Company recorded $22,000 of tax expense related to an excess tax deficiency with respect to equity compensation.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ended March 31, 2019 and 2018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0"/>
              </w:rPr>
              <w:t>Three Months</w:t>
            </w:r>
          </w:p>
        </w:tc>
        <w:tc>
          <w:tcPr>
            <w:tcW w:w="2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March 31, 2019</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March 31,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Parts revenue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247,317</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223,354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191,037</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Finance revenue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4,095</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1,183,257</w:t>
            </w:r>
          </w:p>
        </w:tc>
        <w:tc>
          <w:tcPr>
            <w:tcW w:w="8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March 31, 2019. Revenues related to commercial vehicle sales, parts sales, commercial vehicle repair service, finance and the majority of other revenues are related to the Truck Segment.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Leases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2016, the Financial Accounting Standards Board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determines whether the leases should be classified as an operating lease or finance lease. A lease is classified as a finance lease if any of the following conditions exist on the date of lease commencement:</w:t>
      </w:r>
    </w:p>
    <w:p>
      <w:pPr>
        <w:spacing w:after="0" w:line="170" w:lineRule="exact"/>
        <w:rPr>
          <w:sz w:val="20"/>
          <w:szCs w:val="20"/>
          <w:color w:val="auto"/>
        </w:rPr>
      </w:pPr>
    </w:p>
    <w:p>
      <w:pPr>
        <w:ind w:left="1040" w:hanging="478"/>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23" w:lineRule="exact"/>
        <w:rPr>
          <w:rFonts w:ascii="Arial" w:cs="Arial" w:eastAsia="Arial" w:hAnsi="Arial"/>
          <w:sz w:val="18"/>
          <w:szCs w:val="18"/>
          <w:color w:val="auto"/>
        </w:rPr>
      </w:pPr>
    </w:p>
    <w:p>
      <w:pPr>
        <w:ind w:left="1040" w:hanging="478"/>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20" w:lineRule="exact"/>
        <w:rPr>
          <w:rFonts w:ascii="Arial" w:cs="Arial" w:eastAsia="Arial" w:hAnsi="Arial"/>
          <w:sz w:val="17"/>
          <w:szCs w:val="17"/>
          <w:color w:val="auto"/>
        </w:rPr>
      </w:pPr>
    </w:p>
    <w:p>
      <w:pPr>
        <w:ind w:left="1040" w:hanging="478"/>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9" w:lineRule="exact"/>
        <w:rPr>
          <w:rFonts w:ascii="Arial" w:cs="Arial" w:eastAsia="Arial" w:hAnsi="Arial"/>
          <w:sz w:val="18"/>
          <w:szCs w:val="18"/>
          <w:color w:val="auto"/>
        </w:rPr>
      </w:pPr>
    </w:p>
    <w:p>
      <w:pPr>
        <w:ind w:left="1040" w:hanging="478"/>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9" w:lineRule="exact"/>
        <w:rPr>
          <w:rFonts w:ascii="Arial" w:cs="Arial" w:eastAsia="Arial" w:hAnsi="Arial"/>
          <w:sz w:val="18"/>
          <w:szCs w:val="18"/>
          <w:color w:val="auto"/>
        </w:rPr>
      </w:pPr>
    </w:p>
    <w:p>
      <w:pPr>
        <w:ind w:left="1040" w:hanging="478"/>
        <w:spacing w:after="0" w:line="261"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 The lessor expects to have no alternative use for the leased asset at the end of the lease.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adopted Topic 842 on January 1, 2019. The Company applied a modified retrospective transition approach for all leases existing at, or entered into after, January 1, 2019. The Consolidated Financial Statements for the quarter ended March 31, 2019 are presented under the new standard, while the comparative quarter presented is not adjusted and continues to be reported in accordance with the Company’s historical accounting policy. The Company applied the practical expedients permitted within Topic 842, which among other things, allows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commercial vehicles as the lessee under finance leases and operating leases. The lease terms vary from one month to ten years. Commercial vehicle finance leases continue to be reported on the Consolidated Balance Sheet, while operating leases were added to the Consolidated Balance Sheet in 2019 with the adoption of Topic 842. These vehicles are then subleased or rented by the Company to customers under various agreements. For the three months ended March 31, 2019, the Company received sublease income of $6.0 million under non-cancelable subleases.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usually guarantees the residual value of vehicles under operating lease and finance lease arrangements. At March 31, 2019, the Company guaranteed commercial vehicle residual values of approximately $39.0 million under operating lease and finance lease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facility leases are classified as operating leases and primarily reflect its use of dealership facilities and office space. The lease terms vary from one year to 88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Components of lease cost are as follows (in thousands):</w:t>
            </w:r>
          </w:p>
        </w:tc>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w:t>
            </w:r>
          </w:p>
        </w:tc>
      </w:tr>
      <w:tr>
        <w:trPr>
          <w:trHeight w:val="216"/>
        </w:trPr>
        <w:tc>
          <w:tcPr>
            <w:tcW w:w="48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30"/>
        </w:trPr>
        <w:tc>
          <w:tcPr>
            <w:tcW w:w="4860" w:type="dxa"/>
            <w:vAlign w:val="bottom"/>
          </w:tcPr>
          <w:p>
            <w:pPr>
              <w:spacing w:after="0"/>
              <w:rPr>
                <w:sz w:val="20"/>
                <w:szCs w:val="20"/>
                <w:color w:val="auto"/>
              </w:rPr>
            </w:pPr>
          </w:p>
        </w:tc>
        <w:tc>
          <w:tcPr>
            <w:tcW w:w="4340" w:type="dxa"/>
            <w:vAlign w:val="bottom"/>
          </w:tcPr>
          <w:p>
            <w:pPr>
              <w:ind w:left="188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2019</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SG&amp;A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Finance lease cost - amortization of right-of-use assets</w:t>
            </w:r>
          </w:p>
        </w:tc>
        <w:tc>
          <w:tcPr>
            <w:tcW w:w="43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 – interest on lease liabilities</w:t>
            </w:r>
          </w:p>
        </w:tc>
        <w:tc>
          <w:tcPr>
            <w:tcW w:w="4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Short-term lease cost</w:t>
            </w:r>
          </w:p>
        </w:tc>
        <w:tc>
          <w:tcPr>
            <w:tcW w:w="4340" w:type="dxa"/>
            <w:vAlign w:val="bottom"/>
          </w:tcPr>
          <w:p>
            <w:pPr>
              <w:ind w:left="500"/>
              <w:spacing w:after="0"/>
              <w:rPr>
                <w:sz w:val="20"/>
                <w:szCs w:val="20"/>
                <w:color w:val="auto"/>
              </w:rPr>
            </w:pPr>
            <w:r>
              <w:rPr>
                <w:rFonts w:ascii="Arial" w:cs="Arial" w:eastAsia="Arial" w:hAnsi="Arial"/>
                <w:sz w:val="18"/>
                <w:szCs w:val="18"/>
                <w:color w:val="auto"/>
              </w:rPr>
              <w:t>SG&amp;A expense</w:t>
            </w:r>
          </w:p>
        </w:tc>
        <w:tc>
          <w:tcPr>
            <w:tcW w:w="1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Three Months</w:t>
            </w: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30"/>
        </w:trPr>
        <w:tc>
          <w:tcPr>
            <w:tcW w:w="2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March 31, 2019</w:t>
            </w:r>
          </w:p>
        </w:tc>
      </w:tr>
      <w:tr>
        <w:trPr>
          <w:trHeight w:val="210"/>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r>
      <w:tr>
        <w:trPr>
          <w:trHeight w:val="216"/>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53,274</w:t>
            </w:r>
          </w:p>
        </w:tc>
      </w:tr>
      <w:tr>
        <w:trPr>
          <w:trHeight w:val="418"/>
        </w:trPr>
        <w:tc>
          <w:tcPr>
            <w:tcW w:w="8360" w:type="dxa"/>
            <w:vAlign w:val="bottom"/>
            <w:gridSpan w:val="6"/>
          </w:tcPr>
          <w:p>
            <w:pPr>
              <w:spacing w:after="0"/>
              <w:rPr>
                <w:sz w:val="20"/>
                <w:szCs w:val="20"/>
                <w:color w:val="auto"/>
              </w:rPr>
            </w:pPr>
            <w:r>
              <w:rPr>
                <w:rFonts w:ascii="Arial" w:cs="Arial" w:eastAsia="Arial" w:hAnsi="Arial"/>
                <w:sz w:val="18"/>
                <w:szCs w:val="18"/>
                <w:color w:val="auto"/>
                <w:w w:val="98"/>
              </w:rPr>
              <w:t>Weighted-average remaining lease term and discount rate for operating and finance leases are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5"/>
              </w:rPr>
              <w:t>March 31, 2019</w:t>
            </w:r>
          </w:p>
        </w:tc>
        <w:tc>
          <w:tcPr>
            <w:tcW w:w="100" w:type="dxa"/>
            <w:vAlign w:val="bottom"/>
          </w:tcPr>
          <w:p>
            <w:pPr>
              <w:spacing w:after="0"/>
              <w:rPr>
                <w:sz w:val="24"/>
                <w:szCs w:val="24"/>
                <w:color w:val="auto"/>
              </w:rPr>
            </w:pPr>
          </w:p>
        </w:tc>
      </w:tr>
      <w:tr>
        <w:trPr>
          <w:trHeight w:val="210"/>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(months)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418"/>
        </w:trPr>
        <w:tc>
          <w:tcPr>
            <w:tcW w:w="8360" w:type="dxa"/>
            <w:vAlign w:val="bottom"/>
            <w:gridSpan w:val="6"/>
          </w:tcPr>
          <w:p>
            <w:pPr>
              <w:spacing w:after="0"/>
              <w:rPr>
                <w:sz w:val="20"/>
                <w:szCs w:val="20"/>
                <w:color w:val="auto"/>
              </w:rPr>
            </w:pPr>
            <w:r>
              <w:rPr>
                <w:rFonts w:ascii="Arial" w:cs="Arial" w:eastAsia="Arial" w:hAnsi="Arial"/>
                <w:sz w:val="18"/>
                <w:szCs w:val="18"/>
                <w:color w:val="auto"/>
                <w:w w:val="94"/>
              </w:rPr>
              <w:t>Maturities of lease liabilities by fiscal year for finance leases and operating leases are as follows (in thousands):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8"/>
                <w:szCs w:val="18"/>
                <w:color w:val="auto"/>
                <w:w w:val="87"/>
              </w:rPr>
              <w:t>Finance</w:t>
            </w:r>
          </w:p>
        </w:tc>
        <w:tc>
          <w:tcPr>
            <w:tcW w:w="1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Operating</w:t>
            </w:r>
          </w:p>
        </w:tc>
      </w:tr>
      <w:tr>
        <w:trPr>
          <w:trHeight w:val="230"/>
        </w:trPr>
        <w:tc>
          <w:tcPr>
            <w:tcW w:w="2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2"/>
              </w:rPr>
              <w:t>Leases</w:t>
            </w:r>
          </w:p>
        </w:tc>
        <w:tc>
          <w:tcPr>
            <w:tcW w:w="2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20"/>
                <w:szCs w:val="20"/>
                <w:color w:val="auto"/>
              </w:rPr>
            </w:pPr>
          </w:p>
        </w:tc>
      </w:tr>
      <w:tr>
        <w:trPr>
          <w:trHeight w:val="250"/>
        </w:trPr>
        <w:tc>
          <w:tcPr>
            <w:tcW w:w="200" w:type="dxa"/>
            <w:vAlign w:val="bottom"/>
          </w:tcPr>
          <w:p>
            <w:pPr>
              <w:spacing w:after="0"/>
              <w:rPr>
                <w:sz w:val="21"/>
                <w:szCs w:val="21"/>
                <w:color w:val="auto"/>
              </w:rPr>
            </w:pPr>
          </w:p>
        </w:tc>
        <w:tc>
          <w:tcPr>
            <w:tcW w:w="65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9"/>
                <w:szCs w:val="29"/>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9,229</w:t>
            </w: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19,995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10,889</w:t>
            </w:r>
          </w:p>
        </w:tc>
      </w:tr>
      <w:tr>
        <w:trPr>
          <w:trHeight w:val="216"/>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8,820</w:t>
            </w: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7,687</w:t>
            </w:r>
          </w:p>
        </w:tc>
      </w:tr>
      <w:tr>
        <w:trPr>
          <w:trHeight w:val="216"/>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w:t>
            </w: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2024 and beyond</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26,766</w:t>
            </w:r>
          </w:p>
        </w:tc>
      </w:tr>
      <w:tr>
        <w:trPr>
          <w:trHeight w:val="20"/>
        </w:trPr>
        <w:tc>
          <w:tcPr>
            <w:tcW w:w="2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69,732</w:t>
            </w:r>
          </w:p>
        </w:tc>
      </w:tr>
      <w:tr>
        <w:trPr>
          <w:trHeight w:val="216"/>
        </w:trPr>
        <w:tc>
          <w:tcPr>
            <w:tcW w:w="2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(16,458)</w:t>
            </w:r>
          </w:p>
        </w:tc>
      </w:tr>
      <w:tr>
        <w:trPr>
          <w:trHeight w:val="20"/>
        </w:trPr>
        <w:tc>
          <w:tcPr>
            <w:tcW w:w="2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53,274</w:t>
            </w:r>
          </w:p>
        </w:tc>
      </w:tr>
      <w:tr>
        <w:trPr>
          <w:trHeight w:val="211"/>
        </w:trPr>
        <w:tc>
          <w:tcPr>
            <w:tcW w:w="200" w:type="dxa"/>
            <w:vAlign w:val="bottom"/>
          </w:tcPr>
          <w:p>
            <w:pPr>
              <w:spacing w:after="0"/>
              <w:rPr>
                <w:sz w:val="18"/>
                <w:szCs w:val="18"/>
                <w:color w:val="auto"/>
              </w:rPr>
            </w:pPr>
          </w:p>
        </w:tc>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(a)Excluding the three months ended March 31, 2019</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leases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Some leases contain an option for the lessee to purchase the commercial vehicle.</w:t>
      </w:r>
    </w:p>
    <w:p>
      <w:pPr>
        <w:spacing w:after="0" w:line="14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policy is to depreciate our lease and rental fleet using a straight 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at March 31, 2019 in the amount of $5.3 million is reflected in Other Assets on the Consolidated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Minimum rental payments to be received for non-cancelable leases and subleases in effect as of March 31, 2019, are as follows (in thousands):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34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(a)</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104,569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76,584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52,348</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22,173</w:t>
            </w:r>
          </w:p>
        </w:tc>
      </w:tr>
      <w:tr>
        <w:trPr>
          <w:trHeight w:val="20"/>
        </w:trPr>
        <w:tc>
          <w:tcPr>
            <w:tcW w:w="8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379,970</w:t>
            </w:r>
          </w:p>
        </w:tc>
      </w:tr>
      <w:tr>
        <w:trPr>
          <w:trHeight w:val="211"/>
        </w:trPr>
        <w:tc>
          <w:tcPr>
            <w:tcW w:w="8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(a)Excluding the three months ended March 31, 2019</w:t>
            </w: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income during the three months ended March 31, 2019 and March 31, 2018 consisted of the following (in thousands):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30"/>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March 31, 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March 31, 2018</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Nonlease payments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6,966</w:t>
            </w: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December 31, 2018, minimum lease payments under non-cancelable finance leases and operating leases by period were expected to be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Finance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Operating</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2"/>
              </w:rPr>
              <w:t>Leases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22,033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2020</w:t>
            </w: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19,113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14,894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2022</w:t>
            </w: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11,062</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Thereafter</w:t>
            </w: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22,463</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75,160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65,688</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660" w:type="dxa"/>
            <w:vAlign w:val="bottom"/>
          </w:tcPr>
          <w:p>
            <w:pPr>
              <w:spacing w:after="0" w:line="196" w:lineRule="exact"/>
              <w:rPr>
                <w:sz w:val="20"/>
                <w:szCs w:val="20"/>
                <w:color w:val="auto"/>
              </w:rPr>
            </w:pPr>
            <w:r>
              <w:rPr>
                <w:rFonts w:ascii="Arial" w:cs="Arial" w:eastAsia="Arial" w:hAnsi="Arial"/>
                <w:sz w:val="18"/>
                <w:szCs w:val="18"/>
                <w:color w:val="auto"/>
              </w:rPr>
              <w:t>Less: Imputed interest</w:t>
            </w:r>
          </w:p>
        </w:tc>
        <w:tc>
          <w:tcPr>
            <w:tcW w:w="3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98"/>
              </w:rPr>
              <w:t>(6,046)</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69,114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jc w:val="right"/>
              <w:ind w:right="157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Shareholders’ Equity</w:t>
      </w:r>
    </w:p>
    <w:p>
      <w:pPr>
        <w:spacing w:after="0" w:line="229"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Company declared and paid a $0.12 per common share cash dividend in the first quarter of 2019. Future dividends are subject to declaration by the Company’s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7"/>
          </w:tcPr>
          <w:p>
            <w:pPr>
              <w:jc w:val="center"/>
              <w:ind w:right="340"/>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center"/>
              <w:ind w:left="530"/>
              <w:spacing w:after="0"/>
              <w:rPr>
                <w:sz w:val="20"/>
                <w:szCs w:val="20"/>
                <w:color w:val="auto"/>
              </w:rPr>
            </w:pPr>
            <w:r>
              <w:rPr>
                <w:rFonts w:ascii="Arial" w:cs="Arial" w:eastAsia="Arial" w:hAnsi="Arial"/>
                <w:sz w:val="18"/>
                <w:szCs w:val="18"/>
                <w:color w:val="auto"/>
                <w:w w:val="84"/>
              </w:rPr>
              <w:t>Shares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right"/>
              <w:ind w:right="19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7"/>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940" w:type="dxa"/>
            <w:vAlign w:val="bottom"/>
            <w:gridSpan w:val="3"/>
          </w:tcPr>
          <w:p>
            <w:pPr>
              <w:ind w:left="180"/>
              <w:spacing w:after="0"/>
              <w:rPr>
                <w:sz w:val="20"/>
                <w:szCs w:val="20"/>
                <w:color w:val="auto"/>
              </w:rPr>
            </w:pPr>
            <w:r>
              <w:rPr>
                <w:rFonts w:ascii="Arial" w:cs="Arial" w:eastAsia="Arial" w:hAnsi="Arial"/>
                <w:sz w:val="18"/>
                <w:szCs w:val="18"/>
                <w:color w:val="auto"/>
              </w:rPr>
              <w:t>Par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20"/>
                <w:szCs w:val="20"/>
                <w:color w:val="auto"/>
              </w:rPr>
            </w:pPr>
          </w:p>
        </w:tc>
        <w:tc>
          <w:tcPr>
            <w:tcW w:w="1000" w:type="dxa"/>
            <w:vAlign w:val="bottom"/>
            <w:gridSpan w:val="4"/>
          </w:tcPr>
          <w:p>
            <w:pPr>
              <w:jc w:val="right"/>
              <w:ind w:right="25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20"/>
                <w:szCs w:val="20"/>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Retained</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Class A</w:t>
            </w: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0"/>
              </w:rPr>
              <w:t>Class 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7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0"/>
              </w:rPr>
              <w:t>Earnings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28,710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458</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9"/>
              </w:rPr>
              <w:t>370,025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(245,842)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942,287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1,066,928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awards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related to stock options,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restricted shares and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employee stock purchase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share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under employee stock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purchase plan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2"/>
              </w:rPr>
              <w:t>(26,048)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Dividend Class A common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Dividend Class B common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Balance, March 31, 2019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28,187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462</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9"/>
              </w:rPr>
              <w:t>379,454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(271,890)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975,011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1,083,421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gridSpan w:val="7"/>
          </w:tcPr>
          <w:p>
            <w:pPr>
              <w:jc w:val="center"/>
              <w:ind w:right="60"/>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6"/>
          </w:tcPr>
          <w:p>
            <w:pPr>
              <w:jc w:val="center"/>
              <w:ind w:right="82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7"/>
          </w:tcPr>
          <w:p>
            <w:pPr>
              <w:jc w:val="center"/>
              <w:ind w:right="60"/>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Treasury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Class A</w:t>
            </w:r>
          </w:p>
        </w:tc>
        <w:tc>
          <w:tcPr>
            <w:tcW w:w="160" w:type="dxa"/>
            <w:vAlign w:val="bottom"/>
          </w:tcPr>
          <w:p>
            <w:pPr>
              <w:spacing w:after="0"/>
              <w:rPr>
                <w:sz w:val="20"/>
                <w:szCs w:val="20"/>
                <w:color w:val="auto"/>
              </w:rPr>
            </w:pPr>
          </w:p>
        </w:tc>
        <w:tc>
          <w:tcPr>
            <w:tcW w:w="940" w:type="dxa"/>
            <w:vAlign w:val="bottom"/>
            <w:gridSpan w:val="3"/>
          </w:tcPr>
          <w:p>
            <w:pPr>
              <w:ind w:left="180"/>
              <w:spacing w:after="0"/>
              <w:rPr>
                <w:sz w:val="20"/>
                <w:szCs w:val="20"/>
                <w:color w:val="auto"/>
              </w:rPr>
            </w:pPr>
            <w:r>
              <w:rPr>
                <w:rFonts w:ascii="Arial" w:cs="Arial" w:eastAsia="Arial" w:hAnsi="Arial"/>
                <w:sz w:val="18"/>
                <w:szCs w:val="18"/>
                <w:color w:val="auto"/>
              </w:rPr>
              <w:t>Class B</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31,345</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348,044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812,557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1,040,373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gridSpan w:val="5"/>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Stock options exercised and stock awards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6"/>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ind w:left="160"/>
              <w:spacing w:after="0"/>
              <w:rPr>
                <w:sz w:val="20"/>
                <w:szCs w:val="20"/>
                <w:color w:val="auto"/>
              </w:rPr>
            </w:pPr>
            <w:r>
              <w:rPr>
                <w:rFonts w:ascii="Arial" w:cs="Arial" w:eastAsia="Arial" w:hAnsi="Arial"/>
                <w:sz w:val="18"/>
                <w:szCs w:val="18"/>
                <w:color w:val="auto"/>
                <w:w w:val="93"/>
              </w:rPr>
              <w:t>options, restricted shares and employee stock</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purchase plan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Vesting of restricted share awards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6"/>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stock purchase plan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(38,137)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2018</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30,583</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8,623</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356,435</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(158,819)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833,596</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1,031,669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Acquisition and Equity Method Investment</w:t>
      </w:r>
    </w:p>
    <w:p>
      <w:pPr>
        <w:spacing w:after="0" w:line="229" w:lineRule="exact"/>
        <w:rPr>
          <w:sz w:val="20"/>
          <w:szCs w:val="20"/>
          <w:color w:val="auto"/>
        </w:rPr>
      </w:pPr>
    </w:p>
    <w:p>
      <w:pPr>
        <w:jc w:val="both"/>
        <w:ind w:right="380" w:firstLine="648"/>
        <w:spacing w:after="0" w:line="302" w:lineRule="auto"/>
        <w:rPr>
          <w:sz w:val="20"/>
          <w:szCs w:val="20"/>
          <w:color w:val="auto"/>
        </w:rPr>
      </w:pPr>
      <w:r>
        <w:rPr>
          <w:rFonts w:ascii="Arial" w:cs="Arial" w:eastAsia="Arial" w:hAnsi="Arial"/>
          <w:sz w:val="16"/>
          <w:szCs w:val="16"/>
          <w:color w:val="auto"/>
        </w:rPr>
        <w:t>On February 25, 2019, the Company acquired 50% of the equity interest in RTC Canada, which acquired the operating assets of Tallman Group, the largest International Truck dealer in Canada. RTC Canada operates a network of 14 International Truck full-service dealerships throughout the Province of Ontario. The Company does not consolidate RTC Canada. RTC Canada is accounted for as an equity method investment. As of March 31, 2019, the Company’s investment in RTC Canada is $19.4 million and is reported in Other Assets on the Consolidated Balance Sheet.</w:t>
      </w:r>
    </w:p>
    <w:p>
      <w:pPr>
        <w:spacing w:after="0" w:line="15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 February 11, 2019, the Company acquired certain assets of Country Ford Trucks, which included real estate and a Ford truck franchise in Ceres, California, along with commercial vehicle and parts inventory. The transaction was valued at approximately $7.9 million, with the purchase price paid in cash.</w:t>
      </w:r>
    </w:p>
    <w:p>
      <w:pPr>
        <w:sectPr>
          <w:pgSz w:w="11900" w:h="16838" w:orient="portrait"/>
          <w:cols w:equalWidth="0" w:num="1">
            <w:col w:w="11420"/>
          </w:cols>
          <w:pgMar w:left="240" w:top="11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13 – Accumulated Other Comprehensive Income</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20" w:type="dxa"/>
            <w:vAlign w:val="bottom"/>
            <w:gridSpan w:val="2"/>
          </w:tcPr>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(in thousands):</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8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86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Canadian exchange rate of 1.3307 at March 31, 2019. The adjustment is reflected in Other Assets on the Consolidated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Amended and Restated Credit Agreement</w:t>
      </w:r>
    </w:p>
    <w:p>
      <w:pPr>
        <w:spacing w:after="0" w:line="225"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On April 25, 2019, the Company entered into the Fourth Amended and Restated Credit Agreement (the “Floor Plan Credit Agreement”) with the lenders signatory thereto and BMO Harris Bank N.A. (“BMO Harris”), as Administrative Agent and Collateral Agent (the “Agent”). The Floor Plan Credit Agreement replaced the $875.0 million Third Amended and Restated Credit Agreement (the “Third Amended and Restated Floor Plan Credit Agreement”), dated as of July 7, 2016, by and between the Company, the lenders signatory thereto and BMO Harris as Agent. On March 31, 2019, the Company had approximately $875.0 million outstanding under the Third Amended and Restated Floor Plan Credit Agreement.</w:t>
      </w:r>
    </w:p>
    <w:p>
      <w:pPr>
        <w:spacing w:after="0" w:line="173"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18"/>
          <w:szCs w:val="18"/>
          <w:color w:val="auto"/>
        </w:rPr>
        <w:t>Pursuant to the terms of the Floor Plan Credit Agreement, the aggregate loan commitment is $1.0 billion. Borrowings under the Floor Plan Credit Agreement bear interest at an annual rate equal to the (A) the greater of (i) zero and (ii) one month LIBOR rate, determined on the last day of the prior month, plus (B) 1.25% and are payable monthly. Loans under the Floor Plan Credit Agreement for the purchase of used inventory are limited to $150.0 million and loans for working capital purposes are limited to $200.0 million. The Floor Plan Credit Agreement expires June 30, 2022, although the Agent has the right to terminate at any time upon 360 days written notice and the Company has the right to terminate at any time, subject to specified limited exceptions.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Working Capital Facility</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On April 25, 2019, the Company entered into an agreement (the “First Amendment”) to amend its $100 million working capital facility (the “Working Capital Facility”) with BMO Harris. The First Amendment (i) reduced the “Unused Fee Rate” from a per annum rate equal to 0.37% to a per annum rate equal to 0.20% and (ii) conformed certain definitions and affirmative and negative covenants with certain terms of the Floor Plan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of Loan to Tallman Truck Centre Limited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25, 2019, the Company entered into a Guaranty Agreement (“Guaranty”) with Bank of Montreal (“BMO”), pursuant to which the Company agreed to guaranty up to CAN$250 million (the “Guaranty Cap”) of certain credit facilities entered into by and between Tallman Truck Centre Limited (“TTCL”) and BMO, plus interest, fees and expenses. Interest, fees and expenses incurred by BMO to enforce it rights with respect to the guaranteed obligations and its rights against the Company under the Guaranty are not subject to the Guaranty Cap. TTCL is a subsidiary of RTC Canada, which the Company owns a 50% equity interest in. In exchange for the Guaranty, TTCL is receiving a reduced rate of interest on its credit facilities with BMO.</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2018,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spacing w:after="0" w:line="22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w:t>
      </w:r>
    </w:p>
    <w:p>
      <w:pPr>
        <w:jc w:val="both"/>
        <w:spacing w:after="0" w:line="207" w:lineRule="auto"/>
        <w:rPr>
          <w:sz w:val="20"/>
          <w:szCs w:val="20"/>
          <w:color w:val="auto"/>
        </w:rPr>
      </w:pPr>
      <w:r>
        <w:rPr>
          <w:rFonts w:ascii="Arial" w:cs="Arial" w:eastAsia="Arial" w:hAnsi="Arial"/>
          <w:sz w:val="17"/>
          <w:szCs w:val="17"/>
          <w:i w:val="1"/>
          <w:iCs w:val="1"/>
          <w:color w:val="auto"/>
        </w:rPr>
        <w:t>Blue Bird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2018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right="20" w:firstLine="8"/>
        <w:spacing w:after="0" w:line="252" w:lineRule="auto"/>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2019 and 2018.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6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w:t>
            </w:r>
          </w:p>
        </w:tc>
      </w:tr>
      <w:tr>
        <w:trPr>
          <w:trHeight w:val="20"/>
        </w:trPr>
        <w:tc>
          <w:tcPr>
            <w:tcW w:w="6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6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income in affiliates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6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r>
      <w:tr>
        <w:trPr>
          <w:trHeight w:val="426"/>
        </w:trPr>
        <w:tc>
          <w:tcPr>
            <w:tcW w:w="860" w:type="dxa"/>
            <w:vAlign w:val="bottom"/>
          </w:tcPr>
          <w:p>
            <w:pPr>
              <w:spacing w:after="0"/>
              <w:rPr>
                <w:sz w:val="24"/>
                <w:szCs w:val="24"/>
                <w:color w:val="auto"/>
              </w:rPr>
            </w:pPr>
          </w:p>
        </w:tc>
        <w:tc>
          <w:tcPr>
            <w:tcW w:w="6220" w:type="dxa"/>
            <w:vAlign w:val="bottom"/>
            <w:tcBorders>
              <w:top w:val="single" w:sz="8" w:color="CCEEFF"/>
            </w:tcBorders>
          </w:tcPr>
          <w:p>
            <w:pPr>
              <w:ind w:left="4760"/>
              <w:spacing w:after="0"/>
              <w:rPr>
                <w:sz w:val="20"/>
                <w:szCs w:val="20"/>
                <w:color w:val="auto"/>
              </w:rPr>
            </w:pPr>
            <w:r>
              <w:rPr>
                <w:rFonts w:ascii="Arial" w:cs="Arial" w:eastAsia="Arial" w:hAnsi="Arial"/>
                <w:sz w:val="18"/>
                <w:szCs w:val="18"/>
                <w:color w:val="auto"/>
              </w:rPr>
              <w:t>19</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3,558</w:t>
            </w:r>
          </w:p>
        </w:tc>
        <w:tc>
          <w:tcPr>
            <w:tcW w:w="10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3,312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2,614</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2,705</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10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0"/>
        </w:trPr>
        <w:tc>
          <w:tcPr>
            <w:tcW w:w="4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6,711</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6,448</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530.9</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472.1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199.7</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0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0"/>
        </w:trPr>
        <w:tc>
          <w:tcPr>
            <w:tcW w:w="4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752.6</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687.9</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4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revenues:</w:t>
            </w:r>
            <w:r>
              <w:rPr>
                <w:rFonts w:ascii="Arial" w:cs="Arial" w:eastAsia="Arial" w:hAnsi="Arial"/>
                <w:sz w:val="29"/>
                <w:szCs w:val="29"/>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r>
      <w:tr>
        <w:trPr>
          <w:trHeight w:val="216"/>
        </w:trPr>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ind w:left="8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collision center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121.5% absorption ratio for the first quarter of 2019 and a 120.0% absorption ratio for the first quarter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Aftermarket Products and Services revenues totaled $438.0 million in the first quarter of 2019, up 9.5% from the first quarter of 2018. We believe aftermarket market activity will remain strong throughout the year and that our Aftermarket Products and Services revenues growth will remain consistent with our first quarter performance.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new Class 8 truck sales were strong during the first quarter of 2019 and we expect our new Class 8 truck sales to remain consistent in the second and third quarters of 2019. While we are cautiously optimistic about the fourth quarter of 2019, we will closely monitor market conditions that we believe could adversely impact the market.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new Class 4 through 7 commercial vehicle sales were down slightly during the first quarter of 2019, compared to the first quarter of 2018. We believe our medium-duty sales will remain strong through the remainder of 2019, as we continue to see strong demand from our customers. We believe that the expected strong Class 4 through 7 medium-duty commercial vehicle market may help to partially offset any downturn in the new Class 8 truck sales market that may occur towards the end of the year.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25, 2019, we acquired 50% of the equity interest in RTC Canada, which acquired the operating assets of Tallman Group, the largest International Truck dealer in Canada. RTC Canada operates a network of 14 International Truck full-service dealerships throughout the Province of Ontario. We do not consolidate RTC Canada as part of our Truck Segment for financial reporting purposes. RTC Canada is accounted for as an equity method investment.</w:t>
      </w:r>
    </w:p>
    <w:p>
      <w:pPr>
        <w:sectPr>
          <w:pgSz w:w="11900" w:h="16838" w:orient="portrait"/>
          <w:cols w:equalWidth="0" w:num="1">
            <w:col w:w="11040"/>
          </w:cols>
          <w:pgMar w:left="240" w:top="118" w:right="619" w:bottom="1440" w:gutter="0" w:footer="0" w:header="0"/>
        </w:sectPr>
      </w:pPr>
    </w:p>
    <w:p>
      <w:pPr>
        <w:spacing w:after="0" w:line="18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$107.5 million, or 8.7%, in the first quarter of 2019, compared to the first quarter of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increased $38.1 million, or 9.5%, in the first quarter of 2019, compared to the first quarter of 2018. The growth in Aftermarket Products and Services revenues during the first quarter was primarily driven by continued strong demand for aftermarket parts and services throughout the country and the successful execution of several of our strategic initiatives. We expect our Aftermarket Products and Services revenues to increase 9% to 11% in 2019, compared to 2018.</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Revenues from sales of new and used commercial vehicles increased $65.2 million, or 8.4%, in the first quarter of 2019, compared to the first quarter of 2018, primarily as a result of increased sales of new Class 8 trucks to virtually all of the market segments that we serve.</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3,558 new Class 8 heavy-duty trucks in the first quarter of 2019, a 7.4% increase compared to 3,312 new Class 8 heavy-duty trucks in the first quarter of 2018. According to A.C.T. Research Co., LLC (“A.C.T. Research”), a truck industry data and forecasting service provider, the U.S. Class 8 truck market increased 24.5% in the first quarter of 2019, compared to the first quarter of 2018. A.C.T. Research currently forecasts U.S. retail sales of new Class 8 trucks of approximately 264,000 units in 2019, 198,000 units in 2020 and 211,500 units in 2021, compared to approximately 255,711 units in 2018. Our share of the U.S. new Class 8 truck sales market was approximately 5.7% in 2018. We expect our U.S. new Class 8 commercial vehicle sales market share to be between 5.6% and 6.0% in 2019. This market share percentage would result in the sale of approximately 14,800 to 15,800 of new Class 8 trucks in 2019, based on A.C.T. Research’s current U.S. retail sales estimate of 264,000 units.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sold 2,614 new Class 4 through 7 commercial vehicles, including 160 buses, in the first quarter of 2019, a 3.4% decrease compared to 2,705 new medium-duty commercial vehicles, including 288 buses, in the first quarter of 2018. A.C.T. Research estimates that unit sales of new Class 4 through 7 commercial vehicles in the U.S. increased approximately 3.5% in the first quarter of 2019, compared to the first quarter of 2018. A.C.T. Research currently forecasts U.S. retail sales of new Class 4 through 7 medium-duty commercial vehicles of approximately 262,300 units in 2019, 267,000 units in 2020 and 260,400 in 2021. In 2018, we achieved a 5.0% share of the new Class 4 through 7 commercial vehicle market in the U.S. In 2019, we expect our market share to range between 5.1% and 5.4% of the U.S. new Class 4 through 7 commercial vehicle market. This market share percentage would result in the sale of approximately 13,400 to 14,200 of new Class 4 through 7 commercial vehicles in 2019, based on A.C.T. Research’s current U.S. retail sales estimates of 262,300 units.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539 new light-duty vehicles in the first quarter of 2019, a 25.1% increase compared to 431 new light-duty vehicles in the first quarter of 2018. We expect to sell approximately 2,200 new light-duty vehicles in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1,840 used commercial vehicles in the first quarter of 2019, a 1.0% decrease compared to 1,859 used commercial vehicles in the first quarter of 2018. We expect to sell approximately 9,000 to 9,300 used commercial vehicles in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vehicle lease and rental revenues increased $1.9 million, or 3.3%, in the first quarter of 2019, compared to the first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lease and rental revenue to increase 3% to 8% during 2019, compared to 2018.</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Finance and insurance revenues increased $1.9 million, or 39.4%, in the first quarter of 2019, compared to the first quarter of 2018. We expect finance and insurance revenues to fluctuate proportionately with our new and used commercial vehicle sales in 2019.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increased $0.5 million, or 10.1%, in the first quarter of 2019, compared to the first quarter of 2018. Other income consists primarily of document fees related to commercial vehicle sales.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Gross profit increased $29.9 million, or 13.2%, in the first quarter of 2019, compared to the first quarter of 2018. Gross profit as a percentage of sales increased to 19.1% in the first quarter of 2019, from 18.3% in the first quarter of 2018. The increase in gross profit as a percentage of sales is a result of increased gross margins in our Aftermarket Products and Services operations, commercial vehicle sales and truck lease and rental sales.</w:t>
      </w:r>
    </w:p>
    <w:p>
      <w:pPr>
        <w:spacing w:after="0" w:line="147"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Gross margins from our Aftermarket Products and Services operations increased to 37.7% in the first quarter of 2019, compared to 36.4% in the first quarter of 2018. Gross profit from our Aftermarket Products and Services operations increased to $165.2 million in the first quarter of 2019, from $145.9 million in the first quarter of 2018. Historically, gross margins on parts sales range from 27% to 28% and gross margins on service and collision center operations range from 67% to 68%. Gross profits from parts sales represented 60.3% of total gross profit for Aftermarket Products and Services operations in the first quarter of 2019 and 57.4% in the first quarter of 2018. Service and collision center operations represented 39.7% of total gross profit for Aftermarket Products and Services operations in the first quarter of 2019 and 42.6% in the first quarter of 2018. We expect blended gross margins on Aftermarket Products and Services operations to range from approximately 37.5% to 38.5% in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new Class 8 truck sales increased to 8.9% in the first quarter of 2019, from 8.1% in the first quarter of 2018. This increase is primarily due to the mix of purchasers during the first quarter of 2019. In 2019, we expect overall gross margins from new Class 8 truck sales of approximately 7.0% to 8.0%.</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Gross margins on new Class 4 through 7 commercial vehicle sales decreased to 5.9% in the first quarter of 2019, from 6.8% in the first quarter of 2018. This decrease is primarily due to the mix of purchasers during the first quarter of 2019. In 2019, we expect overall gross margins from new Class 4 through 7 commercial vehicle sales of approximately 5.7% to 6.2%, but this will largely depend upon the mix of purchasers and types of vehicles sold.</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decreased to 10.6% in the first quarter of 2019, from 11.2% in the first quarter of 2018. This decrease is primarily due to increased availability of quality used commercial vehicles as a result of increased new commercial vehicle sales. We expect margins on used commercial vehicles to range between 8.0% and 10.0% during 2019.</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increased to 16.2% in the first quarter of 2019, from 15.8% in the first quarter of 2018. This increase is primarily related to increased rental fleet utilization. We expect gross margins from lease and rental sales of approximately 16.0% to 18.0% during 2019. Our policy is to depreciate our lease and rental fleet using a straight 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Selling, General and Administrative (“SG&amp;A”) expenses increased $15.5 million, or 9.0%, in the first quarter of 2019, compared to the first quarter of 2018. This increase is primarily related to increased headcount in the first quarter of 2019, compared to the first quarter of 2018, the increase in employee benefits and payroll taxes that we normally recognize during the first quarter of each year and increased commissions resulting from increased sales of commercial vehicles and aftermarket services. SG&amp;A expenses as a percentage of total revenues increased to 13.9% in the first quarter of 2019, from 13.8% in the first quarter of 2018. SG&amp;A expenses as a percentage of total revenues have recently ranged from 12.1% to 13.9%. In general, when new and used commercial vehicle revenues decrease as a percentage of total revenues, SG&amp;A expenses as a percentage of total revenues will be at, or exceed, the higher end of this range. For 2019, we expect SG&amp;A expenses as a percentage of total revenues to range from 12.5% to 13.0% and the selling portion of SG&amp;A expenses to be approximately 25.0% to 30.0% of new and used commercial vehicle gross profit.</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Depreciation and amortization expense decreased $10.0 million, or 43.6%, in the first quarter of 2019, compared to the first quarter of 2018. This was the result of the additional amortization expense of $10.2 million related to the replacement of our ERP Platform components in the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interest expense increased $3.1 million, or 70.9%, in the first quarter of 2019, compared to the first quarter of 2018. This increase is a result of the increase in the LIBOR rate over the last year and increased inventory levels, compared to the first quarter of 2018. Net interest expense in 2019 will depend on inventory levels, interest rate fluctuations and the amount of cash available to make prepayments on our floor plan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increased $21.4 million, or 76.3%, in the first quarter of 2019, compared to the first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Income taxes increased $5.4 million, or 76.8%, in the first quarter of 2019, compared to the first quarter of 2018. In the first quarter of 2019, we recorded $76,000 of tax expense related to an excess tax deficiency with respect to equity compensation. In the first quarter of 2018, we recorded $22,000 of tax expense related to an excess tax deficiency with respect to equity compensation. We provided for taxes at a 25.0% effective rate in the first quarter of 2019 and the first quarter of 2018. We expect our effective tax rate to be approximately 24% to 26% of pretax income in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2019, we had working capital of approximately $168.8 million, including $126.6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March 31, 2019, however, $11.6 million was pledged to secure various letters of credit related to self-insurance products, leaving $5.9 million available for future borrowings as of March 31, 2019.</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21, 2017, we entered into the Working Capital Facility with BMO Harris, which was amended by the First Amendment. The Working Capital Facility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Working Capital Facility) or otherwise. There was $75.0 million drawn on the Working Capital Facility as of March 31, 2019.</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March 31, 2019,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$165.0 million to $190.0 million for our leasing operations during 2019, depending on customer demand, all of which will be financed. We also expect to make capital expenditures for recurring items such as computers, shop tools and equipment and vehicles of approximately $30.0 million to $40.0 million during 2019.</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purchase obligations of approximately $8.5 million as of March 31, 2019 related a remodel of our facility in Atlanta, Georgia and the purchase of real estate in Irving, Texas.</w:t>
      </w:r>
    </w:p>
    <w:p>
      <w:pPr>
        <w:spacing w:after="0" w:line="170"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During the first quarter of 2019, we paid a cash dividend of $4.4 million. Additionally, on April 24, 2019, our Board of Directors declared a cash dividend of $0.12 per share of Class A and Class B Common Stock, to be paid on June 10, 2019, to all shareholders of record as of May 9, 2019. The total dividend disbursement is estimated at approximately $4.4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the Board of Directors deems relevant.</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31, 2018, our Board of Directors approved a stock repurchase program authorizing management to repurchase, from time to time, up to an aggregate of $150.0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March 31, 2019, we had repurchased $92.0 million of our shares of common stock under the stock repurchase program. The current stock repurchase program expires on December 31, 2019, and may be suspended or discontinued at any time.</w:t>
      </w:r>
    </w:p>
    <w:p>
      <w:pPr>
        <w:spacing w:after="0" w:line="1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March 31, 2019.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decreased by $5.2 million during the three months ended March 31, 2019,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increased by $7.2 million during the three months ended March 31, 2018, compared to the three months ended March 31,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these changes are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quarter of 2019, operating activities resulted in net cash used in operations of $39.3 million. Net cash used in operating activities primarily consisted of $37.1 million in net income, as well as non-cash adjustments related to depreciation and amortization of $41.8 million and stock-based compensation of $8.8 million. Cash used in operating activities included an aggregate of $127.5 million net change in operating assets and liabilities. Included in the net change in operating assets and liabilities was primarily cash inflows of $3.1 million from the net increase in floor plan (trade), which was offset by $10.2 million from the increase in accounts receivable, $106.3 million from the increase in inventories and $13.2 million from the net increase in accounts payable and accrued liabilities,. The majority of our commercial vehicle inventory is financed through our floor plan credit agreements.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first quarter of 2018, operating activities resulted in net cash provided by operations of $117.7 million. Net cash provided by operating activities primarily consisted of $21.0 million in net income, as well as non-cash adjustments related to depreciation and amortization of $51.1 million, deferred income tax of $0.8 million and stock-based compensation of $7.9 million. Cash used in operating activities included an aggregate of $36.9 million net change in operating assets and liabilities. Included in the net change in operating assets and liabilities were primarily cash inflows of $35.4 million from the net increase in floor plan (trade), $5.7 million from the decrease in inventories and $5.0 million from the net increase in accounts payable and accrued liabilities, which was offset by $7.1 million from the increase in accounts receivable.</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March 31, 2019, the interest rate on the wholesale financing agreement was 7.0% before applying incentives that we are qualified to receive. As of March 31, 2019, we had an outstanding balance of approximately $142.2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of 2019, cash used in investing activities was $89.2 million. Cash flows used in investing activities consist primarily of cash used for capital expenditures. Capital expenditures of $63.6 million consisted primarily of $24.3 million for purchases of property and equipment and improvements to our existing dealership facilities and $39.3 million for additional units for the rental and leasing operations, which were directly offset by borrowings of long-term debt. Business acquisitions of $7.9 million consist of the purchase of a Ford dealership in Ceres, California, including the real estate. The Company purchased an equity method investment for $22.6 million for 50% of the equity interest in RTC Canada. We expect to purchase or lease commercial vehicles worth approximately $165.0 million to $190.0 million for our leasing operations in 2019, depending on customer demand, all of which will be financed. During 2019, we expect to make capital expenditures for recurring items such as computers, shop equipment and vehicles of $30.0 million to $40.0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2018, cash used in investing activities was $47.1 million. Cash flows used in investing activities consist primarily of cash used for capital expenditures. Capital expenditures of $48.2 million consisted primarily of $5.1 million for purchases of property and equipment and improvements to our existing dealership facilities and $43.1 million for additional units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quarter of 2019, financing activities provided $123.3 million in net cash flow. Cash outflows were primarily related to $45.4 million used for principal repayments of long-term debt and capital lease obligations, $25.6 million used for the repurchase of our common stock and $4.4 million used for the payment of cash dividends. These cash outflows were offset by cash inflows related to borrowings of $37.9 million of long-term debt, $75.0 million of proceeds from the Working Capital Facility and $85.3 million from draws floor plan (non-trade). The borrowings of long-term debt were related to purchasing units for the rental and leasing operations.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quarter of 2018, we used $63.4 million in net cash flow from financing activities. Cash outflows were primarily related to $49.5 million used for principal repayments of long-term debt and capital lease obligations, $8.4 million from net payments of floor plan (non-trade) and $38.1 million used for the repurchase of our common stock. These cash outflows were offset by cash inflows related to borrowings of $32.1 million of long-term debt. The borrowings of long-term debt were related to purchasing units for the rental and leasing operations.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On April 25, 2019, we entered into the Floor Plan Credit Agreement with BMO Harris. Prior to the Floor Plan Credit Agreement, we financed the majority of all new commercial vehicle inventory and the loan value of our used commercial vehicle inventory under the Third Amended and Restated Floor Plan Credit Agreement and going forward, the majority of such financings will occur under the Floor Plan Credit Agreement. The Floor Plan Credit Agreement includes an aggregate loan commitment that increased to $1.0 billion from $875.0 million under the Third Amended and Restated Floor Plan Credit Agreement.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March 31, 2019, we had approximately $875.0 million outstanding under the Third Amended and Restated Floor Plan Credit Agreement. The average daily outstanding borrowings under the Third Amended and Restated Floor Plan Credit Agreement were $809.7 million during the three months ended March 31, 2019.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2019, our backlog of commercial vehicle orders was approximately $2,063.2 million, as compared to a backlog of commercial vehicle orders of approximately $1,358.3 million on March 31, 2018.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2019, and we expect to fill the majority of our backlog orders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255,711 in 2018. Through geographic expansion, concentration on higher margin Aftermarket Products and Services and diversification of our customer base, we have attempted to reduce the negative impact of adverse general economic conditions or cyclical trends affecting the new Class 8 truck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Other than operating leases prior to the adoption of Topic 842 on January 1, 2019, we do not have any obligation under any transaction, agreement or other contractual arrangement to which an entity unconsolidated with us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March 31, 2019, we had floor plan borrowings and variable interest rate real estate debt of approximately $1,189.5 million. Assuming an increase or decrease in LIBOR of 100 basis points, annual interest expense could correspondingly increase or decrease by approximately $11.9 million.</w:t>
      </w: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32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2019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2018 Annual Report on Form 10-K (the “2018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first quarter of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first quarter of 2019 is as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Average Price</w:t>
            </w:r>
          </w:p>
        </w:tc>
        <w:tc>
          <w:tcPr>
            <w:tcW w:w="4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Purchased (1)</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Paid Per Share</w:t>
            </w:r>
          </w:p>
        </w:tc>
        <w:tc>
          <w:tcPr>
            <w:tcW w:w="4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(3)</w:t>
            </w:r>
          </w:p>
        </w:tc>
        <w:tc>
          <w:tcPr>
            <w:tcW w:w="60" w:type="dxa"/>
            <w:vAlign w:val="bottom"/>
          </w:tcPr>
          <w:p>
            <w:pPr>
              <w:spacing w:after="0"/>
              <w:rPr>
                <w:sz w:val="20"/>
                <w:szCs w:val="20"/>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520,200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65,105,186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February 1 – February 28, 2019</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72,561</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39.77</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72,561</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62,217,524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41.43</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99,665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58,085,919</w:t>
            </w:r>
          </w:p>
        </w:tc>
      </w:tr>
      <w:tr>
        <w:trPr>
          <w:trHeight w:val="20"/>
        </w:trPr>
        <w:tc>
          <w:tcPr>
            <w:tcW w:w="5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692,426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692,426</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58,085,919</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31, 2018, our Board of Directors approved a new stock repurchase program authorizing management to repurchase, from time to time, up to an aggregate of $150.0 million of our shares of Class A Common Stock and/or Class B Common Stock. The current stock repurchase program expires on December 31, 2019, and may be suspended or discontinued at any time.</w:t>
      </w:r>
    </w:p>
    <w:p>
      <w:pPr>
        <w:spacing w:after="0" w:line="1" w:lineRule="exact"/>
        <w:rPr>
          <w:rFonts w:ascii="Arial" w:cs="Arial" w:eastAsia="Arial" w:hAnsi="Arial"/>
          <w:sz w:val="18"/>
          <w:szCs w:val="18"/>
          <w:color w:val="auto"/>
        </w:rPr>
      </w:pPr>
    </w:p>
    <w:p>
      <w:pPr>
        <w:ind w:left="660" w:right="12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500,753 shares of Class A Common Stock at an average price paid per share of $36.49 and 19,447 shares of Class B Common Stock at an average price paid per share of $37.99.</w:t>
      </w: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60,316 shares of Class A Common Stock at an average price paid per share of $39.58 and 12,245 shares of Class B Common Stock at an average price paid per share of $40.71.</w:t>
      </w:r>
    </w:p>
    <w:p>
      <w:pPr>
        <w:ind w:left="66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77,933 shares of Class A Common Stock at an average price paid per share of $41.63 and 21,732 shares of Class B Common Stock at an average price paid per share of $40.70.</w:t>
      </w:r>
    </w:p>
    <w:p>
      <w:pPr>
        <w:sectPr>
          <w:pgSz w:w="11900" w:h="16838" w:orient="portrait"/>
          <w:cols w:equalWidth="0" w:num="1">
            <w:col w:w="11340"/>
          </w:cols>
          <w:pgMar w:left="240" w:top="118" w:right="319" w:bottom="1440" w:gutter="0" w:footer="0" w:header="0"/>
        </w:sectPr>
      </w:pP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8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4"/>
              </w:rPr>
              <w:t>Number</w:t>
            </w:r>
          </w:p>
        </w:tc>
        <w:tc>
          <w:tcPr>
            <w:tcW w:w="10040" w:type="dxa"/>
            <w:vAlign w:val="bottom"/>
            <w:gridSpan w:val="11"/>
          </w:tcPr>
          <w:p>
            <w:pPr>
              <w:spacing w:after="0" w:line="194" w:lineRule="exact"/>
              <w:rPr>
                <w:sz w:val="20"/>
                <w:szCs w:val="20"/>
                <w:color w:val="auto"/>
              </w:rPr>
            </w:pPr>
            <w:r>
              <w:rPr>
                <w:rFonts w:ascii="Arial" w:cs="Arial" w:eastAsia="Arial" w:hAnsi="Arial"/>
                <w:sz w:val="18"/>
                <w:szCs w:val="18"/>
                <w:b w:val="1"/>
                <w:bCs w:val="1"/>
                <w:color w:val="auto"/>
              </w:rPr>
              <w:t>Exhibit Title</w:t>
            </w: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Restated Articles of Incorporation of Rush Enterprises, Inc. (incorporated herein by reference to Exhibit 3.1 of the Company’s Quarterly</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Report on Form 10-Q (File No. 000-20797) for the quarter ended June 30, 2008)</w:t>
              </w:r>
            </w:hyperlink>
          </w:p>
        </w:tc>
        <w:tc>
          <w:tcPr>
            <w:tcW w:w="4220" w:type="dxa"/>
            <w:vAlign w:val="bottom"/>
            <w:gridSpan w:val="7"/>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Rush Enterprises, Inc. Amended and Restated Bylaws (incorporated herein by reference to Exhibit 3.1 of the Company’s Current Report</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on Form 8-K (File No. 000-20797) filed May 21, 2013)</w:t>
              </w:r>
            </w:hyperlink>
          </w:p>
        </w:tc>
        <w:tc>
          <w:tcPr>
            <w:tcW w:w="6020" w:type="dxa"/>
            <w:vAlign w:val="bottom"/>
            <w:gridSpan w:val="8"/>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Fourth Amended and Restated Credit Agreement, dated as of April 25, 2019 by and among the Company, the Lenders signatory thereto</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32">
              <w:r>
                <w:rPr>
                  <w:rFonts w:ascii="Arial" w:cs="Arial" w:eastAsia="Arial" w:hAnsi="Arial"/>
                  <w:sz w:val="18"/>
                  <w:szCs w:val="18"/>
                  <w:color w:val="0000EE"/>
                  <w:w w:val="97"/>
                </w:rPr>
                <w:t>and BMO Harris Bank N.A., as Administrative Agent and Collateral Agent (incorporated herein by reference to Exhibit 10.1 of the</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Company’s Current Report on Form 8-K (File No. 000-20797) filed May 1, 2019)</w:t>
              </w:r>
            </w:hyperlink>
          </w:p>
        </w:tc>
        <w:tc>
          <w:tcPr>
            <w:tcW w:w="4120" w:type="dxa"/>
            <w:vAlign w:val="bottom"/>
            <w:gridSpan w:val="6"/>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33">
              <w:r>
                <w:rPr>
                  <w:rFonts w:ascii="Arial" w:cs="Arial" w:eastAsia="Arial" w:hAnsi="Arial"/>
                  <w:sz w:val="18"/>
                  <w:szCs w:val="18"/>
                  <w:color w:val="0000EE"/>
                  <w:w w:val="93"/>
                </w:rPr>
                <w:t>First Amendment to Credit Agreement, dated as of April 25, 2019 by and among the Company, the Lenders signatory thereto and BMO</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Harris Bank N.A., as Administrative Agent (incorporated herein by reference to Exhibit 10.2 of the Company’s Current Report on Form 8-</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33">
              <w:r>
                <w:rPr>
                  <w:rFonts w:ascii="Arial" w:cs="Arial" w:eastAsia="Arial" w:hAnsi="Arial"/>
                  <w:sz w:val="18"/>
                  <w:szCs w:val="18"/>
                  <w:color w:val="0000EE"/>
                  <w:w w:val="93"/>
                </w:rPr>
                <w:t>K (File No. 000-20797) filed May 1, 2019)</w:t>
              </w:r>
            </w:hyperlink>
          </w:p>
        </w:tc>
        <w:tc>
          <w:tcPr>
            <w:tcW w:w="6920" w:type="dxa"/>
            <w:vAlign w:val="bottom"/>
            <w:gridSpan w:val="9"/>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Guaranty Agreement, dated as of April 25, 2019 between Rush and the Bank of Montreal (incorporated herein by reference to Exhibit 10.3</w:t>
              </w:r>
            </w:hyperlink>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of the Company’s Current Report on Form 8-K (File No. 000-20797) filed May 1, 2019)</w:t>
              </w:r>
            </w:hyperlink>
          </w:p>
        </w:tc>
        <w:tc>
          <w:tcPr>
            <w:tcW w:w="3660" w:type="dxa"/>
            <w:vAlign w:val="bottom"/>
            <w:gridSpan w:val="5"/>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440" w:type="dxa"/>
            <w:vAlign w:val="bottom"/>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CFO pursuant to Rules 13a-14(a) and 15d-14(a) adopted pursuant to Section 302 of the Sarbanes-Oxley Act of 2002.</w:t>
              </w:r>
            </w:hyperlink>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30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r>
      <w:tr>
        <w:trPr>
          <w:trHeight w:val="196"/>
        </w:trPr>
        <w:tc>
          <w:tcPr>
            <w:tcW w:w="70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Certification of CFO pursuant to 18 U.S.C. Section 1350 as adopted pursuant to Section 906 of the Sarbanes-Oxley Act of 2002.</w:t>
              </w:r>
            </w:hyperlink>
          </w:p>
        </w:tc>
      </w:tr>
      <w:tr>
        <w:trPr>
          <w:trHeight w:val="222"/>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101.INS*</w:t>
            </w:r>
          </w:p>
        </w:tc>
        <w:tc>
          <w:tcPr>
            <w:tcW w:w="92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gridSpan w:val="4"/>
          </w:tcPr>
          <w:p>
            <w:pPr>
              <w:spacing w:after="0"/>
              <w:rPr>
                <w:sz w:val="19"/>
                <w:szCs w:val="19"/>
                <w:color w:val="auto"/>
              </w:rPr>
            </w:pPr>
          </w:p>
        </w:tc>
      </w:tr>
      <w:tr>
        <w:trPr>
          <w:trHeight w:val="21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101.SCH*</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rPr>
              <w:t>101.CAL*</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101.DEF*</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rPr>
              <w:t>101.LAB*</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101.PRE*</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140" w:firstLine="5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40"/>
              <w:spacing w:after="0"/>
              <w:rPr>
                <w:sz w:val="20"/>
                <w:szCs w:val="20"/>
                <w:color w:val="auto"/>
              </w:rPr>
            </w:pPr>
            <w:r>
              <w:rPr>
                <w:rFonts w:ascii="Arial" w:cs="Arial" w:eastAsia="Arial" w:hAnsi="Arial"/>
                <w:sz w:val="18"/>
                <w:szCs w:val="18"/>
                <w:color w:val="auto"/>
              </w:rPr>
              <w:t>May 10, 2019</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W.M. “RUSTY” RUSH</w:t>
            </w:r>
          </w:p>
        </w:tc>
      </w:tr>
      <w:tr>
        <w:trPr>
          <w:trHeight w:val="195"/>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00"/>
              <w:spacing w:after="0"/>
              <w:rPr>
                <w:sz w:val="20"/>
                <w:szCs w:val="20"/>
                <w:color w:val="auto"/>
              </w:rPr>
            </w:pPr>
            <w:r>
              <w:rPr>
                <w:rFonts w:ascii="Arial" w:cs="Arial" w:eastAsia="Arial" w:hAnsi="Arial"/>
                <w:sz w:val="18"/>
                <w:szCs w:val="18"/>
                <w:color w:val="auto"/>
              </w:rPr>
              <w:t>May 10, 2019</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STEVEN L. KELLER</w:t>
            </w:r>
          </w:p>
        </w:tc>
      </w:tr>
      <w:tr>
        <w:trPr>
          <w:trHeight w:val="195"/>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4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3980" w:type="dxa"/>
            <w:vAlign w:val="bottom"/>
          </w:tcPr>
          <w:p>
            <w:pPr>
              <w:spacing w:after="0"/>
              <w:rPr>
                <w:sz w:val="24"/>
                <w:szCs w:val="24"/>
                <w:color w:val="auto"/>
              </w:rPr>
            </w:pPr>
          </w:p>
        </w:tc>
      </w:tr>
    </w:tbl>
    <w:p>
      <w:pPr>
        <w:sectPr>
          <w:pgSz w:w="11900" w:h="16838" w:orient="portrait"/>
          <w:cols w:equalWidth="0" w:num="1">
            <w:col w:w="11280"/>
          </w:cols>
          <w:pgMar w:left="240" w:top="118"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378"/>
        <w:spacing w:after="0" w:line="264" w:lineRule="auto"/>
        <w:tabs>
          <w:tab w:leader="none" w:pos="79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393"/>
        <w:spacing w:after="0" w:line="264" w:lineRule="auto"/>
        <w:tabs>
          <w:tab w:leader="none" w:pos="898"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397"/>
        <w:spacing w:after="0" w:line="308" w:lineRule="auto"/>
        <w:tabs>
          <w:tab w:leader="none" w:pos="975" w:val="left"/>
        </w:tabs>
        <w:numPr>
          <w:ilvl w:val="2"/>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 w:firstLine="394"/>
        <w:spacing w:after="0" w:line="264" w:lineRule="auto"/>
        <w:tabs>
          <w:tab w:leader="none" w:pos="965"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05"/>
        <w:spacing w:after="0" w:line="277" w:lineRule="auto"/>
        <w:tabs>
          <w:tab w:leader="none" w:pos="1026"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392"/>
        <w:spacing w:after="0" w:line="277" w:lineRule="auto"/>
        <w:tabs>
          <w:tab w:leader="none" w:pos="941"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2019</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378"/>
        <w:spacing w:after="0" w:line="264" w:lineRule="auto"/>
        <w:tabs>
          <w:tab w:leader="none" w:pos="79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393"/>
        <w:spacing w:after="0" w:line="264" w:lineRule="auto"/>
        <w:tabs>
          <w:tab w:leader="none" w:pos="898"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397"/>
        <w:spacing w:after="0" w:line="308" w:lineRule="auto"/>
        <w:tabs>
          <w:tab w:leader="none" w:pos="975" w:val="left"/>
        </w:tabs>
        <w:numPr>
          <w:ilvl w:val="2"/>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 w:firstLine="394"/>
        <w:spacing w:after="0" w:line="264" w:lineRule="auto"/>
        <w:tabs>
          <w:tab w:leader="none" w:pos="965" w:val="left"/>
        </w:tabs>
        <w:numPr>
          <w:ilvl w:val="2"/>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05"/>
        <w:spacing w:after="0" w:line="277" w:lineRule="auto"/>
        <w:tabs>
          <w:tab w:leader="none" w:pos="1026"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392"/>
        <w:spacing w:after="0" w:line="277" w:lineRule="auto"/>
        <w:tabs>
          <w:tab w:leader="none" w:pos="94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2019</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2019,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w w:val="91"/>
              </w:rPr>
              <w:t>President, Chief Executive Officer and Chairman of</w:t>
            </w: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the Board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spacing w:after="0"/>
              <w:rPr>
                <w:sz w:val="20"/>
                <w:szCs w:val="20"/>
                <w:color w:val="auto"/>
              </w:rPr>
            </w:pPr>
            <w:r>
              <w:rPr>
                <w:rFonts w:ascii="Arial" w:cs="Arial" w:eastAsia="Arial" w:hAnsi="Arial"/>
                <w:sz w:val="18"/>
                <w:szCs w:val="18"/>
                <w:color w:val="auto"/>
              </w:rPr>
              <w:t>May 10, 2019</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740" w:type="dxa"/>
            <w:vAlign w:val="bottom"/>
          </w:tcPr>
          <w:p>
            <w:pPr>
              <w:spacing w:after="0"/>
              <w:rPr>
                <w:sz w:val="20"/>
                <w:szCs w:val="20"/>
                <w:color w:val="auto"/>
              </w:rPr>
            </w:pPr>
            <w:r>
              <w:rPr>
                <w:rFonts w:ascii="Arial" w:cs="Arial" w:eastAsia="Arial" w:hAnsi="Arial"/>
                <w:sz w:val="18"/>
                <w:szCs w:val="18"/>
                <w:color w:val="auto"/>
              </w:rPr>
              <w:t>May 10, 2019</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0" Type="http://schemas.openxmlformats.org/officeDocument/2006/relationships/hyperlink" Target="http://www.sec.gov/Archives/edgar/data/1012019/000110465908051789/a08-18770_1ex3d1.htm" TargetMode="External"/><Relationship Id="rId31" Type="http://schemas.openxmlformats.org/officeDocument/2006/relationships/hyperlink" Target="http://www.sec.gov/Archives/edgar/data/1012019/000143774913006455/rusha20130517_8kex3-1.htm" TargetMode="External"/><Relationship Id="rId32" Type="http://schemas.openxmlformats.org/officeDocument/2006/relationships/hyperlink" Target="http://www.sec.gov/Archives/edgar/data/1012019/000143774919008424/ex_142492.htm" TargetMode="External"/><Relationship Id="rId33" Type="http://schemas.openxmlformats.org/officeDocument/2006/relationships/hyperlink" Target="http://www.sec.gov/Archives/edgar/data/1012019/000143774919008424/ex_142493.htm" TargetMode="External"/><Relationship Id="rId34" Type="http://schemas.openxmlformats.org/officeDocument/2006/relationships/hyperlink" Target="http://www.sec.gov/Archives/edgar/data/1012019/000143774919008424/ex_1424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2019-12-28T12:05:53Z</dcterms:created>
  <dcterms:modified xsi:type="dcterms:W3CDTF">2019-12-28T12:05:53Z</dcterms:modified>
</cp:coreProperties>
</file>