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usha20251231_10k.htm"/>
      <w:bookmarkStart w:id="1" w:name="ksrusha20251231_10k"/>
      <w:bookmarkEnd w:id="0"/>
      <w:bookmarkEnd w:id="1"/>
      <w:r>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REPORT PURSUANT TO SECTION 13 OR 15(d) OF THE SECURITIES EXCHANGE ACT OF 1934</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fiscal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230"/>
        <w:gridCol w:w="9200"/>
      </w:tblGrid>
      <w:tr>
        <w:trPr/>
        <w:tc>
          <w:tcPr>
            <w:tcW w:w="230"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TRANSITION REPORT PURSANT TO SECTION 13 OR 15(d) OF THE SECURITIES EXCHANGE ACT OF 1934</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0-20797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RUSH ENTERPRISES,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5600"/>
        <w:gridCol w:w="3440"/>
      </w:tblGrid>
      <w:tr>
        <w:trPr/>
        <w:tc>
          <w:tcPr>
            <w:tcW w:w="5600" w:type="dxa"/>
            <w:tcBorders/>
            <w:vAlign w:val="center"/>
          </w:tcPr>
          <w:p>
            <w:pPr>
              <w:pStyle w:val="TableContents"/>
              <w:bidi w:val="0"/>
              <w:spacing w:before="0" w:after="283"/>
              <w:jc w:val="center"/>
              <w:rPr>
                <w:b/>
              </w:rPr>
            </w:pPr>
            <w:r>
              <w:rPr>
                <w:b/>
              </w:rPr>
              <w:t>Texas</w:t>
            </w:r>
          </w:p>
        </w:tc>
        <w:tc>
          <w:tcPr>
            <w:tcW w:w="3440" w:type="dxa"/>
            <w:tcBorders/>
            <w:vAlign w:val="center"/>
          </w:tcPr>
          <w:p>
            <w:pPr>
              <w:pStyle w:val="TableContents"/>
              <w:bidi w:val="0"/>
              <w:spacing w:before="0" w:after="283"/>
              <w:jc w:val="center"/>
              <w:rPr>
                <w:b/>
              </w:rPr>
            </w:pPr>
            <w:r>
              <w:rPr>
                <w:b/>
              </w:rPr>
              <w:t>74-1733016</w:t>
            </w:r>
          </w:p>
        </w:tc>
      </w:tr>
      <w:tr>
        <w:trPr/>
        <w:tc>
          <w:tcPr>
            <w:tcW w:w="5600" w:type="dxa"/>
            <w:tcBorders/>
            <w:vAlign w:val="center"/>
          </w:tcPr>
          <w:p>
            <w:pPr>
              <w:pStyle w:val="TableContents"/>
              <w:bidi w:val="0"/>
              <w:spacing w:before="0" w:after="283"/>
              <w:jc w:val="center"/>
              <w:rPr/>
            </w:pPr>
            <w:r>
              <w:rPr/>
              <w:t>(State or other jurisdiction of incorporation or organization)</w:t>
            </w:r>
          </w:p>
        </w:tc>
        <w:tc>
          <w:tcPr>
            <w:tcW w:w="3440" w:type="dxa"/>
            <w:tcBorders/>
            <w:vAlign w:val="center"/>
          </w:tcPr>
          <w:p>
            <w:pPr>
              <w:pStyle w:val="TableContents"/>
              <w:bidi w:val="0"/>
              <w:spacing w:before="0" w:after="283"/>
              <w:jc w:val="center"/>
              <w:rPr/>
            </w:pPr>
            <w:r>
              <w:rPr/>
              <w:t>(I.R.S. Employer Identification No.)</w:t>
            </w:r>
          </w:p>
        </w:tc>
      </w:tr>
      <w:tr>
        <w:trPr/>
        <w:tc>
          <w:tcPr>
            <w:tcW w:w="5600" w:type="dxa"/>
            <w:tcBorders/>
            <w:vAlign w:val="center"/>
          </w:tcPr>
          <w:p>
            <w:pPr>
              <w:pStyle w:val="TableContents"/>
              <w:bidi w:val="0"/>
              <w:spacing w:before="0" w:after="283"/>
              <w:jc w:val="center"/>
              <w:rPr/>
            </w:pPr>
            <w:r>
              <w:rPr/>
              <w:t> </w:t>
            </w:r>
          </w:p>
        </w:tc>
        <w:tc>
          <w:tcPr>
            <w:tcW w:w="3440" w:type="dxa"/>
            <w:tcBorders/>
            <w:vAlign w:val="center"/>
          </w:tcPr>
          <w:p>
            <w:pPr>
              <w:pStyle w:val="TableContents"/>
              <w:bidi w:val="0"/>
              <w:spacing w:before="0" w:after="283"/>
              <w:jc w:val="center"/>
              <w:rPr/>
            </w:pPr>
            <w:r>
              <w:rPr/>
              <w:t> </w:t>
            </w:r>
          </w:p>
        </w:tc>
      </w:tr>
      <w:tr>
        <w:trPr/>
        <w:tc>
          <w:tcPr>
            <w:tcW w:w="5600" w:type="dxa"/>
            <w:tcBorders/>
            <w:vAlign w:val="center"/>
          </w:tcPr>
          <w:p>
            <w:pPr>
              <w:pStyle w:val="TableContents"/>
              <w:bidi w:val="0"/>
              <w:spacing w:before="0" w:after="283"/>
              <w:jc w:val="center"/>
              <w:rPr>
                <w:b/>
              </w:rPr>
            </w:pPr>
            <w:r>
              <w:rPr>
                <w:b/>
              </w:rPr>
              <w:t>555 IH 35 South, New Braunfels, TX</w:t>
            </w:r>
          </w:p>
        </w:tc>
        <w:tc>
          <w:tcPr>
            <w:tcW w:w="3440" w:type="dxa"/>
            <w:tcBorders/>
            <w:vAlign w:val="center"/>
          </w:tcPr>
          <w:p>
            <w:pPr>
              <w:pStyle w:val="TableContents"/>
              <w:bidi w:val="0"/>
              <w:spacing w:before="0" w:after="283"/>
              <w:jc w:val="center"/>
              <w:rPr>
                <w:b/>
              </w:rPr>
            </w:pPr>
            <w:r>
              <w:rPr>
                <w:b/>
              </w:rPr>
              <w:t>78130</w:t>
            </w:r>
          </w:p>
        </w:tc>
      </w:tr>
      <w:tr>
        <w:trPr/>
        <w:tc>
          <w:tcPr>
            <w:tcW w:w="5600" w:type="dxa"/>
            <w:tcBorders/>
            <w:vAlign w:val="center"/>
          </w:tcPr>
          <w:p>
            <w:pPr>
              <w:pStyle w:val="TableContents"/>
              <w:bidi w:val="0"/>
              <w:spacing w:before="0" w:after="283"/>
              <w:jc w:val="center"/>
              <w:rPr/>
            </w:pPr>
            <w:r>
              <w:rPr/>
              <w:t>(Address of principal executive offices)</w:t>
            </w:r>
          </w:p>
        </w:tc>
        <w:tc>
          <w:tcPr>
            <w:tcW w:w="3440"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b/>
          <w:caps w:val="false"/>
          <w:smallCaps w:val="false"/>
          <w:sz w:val="20"/>
        </w:rPr>
        <w:t>830) 302-5200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7" w:type="dxa"/>
        <w:tblLayout w:type="fixed"/>
        <w:tblCellMar>
          <w:top w:w="28" w:type="dxa"/>
          <w:left w:w="28" w:type="dxa"/>
          <w:bottom w:w="28" w:type="dxa"/>
          <w:right w:w="28" w:type="dxa"/>
        </w:tblCellMar>
      </w:tblPr>
      <w:tblGrid>
        <w:gridCol w:w="3390"/>
        <w:gridCol w:w="1535"/>
        <w:gridCol w:w="3575"/>
      </w:tblGrid>
      <w:tr>
        <w:trPr/>
        <w:tc>
          <w:tcPr>
            <w:tcW w:w="33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39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firstLine="100"/>
              <w:jc w:val="center"/>
              <w:rPr>
                <w:rFonts w:ascii="Times New Roman" w:hAnsi="Times New Roman"/>
                <w:caps w:val="false"/>
                <w:smallCaps w:val="false"/>
                <w:sz w:val="20"/>
              </w:rPr>
            </w:pPr>
            <w:r>
              <w:rPr>
                <w:rFonts w:ascii="Times New Roman" w:hAnsi="Times New Roman"/>
                <w:caps w:val="false"/>
                <w:smallCaps w:val="false"/>
                <w:sz w:val="20"/>
              </w:rPr>
              <w:t>Class A Common Stock, $0.01 par value</w:t>
            </w:r>
          </w:p>
        </w:tc>
        <w:tc>
          <w:tcPr>
            <w:tcW w:w="1535" w:type="dxa"/>
            <w:tcBorders>
              <w:right w:val="single" w:sz="2" w:space="0" w:color="000000"/>
            </w:tcBorders>
            <w:tcMar>
              <w:top w:w="0" w:type="dxa"/>
              <w:left w:w="0" w:type="dxa"/>
              <w:bottom w:w="0" w:type="dxa"/>
            </w:tcMar>
            <w:vAlign w:val="center"/>
          </w:tcPr>
          <w:p>
            <w:pPr>
              <w:pStyle w:val="TableContents"/>
              <w:bidi w:val="0"/>
              <w:spacing w:before="0" w:after="0"/>
              <w:ind w:left="0" w:right="0" w:firstLine="20"/>
              <w:jc w:val="center"/>
              <w:rPr>
                <w:rFonts w:ascii="Times New Roman" w:hAnsi="Times New Roman"/>
                <w:caps w:val="false"/>
                <w:smallCaps w:val="false"/>
                <w:sz w:val="20"/>
              </w:rPr>
            </w:pPr>
            <w:r>
              <w:rPr>
                <w:rFonts w:ascii="Times New Roman" w:hAnsi="Times New Roman"/>
                <w:caps w:val="false"/>
                <w:smallCaps w:val="false"/>
                <w:sz w:val="20"/>
              </w:rPr>
              <w:t>RUSHA</w:t>
            </w:r>
          </w:p>
        </w:tc>
        <w:tc>
          <w:tcPr>
            <w:tcW w:w="3575"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r>
        <w:trPr/>
        <w:tc>
          <w:tcPr>
            <w:tcW w:w="3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100"/>
              <w:jc w:val="center"/>
              <w:rPr>
                <w:rFonts w:ascii="Times New Roman" w:hAnsi="Times New Roman"/>
                <w:caps w:val="false"/>
                <w:smallCaps w:val="false"/>
                <w:sz w:val="20"/>
              </w:rPr>
            </w:pPr>
            <w:r>
              <w:rPr>
                <w:rFonts w:ascii="Times New Roman" w:hAnsi="Times New Roman"/>
                <w:caps w:val="false"/>
                <w:smallCaps w:val="false"/>
                <w:sz w:val="20"/>
              </w:rPr>
              <w:t>Class B Common Stock, $0.01 par value</w:t>
            </w:r>
          </w:p>
        </w:tc>
        <w:tc>
          <w:tcPr>
            <w:tcW w:w="153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RUSHB</w:t>
            </w:r>
          </w:p>
        </w:tc>
        <w:tc>
          <w:tcPr>
            <w:tcW w:w="35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12(g) of the Act: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Section 15(d)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450" w:type="dxa"/>
        <w:jc w:val="left"/>
        <w:tblInd w:w="0" w:type="dxa"/>
        <w:tblLayout w:type="fixed"/>
        <w:tblCellMar>
          <w:top w:w="0" w:type="dxa"/>
          <w:left w:w="0" w:type="dxa"/>
          <w:bottom w:w="0" w:type="dxa"/>
          <w:right w:w="0" w:type="dxa"/>
        </w:tblCellMar>
      </w:tblPr>
      <w:tblGrid>
        <w:gridCol w:w="2255"/>
        <w:gridCol w:w="230"/>
        <w:gridCol w:w="2735"/>
        <w:gridCol w:w="230"/>
      </w:tblGrid>
      <w:tr>
        <w:trPr/>
        <w:tc>
          <w:tcPr>
            <w:tcW w:w="225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left"/>
              <w:rPr/>
            </w:pPr>
            <w:r>
              <w:rPr/>
              <w:t>Accelerated Filer</w:t>
            </w:r>
          </w:p>
        </w:tc>
        <w:tc>
          <w:tcPr>
            <w:tcW w:w="230" w:type="dxa"/>
            <w:tcBorders/>
            <w:vAlign w:val="center"/>
          </w:tcPr>
          <w:p>
            <w:pPr>
              <w:pStyle w:val="TableContents"/>
              <w:bidi w:val="0"/>
              <w:spacing w:before="0" w:after="283"/>
              <w:jc w:val="left"/>
              <w:rPr/>
            </w:pPr>
            <w:r>
              <w:rPr/>
              <w:t>☐</w:t>
            </w:r>
          </w:p>
        </w:tc>
      </w:tr>
      <w:tr>
        <w:trPr/>
        <w:tc>
          <w:tcPr>
            <w:tcW w:w="225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left"/>
              <w:rPr/>
            </w:pPr>
            <w:r>
              <w:rPr/>
              <w:t>Smaller Reporting Company</w:t>
            </w:r>
          </w:p>
        </w:tc>
        <w:tc>
          <w:tcPr>
            <w:tcW w:w="230" w:type="dxa"/>
            <w:tcBorders/>
            <w:vAlign w:val="center"/>
          </w:tcPr>
          <w:p>
            <w:pPr>
              <w:pStyle w:val="TableContents"/>
              <w:bidi w:val="0"/>
              <w:spacing w:before="0" w:after="283"/>
              <w:jc w:val="left"/>
              <w:rPr/>
            </w:pPr>
            <w:r>
              <w:rPr/>
              <w:t>☐</w:t>
            </w:r>
          </w:p>
        </w:tc>
      </w:tr>
      <w:tr>
        <w:trPr/>
        <w:tc>
          <w:tcPr>
            <w:tcW w:w="22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Emerging Growth Company</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lineRule="auto" w:line="288"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aggregate market value of common stock held by non-affiliates of the registrant as of June 30, 2025, was approximately $3,565,130,872 based upon the last sales price on June 30, 2025, on The NASDAQ Global Select Market SM of $51.51 for the registrant’s Class A common stock and $52.48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registrant had 60,503,266 shares Class A common stock and 16,437,909 shares of Class B common stock outstanding on February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DOCUMENTS INCORPORATED BY REFERENCE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Portions of registrant</w:t>
      </w:r>
      <w:r>
        <w:rPr>
          <w:rFonts w:ascii="Times New Roman" w:hAnsi="Times New Roman"/>
          <w:caps w:val="false"/>
          <w:smallCaps w:val="false"/>
          <w:sz w:val="20"/>
        </w:rPr>
        <w:t>’</w:t>
      </w:r>
      <w:r>
        <w:rPr>
          <w:rFonts w:ascii="Times New Roman" w:hAnsi="Times New Roman"/>
          <w:b/>
          <w:caps w:val="false"/>
          <w:smallCaps w:val="false"/>
          <w:sz w:val="20"/>
        </w:rPr>
        <w:t>s definitive proxy statement for the registrant</w:t>
      </w:r>
      <w:r>
        <w:rPr>
          <w:rFonts w:ascii="Times New Roman" w:hAnsi="Times New Roman"/>
          <w:caps w:val="false"/>
          <w:smallCaps w:val="false"/>
          <w:sz w:val="20"/>
        </w:rPr>
        <w:t>’</w:t>
      </w:r>
      <w:r>
        <w:rPr>
          <w:rFonts w:ascii="Times New Roman" w:hAnsi="Times New Roman"/>
          <w:b/>
          <w:caps w:val="false"/>
          <w:smallCaps w:val="false"/>
          <w:sz w:val="20"/>
        </w:rPr>
        <w:t>s 2026 Annual Meeting of Shareholders, to be filed with the Securities and Exchange Commission not later than 120 days after December 31, 2025, are incorporated by reference into Part III of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RUSH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8"/>
        <w:gridCol w:w="8586"/>
        <w:gridCol w:w="971"/>
      </w:tblGrid>
      <w:tr>
        <w:trPr/>
        <w:tc>
          <w:tcPr>
            <w:tcW w:w="648"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8586"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center"/>
              <w:rPr/>
            </w:pPr>
            <w:r>
              <w:rPr/>
              <w:t> </w:t>
            </w:r>
            <w:r>
              <w:rPr>
                <w:b/>
                <w:u w:val="single"/>
              </w:rPr>
              <w:t>Page No.</w:t>
            </w:r>
          </w:p>
        </w:tc>
      </w:tr>
      <w:tr>
        <w:trPr/>
        <w:tc>
          <w:tcPr>
            <w:tcW w:w="648" w:type="dxa"/>
            <w:tcBorders/>
            <w:vAlign w:val="center"/>
          </w:tcPr>
          <w:p>
            <w:pPr>
              <w:pStyle w:val="TableContents"/>
              <w:bidi w:val="0"/>
              <w:spacing w:before="0" w:after="283"/>
              <w:jc w:val="left"/>
              <w:rPr/>
            </w:pPr>
            <w:r>
              <w:rPr/>
              <w:t> </w:t>
            </w:r>
          </w:p>
        </w:tc>
        <w:tc>
          <w:tcPr>
            <w:tcW w:w="8586"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0"/>
              <w:ind w:left="0" w:right="0" w:hanging="0"/>
              <w:jc w:val="center"/>
              <w:rPr/>
            </w:pPr>
            <w:hyperlink w:anchor="pone">
              <w:r>
                <w:rPr>
                  <w:rStyle w:val="InternetLink"/>
                  <w:rFonts w:ascii="Times New Roman" w:hAnsi="Times New Roman"/>
                  <w:b/>
                  <w:caps w:val="false"/>
                  <w:smallCaps w:val="false"/>
                  <w:sz w:val="20"/>
                </w:rPr>
                <w:t>Part I</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w:t>
            </w:r>
          </w:p>
        </w:tc>
        <w:tc>
          <w:tcPr>
            <w:tcW w:w="8586" w:type="dxa"/>
            <w:tcBorders/>
            <w:vAlign w:val="center"/>
          </w:tcPr>
          <w:p>
            <w:pPr>
              <w:pStyle w:val="TableContents"/>
              <w:bidi w:val="0"/>
              <w:spacing w:before="0" w:after="0"/>
              <w:ind w:left="0" w:right="0" w:hanging="0"/>
              <w:jc w:val="both"/>
              <w:rPr/>
            </w:pPr>
            <w:hyperlink w:anchor="business">
              <w:r>
                <w:rPr>
                  <w:rStyle w:val="InternetLink"/>
                  <w:rFonts w:ascii="Times New Roman" w:hAnsi="Times New Roman"/>
                  <w:caps w:val="false"/>
                  <w:smallCaps w:val="false"/>
                  <w:sz w:val="20"/>
                </w:rPr>
                <w:t>Business</w:t>
              </w:r>
            </w:hyperlink>
          </w:p>
        </w:tc>
        <w:tc>
          <w:tcPr>
            <w:tcW w:w="971" w:type="dxa"/>
            <w:tcBorders/>
            <w:vAlign w:val="center"/>
          </w:tcPr>
          <w:p>
            <w:pPr>
              <w:pStyle w:val="TableContents"/>
              <w:bidi w:val="0"/>
              <w:spacing w:before="0" w:after="0"/>
              <w:ind w:left="0" w:right="0" w:hanging="0"/>
              <w:jc w:val="right"/>
              <w:rPr/>
            </w:pPr>
            <w:hyperlink w:anchor="pone">
              <w:r>
                <w:rPr>
                  <w:rStyle w:val="InternetLink"/>
                  <w:rFonts w:ascii="Times New Roman" w:hAnsi="Times New Roman"/>
                  <w:caps w:val="false"/>
                  <w:smallCaps w:val="false"/>
                  <w:sz w:val="20"/>
                </w:rPr>
                <w:t>4</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1A</w:t>
            </w:r>
          </w:p>
        </w:tc>
        <w:tc>
          <w:tcPr>
            <w:tcW w:w="8586" w:type="dxa"/>
            <w:tcBorders/>
            <w:vAlign w:val="center"/>
          </w:tcPr>
          <w:p>
            <w:pPr>
              <w:pStyle w:val="TableContents"/>
              <w:bidi w:val="0"/>
              <w:spacing w:before="0" w:after="0"/>
              <w:ind w:left="0" w:right="0" w:hanging="0"/>
              <w:jc w:val="both"/>
              <w:rPr/>
            </w:pPr>
            <w:hyperlink w:anchor="risk">
              <w:r>
                <w:rPr>
                  <w:rStyle w:val="InternetLink"/>
                  <w:rFonts w:ascii="Times New Roman" w:hAnsi="Times New Roman"/>
                  <w:caps w:val="false"/>
                  <w:smallCaps w:val="false"/>
                  <w:sz w:val="20"/>
                </w:rPr>
                <w:t>Risk Factors</w:t>
              </w:r>
            </w:hyperlink>
          </w:p>
        </w:tc>
        <w:tc>
          <w:tcPr>
            <w:tcW w:w="971"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17</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1B</w:t>
            </w:r>
          </w:p>
        </w:tc>
        <w:tc>
          <w:tcPr>
            <w:tcW w:w="8586" w:type="dxa"/>
            <w:tcBorders/>
            <w:vAlign w:val="center"/>
          </w:tcPr>
          <w:p>
            <w:pPr>
              <w:pStyle w:val="TableContents"/>
              <w:bidi w:val="0"/>
              <w:spacing w:before="0" w:after="0"/>
              <w:ind w:left="0" w:right="0" w:hanging="0"/>
              <w:jc w:val="both"/>
              <w:rPr/>
            </w:pPr>
            <w:hyperlink w:anchor="unres">
              <w:r>
                <w:rPr>
                  <w:rStyle w:val="InternetLink"/>
                  <w:rFonts w:ascii="Times New Roman" w:hAnsi="Times New Roman"/>
                  <w:caps w:val="false"/>
                  <w:smallCaps w:val="false"/>
                  <w:sz w:val="20"/>
                </w:rPr>
                <w:t>Unresolved Staff Comments</w:t>
              </w:r>
            </w:hyperlink>
          </w:p>
        </w:tc>
        <w:tc>
          <w:tcPr>
            <w:tcW w:w="971" w:type="dxa"/>
            <w:tcBorders/>
            <w:vAlign w:val="center"/>
          </w:tcPr>
          <w:p>
            <w:pPr>
              <w:pStyle w:val="TableContents"/>
              <w:bidi w:val="0"/>
              <w:spacing w:before="0" w:after="0"/>
              <w:ind w:left="0" w:right="0" w:hanging="0"/>
              <w:jc w:val="right"/>
              <w:rPr/>
            </w:pPr>
            <w:hyperlink w:anchor="unres">
              <w:r>
                <w:rPr>
                  <w:rStyle w:val="InternetLink"/>
                  <w:rFonts w:ascii="Times New Roman" w:hAnsi="Times New Roman"/>
                  <w:caps w:val="false"/>
                  <w:smallCaps w:val="false"/>
                  <w:sz w:val="20"/>
                </w:rPr>
                <w:t>27</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1C</w:t>
            </w:r>
          </w:p>
        </w:tc>
        <w:tc>
          <w:tcPr>
            <w:tcW w:w="8586" w:type="dxa"/>
            <w:tcBorders/>
            <w:vAlign w:val="center"/>
          </w:tcPr>
          <w:p>
            <w:pPr>
              <w:pStyle w:val="TableContents"/>
              <w:bidi w:val="0"/>
              <w:spacing w:before="0" w:after="0"/>
              <w:ind w:left="0" w:right="0" w:hanging="0"/>
              <w:jc w:val="both"/>
              <w:rPr/>
            </w:pPr>
            <w:hyperlink w:anchor="cyber">
              <w:r>
                <w:rPr>
                  <w:rStyle w:val="InternetLink"/>
                  <w:rFonts w:ascii="Times New Roman" w:hAnsi="Times New Roman"/>
                  <w:caps w:val="false"/>
                  <w:smallCaps w:val="false"/>
                  <w:sz w:val="20"/>
                </w:rPr>
                <w:t>Cybersecurity</w:t>
              </w:r>
            </w:hyperlink>
          </w:p>
        </w:tc>
        <w:tc>
          <w:tcPr>
            <w:tcW w:w="971" w:type="dxa"/>
            <w:tcBorders/>
            <w:vAlign w:val="center"/>
          </w:tcPr>
          <w:p>
            <w:pPr>
              <w:pStyle w:val="TableContents"/>
              <w:bidi w:val="0"/>
              <w:spacing w:before="0" w:after="0"/>
              <w:ind w:left="0" w:right="0" w:hanging="0"/>
              <w:jc w:val="right"/>
              <w:rPr/>
            </w:pPr>
            <w:hyperlink w:anchor="cyber">
              <w:r>
                <w:rPr>
                  <w:rStyle w:val="InternetLink"/>
                  <w:rFonts w:ascii="Times New Roman" w:hAnsi="Times New Roman"/>
                  <w:caps w:val="false"/>
                  <w:smallCaps w:val="false"/>
                  <w:sz w:val="20"/>
                </w:rPr>
                <w:t>27</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2</w:t>
            </w:r>
          </w:p>
        </w:tc>
        <w:tc>
          <w:tcPr>
            <w:tcW w:w="8586" w:type="dxa"/>
            <w:tcBorders/>
            <w:vAlign w:val="center"/>
          </w:tcPr>
          <w:p>
            <w:pPr>
              <w:pStyle w:val="TableContents"/>
              <w:bidi w:val="0"/>
              <w:spacing w:before="0" w:after="0"/>
              <w:ind w:left="0" w:right="0" w:hanging="0"/>
              <w:jc w:val="both"/>
              <w:rPr/>
            </w:pPr>
            <w:hyperlink w:anchor="props">
              <w:r>
                <w:rPr>
                  <w:rStyle w:val="InternetLink"/>
                  <w:rFonts w:ascii="Times New Roman" w:hAnsi="Times New Roman"/>
                  <w:caps w:val="false"/>
                  <w:smallCaps w:val="false"/>
                  <w:sz w:val="20"/>
                </w:rPr>
                <w:t>Properties</w:t>
              </w:r>
            </w:hyperlink>
          </w:p>
        </w:tc>
        <w:tc>
          <w:tcPr>
            <w:tcW w:w="971" w:type="dxa"/>
            <w:tcBorders/>
            <w:vAlign w:val="center"/>
          </w:tcPr>
          <w:p>
            <w:pPr>
              <w:pStyle w:val="TableContents"/>
              <w:bidi w:val="0"/>
              <w:spacing w:before="0" w:after="0"/>
              <w:ind w:left="0" w:right="0" w:hanging="0"/>
              <w:jc w:val="right"/>
              <w:rPr/>
            </w:pPr>
            <w:hyperlink w:anchor="props">
              <w:r>
                <w:rPr>
                  <w:rStyle w:val="InternetLink"/>
                  <w:rFonts w:ascii="Times New Roman" w:hAnsi="Times New Roman"/>
                  <w:caps w:val="false"/>
                  <w:smallCaps w:val="false"/>
                  <w:sz w:val="20"/>
                </w:rPr>
                <w:t>28</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3</w:t>
            </w:r>
          </w:p>
        </w:tc>
        <w:tc>
          <w:tcPr>
            <w:tcW w:w="8586" w:type="dxa"/>
            <w:tcBorders/>
            <w:vAlign w:val="center"/>
          </w:tcPr>
          <w:p>
            <w:pPr>
              <w:pStyle w:val="TableContents"/>
              <w:bidi w:val="0"/>
              <w:spacing w:before="0" w:after="0"/>
              <w:ind w:left="0" w:right="0" w:hanging="0"/>
              <w:jc w:val="both"/>
              <w:rPr/>
            </w:pPr>
            <w:hyperlink w:anchor="legal">
              <w:r>
                <w:rPr>
                  <w:rStyle w:val="InternetLink"/>
                  <w:rFonts w:ascii="Times New Roman" w:hAnsi="Times New Roman"/>
                  <w:caps w:val="false"/>
                  <w:smallCaps w:val="false"/>
                  <w:sz w:val="20"/>
                </w:rPr>
                <w:t>Legal Proceedings</w:t>
              </w:r>
            </w:hyperlink>
          </w:p>
        </w:tc>
        <w:tc>
          <w:tcPr>
            <w:tcW w:w="971"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28</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4</w:t>
            </w:r>
          </w:p>
        </w:tc>
        <w:tc>
          <w:tcPr>
            <w:tcW w:w="8586" w:type="dxa"/>
            <w:tcBorders/>
            <w:vAlign w:val="center"/>
          </w:tcPr>
          <w:p>
            <w:pPr>
              <w:pStyle w:val="TableContents"/>
              <w:bidi w:val="0"/>
              <w:spacing w:before="0" w:after="0"/>
              <w:ind w:left="0" w:right="0" w:hanging="0"/>
              <w:jc w:val="both"/>
              <w:rPr/>
            </w:pPr>
            <w:hyperlink w:anchor="mine">
              <w:r>
                <w:rPr>
                  <w:rStyle w:val="InternetLink"/>
                  <w:rFonts w:ascii="Times New Roman" w:hAnsi="Times New Roman"/>
                  <w:caps w:val="false"/>
                  <w:smallCaps w:val="false"/>
                  <w:sz w:val="20"/>
                </w:rPr>
                <w:t>Mine Safety Disclosures</w:t>
              </w:r>
            </w:hyperlink>
          </w:p>
        </w:tc>
        <w:tc>
          <w:tcPr>
            <w:tcW w:w="971"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28</w:t>
              </w:r>
            </w:hyperlink>
          </w:p>
        </w:tc>
      </w:tr>
      <w:tr>
        <w:trPr/>
        <w:tc>
          <w:tcPr>
            <w:tcW w:w="648" w:type="dxa"/>
            <w:tcBorders/>
            <w:vAlign w:val="center"/>
          </w:tcPr>
          <w:p>
            <w:pPr>
              <w:pStyle w:val="TableContents"/>
              <w:bidi w:val="0"/>
              <w:spacing w:before="0" w:after="283"/>
              <w:jc w:val="left"/>
              <w:rPr/>
            </w:pPr>
            <w:r>
              <w:rPr/>
              <w:t> </w:t>
            </w:r>
          </w:p>
        </w:tc>
        <w:tc>
          <w:tcPr>
            <w:tcW w:w="8586"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0"/>
              <w:ind w:left="0" w:right="0" w:hanging="0"/>
              <w:jc w:val="center"/>
              <w:rPr/>
            </w:pPr>
            <w:hyperlink w:anchor="ptwo">
              <w:r>
                <w:rPr>
                  <w:rStyle w:val="InternetLink"/>
                  <w:rFonts w:ascii="Times New Roman" w:hAnsi="Times New Roman"/>
                  <w:b/>
                  <w:caps w:val="false"/>
                  <w:smallCaps w:val="false"/>
                  <w:sz w:val="20"/>
                </w:rPr>
                <w:t>Part II</w:t>
              </w:r>
            </w:hyperlink>
          </w:p>
        </w:tc>
      </w:tr>
      <w:tr>
        <w:trPr/>
        <w:tc>
          <w:tcPr>
            <w:tcW w:w="648" w:type="dxa"/>
            <w:tcBorders/>
            <w:vAlign w:val="center"/>
          </w:tcPr>
          <w:p>
            <w:pPr>
              <w:pStyle w:val="TableContents"/>
              <w:bidi w:val="0"/>
              <w:spacing w:before="0" w:after="283"/>
              <w:jc w:val="left"/>
              <w:rPr/>
            </w:pPr>
            <w:r>
              <w:rPr/>
              <w:t> </w:t>
            </w:r>
          </w:p>
        </w:tc>
        <w:tc>
          <w:tcPr>
            <w:tcW w:w="8586"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5</w:t>
            </w:r>
          </w:p>
        </w:tc>
        <w:tc>
          <w:tcPr>
            <w:tcW w:w="8586" w:type="dxa"/>
            <w:tcBorders/>
            <w:vAlign w:val="center"/>
          </w:tcPr>
          <w:p>
            <w:pPr>
              <w:pStyle w:val="TableContents"/>
              <w:bidi w:val="0"/>
              <w:spacing w:before="0" w:after="0"/>
              <w:ind w:left="0" w:right="0" w:hanging="0"/>
              <w:jc w:val="both"/>
              <w:rPr/>
            </w:pPr>
            <w:hyperlink w:anchor="market">
              <w:r>
                <w:rPr>
                  <w:rStyle w:val="InternetLink"/>
                  <w:rFonts w:ascii="Times New Roman" w:hAnsi="Times New Roman"/>
                  <w:caps w:val="false"/>
                  <w:smallCaps w:val="false"/>
                  <w:sz w:val="20"/>
                </w:rPr>
                <w:t>Market for Registrant’s Common Equity, Related Shareholder Matters and Issuer Purchases of Equity Securities</w:t>
              </w:r>
            </w:hyperlink>
          </w:p>
        </w:tc>
        <w:tc>
          <w:tcPr>
            <w:tcW w:w="971" w:type="dxa"/>
            <w:tcBorders/>
            <w:vAlign w:val="center"/>
          </w:tcPr>
          <w:p>
            <w:pPr>
              <w:pStyle w:val="TableContents"/>
              <w:bidi w:val="0"/>
              <w:spacing w:before="0" w:after="283"/>
              <w:jc w:val="right"/>
              <w:rPr/>
            </w:pPr>
            <w:hyperlink w:anchor="market">
              <w:r>
                <w:rPr>
                  <w:rStyle w:val="InternetLink"/>
                </w:rPr>
                <w:t>28</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6</w:t>
            </w:r>
          </w:p>
        </w:tc>
        <w:tc>
          <w:tcPr>
            <w:tcW w:w="8586" w:type="dxa"/>
            <w:tcBorders/>
            <w:vAlign w:val="center"/>
          </w:tcPr>
          <w:p>
            <w:pPr>
              <w:pStyle w:val="TableContents"/>
              <w:bidi w:val="0"/>
              <w:spacing w:before="0" w:after="0"/>
              <w:ind w:left="0" w:right="0" w:hanging="0"/>
              <w:jc w:val="both"/>
              <w:rPr/>
            </w:pPr>
            <w:hyperlink w:anchor="res">
              <w:r>
                <w:rPr>
                  <w:rStyle w:val="InternetLink"/>
                  <w:rFonts w:ascii="Times New Roman" w:hAnsi="Times New Roman"/>
                  <w:caps w:val="false"/>
                  <w:smallCaps w:val="false"/>
                  <w:sz w:val="20"/>
                </w:rPr>
                <w:t>[Reserved]</w:t>
              </w:r>
            </w:hyperlink>
          </w:p>
        </w:tc>
        <w:tc>
          <w:tcPr>
            <w:tcW w:w="971" w:type="dxa"/>
            <w:tcBorders/>
            <w:vAlign w:val="center"/>
          </w:tcPr>
          <w:p>
            <w:pPr>
              <w:pStyle w:val="TableContents"/>
              <w:bidi w:val="0"/>
              <w:spacing w:before="0" w:after="0"/>
              <w:ind w:left="0" w:right="0" w:hanging="0"/>
              <w:jc w:val="right"/>
              <w:rPr/>
            </w:pPr>
            <w:hyperlink w:anchor="res">
              <w:r>
                <w:rPr>
                  <w:rStyle w:val="InternetLink"/>
                  <w:rFonts w:ascii="Times New Roman" w:hAnsi="Times New Roman"/>
                  <w:caps w:val="false"/>
                  <w:smallCaps w:val="false"/>
                  <w:sz w:val="20"/>
                </w:rPr>
                <w:t>31</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7</w:t>
            </w:r>
          </w:p>
        </w:tc>
        <w:tc>
          <w:tcPr>
            <w:tcW w:w="8586" w:type="dxa"/>
            <w:tcBorders/>
            <w:vAlign w:val="center"/>
          </w:tcPr>
          <w:p>
            <w:pPr>
              <w:pStyle w:val="TableContents"/>
              <w:bidi w:val="0"/>
              <w:spacing w:before="0" w:after="0"/>
              <w:ind w:left="0" w:right="0" w:hanging="0"/>
              <w:jc w:val="both"/>
              <w:rPr/>
            </w:pPr>
            <w:hyperlink w:anchor="mgmt">
              <w:r>
                <w:rPr>
                  <w:rStyle w:val="InternetLink"/>
                  <w:rFonts w:ascii="Times New Roman" w:hAnsi="Times New Roman"/>
                  <w:caps w:val="false"/>
                  <w:smallCaps w:val="false"/>
                  <w:sz w:val="20"/>
                </w:rPr>
                <w:t>Management’s Discussion and Analysis of Financial Condition and Results of Operations</w:t>
              </w:r>
            </w:hyperlink>
          </w:p>
        </w:tc>
        <w:tc>
          <w:tcPr>
            <w:tcW w:w="971" w:type="dxa"/>
            <w:tcBorders/>
            <w:vAlign w:val="center"/>
          </w:tcPr>
          <w:p>
            <w:pPr>
              <w:pStyle w:val="TableContents"/>
              <w:bidi w:val="0"/>
              <w:spacing w:before="0" w:after="283"/>
              <w:jc w:val="right"/>
              <w:rPr/>
            </w:pPr>
            <w:hyperlink w:anchor="mgmt">
              <w:r>
                <w:rPr>
                  <w:rStyle w:val="InternetLink"/>
                </w:rPr>
                <w:t>31</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7A</w:t>
            </w:r>
          </w:p>
        </w:tc>
        <w:tc>
          <w:tcPr>
            <w:tcW w:w="8586" w:type="dxa"/>
            <w:tcBorders/>
            <w:vAlign w:val="center"/>
          </w:tcPr>
          <w:p>
            <w:pPr>
              <w:pStyle w:val="TableContents"/>
              <w:bidi w:val="0"/>
              <w:spacing w:before="0" w:after="0"/>
              <w:ind w:left="0" w:right="0" w:hanging="0"/>
              <w:jc w:val="both"/>
              <w:rPr/>
            </w:pPr>
            <w:hyperlink w:anchor="quant">
              <w:r>
                <w:rPr>
                  <w:rStyle w:val="InternetLink"/>
                  <w:rFonts w:ascii="Times New Roman" w:hAnsi="Times New Roman"/>
                  <w:caps w:val="false"/>
                  <w:smallCaps w:val="false"/>
                  <w:sz w:val="20"/>
                </w:rPr>
                <w:t>Quantitative and Qualitative Disclosures about Market Risk</w:t>
              </w:r>
            </w:hyperlink>
          </w:p>
        </w:tc>
        <w:tc>
          <w:tcPr>
            <w:tcW w:w="971" w:type="dxa"/>
            <w:tcBorders/>
            <w:vAlign w:val="center"/>
          </w:tcPr>
          <w:p>
            <w:pPr>
              <w:pStyle w:val="TableContents"/>
              <w:bidi w:val="0"/>
              <w:spacing w:before="0" w:after="0"/>
              <w:ind w:left="0" w:right="0" w:hanging="0"/>
              <w:jc w:val="right"/>
              <w:rPr/>
            </w:pPr>
            <w:hyperlink w:anchor="quant">
              <w:r>
                <w:rPr>
                  <w:rStyle w:val="InternetLink"/>
                  <w:rFonts w:ascii="Times New Roman" w:hAnsi="Times New Roman"/>
                  <w:caps w:val="false"/>
                  <w:smallCaps w:val="false"/>
                  <w:sz w:val="20"/>
                </w:rPr>
                <w:t>42</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8</w:t>
            </w:r>
          </w:p>
        </w:tc>
        <w:tc>
          <w:tcPr>
            <w:tcW w:w="8586" w:type="dxa"/>
            <w:tcBorders/>
            <w:vAlign w:val="center"/>
          </w:tcPr>
          <w:p>
            <w:pPr>
              <w:pStyle w:val="TableContents"/>
              <w:bidi w:val="0"/>
              <w:spacing w:before="0" w:after="0"/>
              <w:ind w:left="0" w:right="0" w:hanging="0"/>
              <w:jc w:val="both"/>
              <w:rPr/>
            </w:pPr>
            <w:hyperlink w:anchor="finstats">
              <w:r>
                <w:rPr>
                  <w:rStyle w:val="InternetLink"/>
                  <w:rFonts w:ascii="Times New Roman" w:hAnsi="Times New Roman"/>
                  <w:caps w:val="false"/>
                  <w:smallCaps w:val="false"/>
                  <w:sz w:val="20"/>
                </w:rPr>
                <w:t>Financial Statements and Supplementary Data</w:t>
              </w:r>
            </w:hyperlink>
          </w:p>
        </w:tc>
        <w:tc>
          <w:tcPr>
            <w:tcW w:w="971" w:type="dxa"/>
            <w:tcBorders/>
            <w:vAlign w:val="center"/>
          </w:tcPr>
          <w:p>
            <w:pPr>
              <w:pStyle w:val="TableContents"/>
              <w:bidi w:val="0"/>
              <w:spacing w:before="0" w:after="0"/>
              <w:ind w:left="0" w:right="0" w:hanging="0"/>
              <w:jc w:val="right"/>
              <w:rPr/>
            </w:pPr>
            <w:hyperlink w:anchor="finstats">
              <w:r>
                <w:rPr>
                  <w:rStyle w:val="InternetLink"/>
                  <w:rFonts w:ascii="Times New Roman" w:hAnsi="Times New Roman"/>
                  <w:caps w:val="false"/>
                  <w:smallCaps w:val="false"/>
                  <w:sz w:val="20"/>
                </w:rPr>
                <w:t>43</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9</w:t>
            </w:r>
          </w:p>
        </w:tc>
        <w:tc>
          <w:tcPr>
            <w:tcW w:w="8586" w:type="dxa"/>
            <w:tcBorders/>
            <w:vAlign w:val="center"/>
          </w:tcPr>
          <w:p>
            <w:pPr>
              <w:pStyle w:val="TableContents"/>
              <w:bidi w:val="0"/>
              <w:spacing w:before="0" w:after="0"/>
              <w:ind w:left="0" w:right="0" w:hanging="0"/>
              <w:jc w:val="both"/>
              <w:rPr/>
            </w:pPr>
            <w:hyperlink w:anchor="changes">
              <w:r>
                <w:rPr>
                  <w:rStyle w:val="InternetLink"/>
                  <w:rFonts w:ascii="Times New Roman" w:hAnsi="Times New Roman"/>
                  <w:caps w:val="false"/>
                  <w:smallCaps w:val="false"/>
                  <w:sz w:val="20"/>
                </w:rPr>
                <w:t>Changes in and Disagreements with Accountants on Accounting and Financial Disclosure</w:t>
              </w:r>
            </w:hyperlink>
          </w:p>
        </w:tc>
        <w:tc>
          <w:tcPr>
            <w:tcW w:w="971" w:type="dxa"/>
            <w:tcBorders/>
            <w:vAlign w:val="center"/>
          </w:tcPr>
          <w:p>
            <w:pPr>
              <w:pStyle w:val="TableContents"/>
              <w:bidi w:val="0"/>
              <w:spacing w:before="0" w:after="283"/>
              <w:jc w:val="right"/>
              <w:rPr/>
            </w:pPr>
            <w:hyperlink w:anchor="changes">
              <w:r>
                <w:rPr>
                  <w:rStyle w:val="InternetLink"/>
                </w:rPr>
                <w:t>76</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9A</w:t>
            </w:r>
          </w:p>
        </w:tc>
        <w:tc>
          <w:tcPr>
            <w:tcW w:w="8586" w:type="dxa"/>
            <w:tcBorders/>
            <w:vAlign w:val="center"/>
          </w:tcPr>
          <w:p>
            <w:pPr>
              <w:pStyle w:val="TableContents"/>
              <w:bidi w:val="0"/>
              <w:spacing w:before="0" w:after="0"/>
              <w:ind w:left="0" w:right="0" w:hanging="0"/>
              <w:jc w:val="both"/>
              <w:rPr/>
            </w:pPr>
            <w:hyperlink w:anchor="conpro">
              <w:r>
                <w:rPr>
                  <w:rStyle w:val="InternetLink"/>
                  <w:rFonts w:ascii="Times New Roman" w:hAnsi="Times New Roman"/>
                  <w:caps w:val="false"/>
                  <w:smallCaps w:val="false"/>
                  <w:sz w:val="20"/>
                </w:rPr>
                <w:t>Controls and Procedures</w:t>
              </w:r>
            </w:hyperlink>
          </w:p>
        </w:tc>
        <w:tc>
          <w:tcPr>
            <w:tcW w:w="971" w:type="dxa"/>
            <w:tcBorders/>
            <w:vAlign w:val="center"/>
          </w:tcPr>
          <w:p>
            <w:pPr>
              <w:pStyle w:val="TableContents"/>
              <w:bidi w:val="0"/>
              <w:spacing w:before="0" w:after="0"/>
              <w:ind w:left="0" w:right="0" w:hanging="0"/>
              <w:jc w:val="right"/>
              <w:rPr/>
            </w:pPr>
            <w:hyperlink w:anchor="conpro">
              <w:r>
                <w:rPr>
                  <w:rStyle w:val="InternetLink"/>
                  <w:rFonts w:ascii="Times New Roman" w:hAnsi="Times New Roman"/>
                  <w:caps w:val="false"/>
                  <w:smallCaps w:val="false"/>
                  <w:sz w:val="20"/>
                </w:rPr>
                <w:t>76</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9B</w:t>
            </w:r>
          </w:p>
        </w:tc>
        <w:tc>
          <w:tcPr>
            <w:tcW w:w="8586" w:type="dxa"/>
            <w:tcBorders/>
            <w:vAlign w:val="center"/>
          </w:tcPr>
          <w:p>
            <w:pPr>
              <w:pStyle w:val="TableContents"/>
              <w:bidi w:val="0"/>
              <w:spacing w:before="0" w:after="0"/>
              <w:ind w:left="0" w:right="0" w:hanging="0"/>
              <w:jc w:val="both"/>
              <w:rPr/>
            </w:pPr>
            <w:hyperlink w:anchor="other">
              <w:r>
                <w:rPr>
                  <w:rStyle w:val="InternetLink"/>
                  <w:rFonts w:ascii="Times New Roman" w:hAnsi="Times New Roman"/>
                  <w:caps w:val="false"/>
                  <w:smallCaps w:val="false"/>
                  <w:sz w:val="20"/>
                </w:rPr>
                <w:t>Other Information</w:t>
              </w:r>
            </w:hyperlink>
          </w:p>
        </w:tc>
        <w:tc>
          <w:tcPr>
            <w:tcW w:w="971" w:type="dxa"/>
            <w:tcBorders/>
            <w:vAlign w:val="center"/>
          </w:tcPr>
          <w:p>
            <w:pPr>
              <w:pStyle w:val="TableContents"/>
              <w:bidi w:val="0"/>
              <w:spacing w:before="0" w:after="0"/>
              <w:ind w:left="0" w:right="0" w:hanging="0"/>
              <w:jc w:val="right"/>
              <w:rPr/>
            </w:pPr>
            <w:hyperlink w:anchor="other">
              <w:r>
                <w:rPr>
                  <w:rStyle w:val="InternetLink"/>
                  <w:rFonts w:ascii="Times New Roman" w:hAnsi="Times New Roman"/>
                  <w:caps w:val="false"/>
                  <w:smallCaps w:val="false"/>
                  <w:sz w:val="20"/>
                </w:rPr>
                <w:t>79</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9C</w:t>
            </w:r>
          </w:p>
        </w:tc>
        <w:tc>
          <w:tcPr>
            <w:tcW w:w="8586" w:type="dxa"/>
            <w:tcBorders/>
            <w:vAlign w:val="center"/>
          </w:tcPr>
          <w:p>
            <w:pPr>
              <w:pStyle w:val="TableContents"/>
              <w:bidi w:val="0"/>
              <w:spacing w:before="0" w:after="0"/>
              <w:ind w:left="0" w:right="0" w:hanging="0"/>
              <w:jc w:val="both"/>
              <w:rPr/>
            </w:pPr>
            <w:hyperlink w:anchor="disc">
              <w:r>
                <w:rPr>
                  <w:rStyle w:val="InternetLink"/>
                  <w:rFonts w:ascii="Times New Roman" w:hAnsi="Times New Roman"/>
                  <w:caps w:val="false"/>
                  <w:smallCaps w:val="false"/>
                  <w:sz w:val="20"/>
                </w:rPr>
                <w:t>Disclosure Regarding Foreign Jurisdictions that Prevent Inspections</w:t>
              </w:r>
            </w:hyperlink>
          </w:p>
        </w:tc>
        <w:tc>
          <w:tcPr>
            <w:tcW w:w="971" w:type="dxa"/>
            <w:tcBorders/>
            <w:vAlign w:val="center"/>
          </w:tcPr>
          <w:p>
            <w:pPr>
              <w:pStyle w:val="TableContents"/>
              <w:bidi w:val="0"/>
              <w:spacing w:before="0" w:after="0"/>
              <w:ind w:left="0" w:right="0" w:hanging="0"/>
              <w:jc w:val="right"/>
              <w:rPr/>
            </w:pPr>
            <w:hyperlink w:anchor="disc">
              <w:r>
                <w:rPr>
                  <w:rStyle w:val="InternetLink"/>
                  <w:rFonts w:ascii="Times New Roman" w:hAnsi="Times New Roman"/>
                  <w:caps w:val="false"/>
                  <w:smallCaps w:val="false"/>
                  <w:sz w:val="20"/>
                </w:rPr>
                <w:t>79</w:t>
              </w:r>
            </w:hyperlink>
          </w:p>
        </w:tc>
      </w:tr>
      <w:tr>
        <w:trPr/>
        <w:tc>
          <w:tcPr>
            <w:tcW w:w="648" w:type="dxa"/>
            <w:tcBorders/>
            <w:vAlign w:val="center"/>
          </w:tcPr>
          <w:p>
            <w:pPr>
              <w:pStyle w:val="TableContents"/>
              <w:bidi w:val="0"/>
              <w:spacing w:before="0" w:after="283"/>
              <w:jc w:val="left"/>
              <w:rPr/>
            </w:pPr>
            <w:r>
              <w:rPr/>
              <w:t> </w:t>
            </w:r>
          </w:p>
        </w:tc>
        <w:tc>
          <w:tcPr>
            <w:tcW w:w="8586"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0"/>
              <w:ind w:left="0" w:right="0" w:hanging="0"/>
              <w:jc w:val="center"/>
              <w:rPr/>
            </w:pPr>
            <w:hyperlink w:anchor="pthree">
              <w:r>
                <w:rPr>
                  <w:rStyle w:val="InternetLink"/>
                  <w:rFonts w:ascii="Times New Roman" w:hAnsi="Times New Roman"/>
                  <w:b/>
                  <w:caps w:val="false"/>
                  <w:smallCaps w:val="false"/>
                  <w:sz w:val="20"/>
                </w:rPr>
                <w:t>Part III</w:t>
              </w:r>
            </w:hyperlink>
          </w:p>
        </w:tc>
      </w:tr>
      <w:tr>
        <w:trPr/>
        <w:tc>
          <w:tcPr>
            <w:tcW w:w="648" w:type="dxa"/>
            <w:tcBorders/>
            <w:vAlign w:val="center"/>
          </w:tcPr>
          <w:p>
            <w:pPr>
              <w:pStyle w:val="TableContents"/>
              <w:bidi w:val="0"/>
              <w:spacing w:before="0" w:after="283"/>
              <w:jc w:val="left"/>
              <w:rPr/>
            </w:pPr>
            <w:r>
              <w:rPr/>
              <w:t> </w:t>
            </w:r>
          </w:p>
        </w:tc>
        <w:tc>
          <w:tcPr>
            <w:tcW w:w="8586"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10</w:t>
            </w:r>
          </w:p>
        </w:tc>
        <w:tc>
          <w:tcPr>
            <w:tcW w:w="8586" w:type="dxa"/>
            <w:tcBorders/>
            <w:vAlign w:val="center"/>
          </w:tcPr>
          <w:p>
            <w:pPr>
              <w:pStyle w:val="TableContents"/>
              <w:bidi w:val="0"/>
              <w:spacing w:before="0" w:after="0"/>
              <w:ind w:left="0" w:right="0" w:hanging="0"/>
              <w:jc w:val="both"/>
              <w:rPr/>
            </w:pPr>
            <w:hyperlink w:anchor="dirs">
              <w:r>
                <w:rPr>
                  <w:rStyle w:val="InternetLink"/>
                  <w:rFonts w:ascii="Times New Roman" w:hAnsi="Times New Roman"/>
                  <w:caps w:val="false"/>
                  <w:smallCaps w:val="false"/>
                  <w:sz w:val="20"/>
                </w:rPr>
                <w:t>Directors, Executive Officers and Corporate Governance</w:t>
              </w:r>
            </w:hyperlink>
          </w:p>
        </w:tc>
        <w:tc>
          <w:tcPr>
            <w:tcW w:w="971" w:type="dxa"/>
            <w:tcBorders/>
            <w:vAlign w:val="center"/>
          </w:tcPr>
          <w:p>
            <w:pPr>
              <w:pStyle w:val="TableContents"/>
              <w:bidi w:val="0"/>
              <w:spacing w:before="0" w:after="0"/>
              <w:ind w:left="0" w:right="0" w:hanging="0"/>
              <w:jc w:val="right"/>
              <w:rPr/>
            </w:pPr>
            <w:hyperlink w:anchor="dirs">
              <w:r>
                <w:rPr>
                  <w:rStyle w:val="InternetLink"/>
                  <w:rFonts w:ascii="Times New Roman" w:hAnsi="Times New Roman"/>
                  <w:caps w:val="false"/>
                  <w:smallCaps w:val="false"/>
                  <w:sz w:val="20"/>
                </w:rPr>
                <w:t>79</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11</w:t>
            </w:r>
          </w:p>
        </w:tc>
        <w:tc>
          <w:tcPr>
            <w:tcW w:w="8586" w:type="dxa"/>
            <w:tcBorders/>
            <w:vAlign w:val="center"/>
          </w:tcPr>
          <w:p>
            <w:pPr>
              <w:pStyle w:val="TableContents"/>
              <w:bidi w:val="0"/>
              <w:spacing w:before="0" w:after="0"/>
              <w:ind w:left="0" w:right="0" w:hanging="0"/>
              <w:jc w:val="both"/>
              <w:rPr/>
            </w:pPr>
            <w:hyperlink w:anchor="excomp">
              <w:r>
                <w:rPr>
                  <w:rStyle w:val="InternetLink"/>
                  <w:rFonts w:ascii="Times New Roman" w:hAnsi="Times New Roman"/>
                  <w:caps w:val="false"/>
                  <w:smallCaps w:val="false"/>
                  <w:sz w:val="20"/>
                </w:rPr>
                <w:t>Executive Compensation</w:t>
              </w:r>
            </w:hyperlink>
          </w:p>
        </w:tc>
        <w:tc>
          <w:tcPr>
            <w:tcW w:w="971" w:type="dxa"/>
            <w:tcBorders/>
            <w:vAlign w:val="center"/>
          </w:tcPr>
          <w:p>
            <w:pPr>
              <w:pStyle w:val="TableContents"/>
              <w:bidi w:val="0"/>
              <w:spacing w:before="0" w:after="0"/>
              <w:ind w:left="0" w:right="0" w:hanging="0"/>
              <w:jc w:val="right"/>
              <w:rPr/>
            </w:pPr>
            <w:hyperlink w:anchor="excomp">
              <w:r>
                <w:rPr>
                  <w:rStyle w:val="InternetLink"/>
                  <w:rFonts w:ascii="Times New Roman" w:hAnsi="Times New Roman"/>
                  <w:caps w:val="false"/>
                  <w:smallCaps w:val="false"/>
                  <w:sz w:val="20"/>
                </w:rPr>
                <w:t>79</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12</w:t>
            </w:r>
          </w:p>
        </w:tc>
        <w:tc>
          <w:tcPr>
            <w:tcW w:w="8586" w:type="dxa"/>
            <w:tcBorders/>
            <w:vAlign w:val="center"/>
          </w:tcPr>
          <w:p>
            <w:pPr>
              <w:pStyle w:val="TableContents"/>
              <w:bidi w:val="0"/>
              <w:spacing w:before="0" w:after="0"/>
              <w:ind w:left="0" w:right="0" w:hanging="0"/>
              <w:jc w:val="both"/>
              <w:rPr/>
            </w:pPr>
            <w:hyperlink w:anchor="secown">
              <w:r>
                <w:rPr>
                  <w:rStyle w:val="InternetLink"/>
                  <w:rFonts w:ascii="Times New Roman" w:hAnsi="Times New Roman"/>
                  <w:caps w:val="false"/>
                  <w:smallCaps w:val="false"/>
                  <w:sz w:val="20"/>
                </w:rPr>
                <w:t>Security Ownership of Certain Beneficial Owners and Management and Related Shareholder Matters</w:t>
              </w:r>
            </w:hyperlink>
          </w:p>
        </w:tc>
        <w:tc>
          <w:tcPr>
            <w:tcW w:w="971" w:type="dxa"/>
            <w:tcBorders/>
            <w:vAlign w:val="center"/>
          </w:tcPr>
          <w:p>
            <w:pPr>
              <w:pStyle w:val="TableContents"/>
              <w:bidi w:val="0"/>
              <w:spacing w:before="0" w:after="283"/>
              <w:jc w:val="right"/>
              <w:rPr/>
            </w:pPr>
            <w:hyperlink w:anchor="secown">
              <w:r>
                <w:rPr>
                  <w:rStyle w:val="InternetLink"/>
                </w:rPr>
                <w:t>79</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13</w:t>
            </w:r>
          </w:p>
        </w:tc>
        <w:tc>
          <w:tcPr>
            <w:tcW w:w="8586" w:type="dxa"/>
            <w:tcBorders/>
            <w:vAlign w:val="center"/>
          </w:tcPr>
          <w:p>
            <w:pPr>
              <w:pStyle w:val="TableContents"/>
              <w:bidi w:val="0"/>
              <w:spacing w:before="0" w:after="0"/>
              <w:ind w:left="0" w:right="0" w:hanging="0"/>
              <w:jc w:val="both"/>
              <w:rPr/>
            </w:pPr>
            <w:hyperlink w:anchor="certain">
              <w:r>
                <w:rPr>
                  <w:rStyle w:val="InternetLink"/>
                  <w:rFonts w:ascii="Times New Roman" w:hAnsi="Times New Roman"/>
                  <w:caps w:val="false"/>
                  <w:smallCaps w:val="false"/>
                  <w:sz w:val="20"/>
                </w:rPr>
                <w:t>Certain Relationships and Related Transactions, and Director Independence</w:t>
              </w:r>
            </w:hyperlink>
          </w:p>
        </w:tc>
        <w:tc>
          <w:tcPr>
            <w:tcW w:w="971" w:type="dxa"/>
            <w:tcBorders/>
            <w:vAlign w:val="center"/>
          </w:tcPr>
          <w:p>
            <w:pPr>
              <w:pStyle w:val="TableContents"/>
              <w:bidi w:val="0"/>
              <w:spacing w:before="0" w:after="0"/>
              <w:ind w:left="0" w:right="0" w:hanging="0"/>
              <w:jc w:val="right"/>
              <w:rPr/>
            </w:pPr>
            <w:hyperlink w:anchor="certain">
              <w:r>
                <w:rPr>
                  <w:rStyle w:val="InternetLink"/>
                  <w:rFonts w:ascii="Times New Roman" w:hAnsi="Times New Roman"/>
                  <w:caps w:val="false"/>
                  <w:smallCaps w:val="false"/>
                  <w:sz w:val="20"/>
                </w:rPr>
                <w:t>79</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14</w:t>
            </w:r>
          </w:p>
        </w:tc>
        <w:tc>
          <w:tcPr>
            <w:tcW w:w="8586" w:type="dxa"/>
            <w:tcBorders/>
            <w:vAlign w:val="center"/>
          </w:tcPr>
          <w:p>
            <w:pPr>
              <w:pStyle w:val="TableContents"/>
              <w:bidi w:val="0"/>
              <w:spacing w:before="0" w:after="0"/>
              <w:ind w:left="0" w:right="0" w:hanging="0"/>
              <w:jc w:val="both"/>
              <w:rPr/>
            </w:pPr>
            <w:hyperlink w:anchor="princ">
              <w:r>
                <w:rPr>
                  <w:rStyle w:val="InternetLink"/>
                  <w:rFonts w:ascii="Times New Roman" w:hAnsi="Times New Roman"/>
                  <w:caps w:val="false"/>
                  <w:smallCaps w:val="false"/>
                  <w:sz w:val="20"/>
                </w:rPr>
                <w:t>Principal Accountant Fees and Services</w:t>
              </w:r>
            </w:hyperlink>
          </w:p>
        </w:tc>
        <w:tc>
          <w:tcPr>
            <w:tcW w:w="971" w:type="dxa"/>
            <w:tcBorders/>
            <w:vAlign w:val="center"/>
          </w:tcPr>
          <w:p>
            <w:pPr>
              <w:pStyle w:val="TableContents"/>
              <w:bidi w:val="0"/>
              <w:spacing w:before="0" w:after="0"/>
              <w:ind w:left="0" w:right="0" w:hanging="0"/>
              <w:jc w:val="right"/>
              <w:rPr/>
            </w:pPr>
            <w:hyperlink w:anchor="princ">
              <w:r>
                <w:rPr>
                  <w:rStyle w:val="InternetLink"/>
                  <w:rFonts w:ascii="Times New Roman" w:hAnsi="Times New Roman"/>
                  <w:caps w:val="false"/>
                  <w:smallCaps w:val="false"/>
                  <w:sz w:val="20"/>
                </w:rPr>
                <w:t>79</w:t>
              </w:r>
            </w:hyperlink>
          </w:p>
        </w:tc>
      </w:tr>
      <w:tr>
        <w:trPr/>
        <w:tc>
          <w:tcPr>
            <w:tcW w:w="648" w:type="dxa"/>
            <w:tcBorders/>
            <w:vAlign w:val="center"/>
          </w:tcPr>
          <w:p>
            <w:pPr>
              <w:pStyle w:val="TableContents"/>
              <w:bidi w:val="0"/>
              <w:spacing w:before="0" w:after="283"/>
              <w:jc w:val="left"/>
              <w:rPr/>
            </w:pPr>
            <w:r>
              <w:rPr/>
              <w:t> </w:t>
            </w:r>
          </w:p>
        </w:tc>
        <w:tc>
          <w:tcPr>
            <w:tcW w:w="8586"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0"/>
              <w:ind w:left="0" w:right="0" w:hanging="0"/>
              <w:jc w:val="center"/>
              <w:rPr/>
            </w:pPr>
            <w:hyperlink w:anchor="pfour">
              <w:r>
                <w:rPr>
                  <w:rStyle w:val="InternetLink"/>
                  <w:rFonts w:ascii="Times New Roman" w:hAnsi="Times New Roman"/>
                  <w:b/>
                  <w:caps w:val="false"/>
                  <w:smallCaps w:val="false"/>
                  <w:sz w:val="20"/>
                </w:rPr>
                <w:t>Part IV</w:t>
              </w:r>
            </w:hyperlink>
          </w:p>
        </w:tc>
      </w:tr>
      <w:tr>
        <w:trPr/>
        <w:tc>
          <w:tcPr>
            <w:tcW w:w="648" w:type="dxa"/>
            <w:tcBorders/>
            <w:vAlign w:val="center"/>
          </w:tcPr>
          <w:p>
            <w:pPr>
              <w:pStyle w:val="TableContents"/>
              <w:bidi w:val="0"/>
              <w:spacing w:before="0" w:after="283"/>
              <w:jc w:val="left"/>
              <w:rPr/>
            </w:pPr>
            <w:r>
              <w:rPr/>
              <w:t> </w:t>
            </w:r>
          </w:p>
        </w:tc>
        <w:tc>
          <w:tcPr>
            <w:tcW w:w="8586"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15</w:t>
            </w:r>
          </w:p>
        </w:tc>
        <w:tc>
          <w:tcPr>
            <w:tcW w:w="8586" w:type="dxa"/>
            <w:tcBorders/>
            <w:vAlign w:val="center"/>
          </w:tcPr>
          <w:p>
            <w:pPr>
              <w:pStyle w:val="TableContents"/>
              <w:bidi w:val="0"/>
              <w:spacing w:before="0" w:after="0"/>
              <w:ind w:left="0" w:right="0" w:hanging="0"/>
              <w:jc w:val="both"/>
              <w:rPr/>
            </w:pPr>
            <w:hyperlink w:anchor="exs">
              <w:r>
                <w:rPr>
                  <w:rStyle w:val="InternetLink"/>
                  <w:rFonts w:ascii="Times New Roman" w:hAnsi="Times New Roman"/>
                  <w:caps w:val="false"/>
                  <w:smallCaps w:val="false"/>
                  <w:sz w:val="20"/>
                </w:rPr>
                <w:t>Exhibits, Financial Statement Schedules</w:t>
              </w:r>
            </w:hyperlink>
          </w:p>
        </w:tc>
        <w:tc>
          <w:tcPr>
            <w:tcW w:w="971" w:type="dxa"/>
            <w:tcBorders/>
            <w:vAlign w:val="center"/>
          </w:tcPr>
          <w:p>
            <w:pPr>
              <w:pStyle w:val="TableContents"/>
              <w:bidi w:val="0"/>
              <w:spacing w:before="0" w:after="0"/>
              <w:ind w:left="0" w:right="0" w:hanging="0"/>
              <w:jc w:val="right"/>
              <w:rPr/>
            </w:pPr>
            <w:hyperlink w:anchor="exs">
              <w:r>
                <w:rPr>
                  <w:rStyle w:val="InternetLink"/>
                  <w:rFonts w:ascii="Times New Roman" w:hAnsi="Times New Roman"/>
                  <w:caps w:val="false"/>
                  <w:smallCaps w:val="false"/>
                  <w:sz w:val="20"/>
                </w:rPr>
                <w:t>79</w:t>
              </w:r>
            </w:hyperlink>
          </w:p>
        </w:tc>
      </w:tr>
      <w:tr>
        <w:trPr/>
        <w:tc>
          <w:tcPr>
            <w:tcW w:w="6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16</w:t>
            </w:r>
          </w:p>
        </w:tc>
        <w:tc>
          <w:tcPr>
            <w:tcW w:w="8586" w:type="dxa"/>
            <w:tcBorders/>
            <w:vAlign w:val="center"/>
          </w:tcPr>
          <w:p>
            <w:pPr>
              <w:pStyle w:val="TableContents"/>
              <w:bidi w:val="0"/>
              <w:spacing w:before="0" w:after="0"/>
              <w:ind w:left="0" w:right="0" w:hanging="0"/>
              <w:jc w:val="both"/>
              <w:rPr/>
            </w:pPr>
            <w:hyperlink w:anchor="summar">
              <w:r>
                <w:rPr>
                  <w:rStyle w:val="InternetLink"/>
                  <w:rFonts w:ascii="Times New Roman" w:hAnsi="Times New Roman"/>
                  <w:caps w:val="false"/>
                  <w:smallCaps w:val="false"/>
                  <w:sz w:val="20"/>
                </w:rPr>
                <w:t>Form 10-K Summary</w:t>
              </w:r>
            </w:hyperlink>
          </w:p>
        </w:tc>
        <w:tc>
          <w:tcPr>
            <w:tcW w:w="971" w:type="dxa"/>
            <w:tcBorders/>
            <w:vAlign w:val="center"/>
          </w:tcPr>
          <w:p>
            <w:pPr>
              <w:pStyle w:val="TableContents"/>
              <w:bidi w:val="0"/>
              <w:spacing w:before="0" w:after="0"/>
              <w:ind w:left="0" w:right="0" w:hanging="0"/>
              <w:jc w:val="right"/>
              <w:rPr/>
            </w:pPr>
            <w:hyperlink w:anchor="summar">
              <w:r>
                <w:rPr>
                  <w:rStyle w:val="InternetLink"/>
                  <w:rFonts w:ascii="Times New Roman" w:hAnsi="Times New Roman"/>
                  <w:caps w:val="false"/>
                  <w:smallCaps w:val="false"/>
                  <w:sz w:val="20"/>
                </w:rPr>
                <w:t>83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Certain statements contained in this Form 10-K (or otherwise made by the Company or on the Company</w:t>
      </w:r>
      <w:r>
        <w:rPr>
          <w:rFonts w:ascii="Times New Roman" w:hAnsi="Times New Roman"/>
          <w:caps w:val="false"/>
          <w:smallCaps w:val="false"/>
          <w:sz w:val="20"/>
        </w:rPr>
        <w:t>’</w:t>
      </w:r>
      <w:r>
        <w:rPr>
          <w:rFonts w:ascii="Times New Roman" w:hAnsi="Times New Roman"/>
          <w:i/>
          <w:caps w:val="false"/>
          <w:smallCaps w:val="false"/>
          <w:sz w:val="20"/>
        </w:rPr>
        <w:t>s behalf from time to time in other reports, filings with the Securities and Exchange Commission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news releases, conferences, website postings or otherwise) that are not statements of historical fact constitute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within the meaning of the Private Securities Litigation Reform Act of 1995, Section 27A of the Securities Act of 1933, as amended (the </w:t>
      </w:r>
      <w:r>
        <w:rPr>
          <w:rFonts w:ascii="Times New Roman" w:hAnsi="Times New Roman"/>
          <w:caps w:val="false"/>
          <w:smallCaps w:val="false"/>
          <w:sz w:val="20"/>
        </w:rPr>
        <w:t>“</w:t>
      </w:r>
      <w:r>
        <w:rPr>
          <w:rFonts w:ascii="Times New Roman" w:hAnsi="Times New Roman"/>
          <w:i/>
          <w:caps w:val="false"/>
          <w:smallCaps w:val="false"/>
          <w:sz w:val="20"/>
        </w:rPr>
        <w:t>Securities Act</w:t>
      </w:r>
      <w:r>
        <w:rPr>
          <w:rFonts w:ascii="Times New Roman" w:hAnsi="Times New Roman"/>
          <w:caps w:val="false"/>
          <w:smallCaps w:val="false"/>
          <w:sz w:val="20"/>
        </w:rPr>
        <w:t>”</w:t>
      </w:r>
      <w:r>
        <w:rPr>
          <w:rFonts w:ascii="Times New Roman" w:hAnsi="Times New Roman"/>
          <w:i/>
          <w:caps w:val="false"/>
          <w:smallCaps w:val="false"/>
          <w:sz w:val="20"/>
        </w:rPr>
        <w:t xml:space="preserve">), and Section 21E of the Exchange Act of 1934, as amended (the </w:t>
      </w:r>
      <w:r>
        <w:rPr>
          <w:rFonts w:ascii="Times New Roman" w:hAnsi="Times New Roman"/>
          <w:caps w:val="false"/>
          <w:smallCaps w:val="false"/>
          <w:sz w:val="20"/>
        </w:rPr>
        <w:t>“</w:t>
      </w:r>
      <w:r>
        <w:rPr>
          <w:rFonts w:ascii="Times New Roman" w:hAnsi="Times New Roman"/>
          <w:i/>
          <w:caps w:val="false"/>
          <w:smallCaps w:val="false"/>
          <w:sz w:val="20"/>
        </w:rPr>
        <w:t>Exchange Act</w:t>
      </w:r>
      <w:r>
        <w:rPr>
          <w:rFonts w:ascii="Times New Roman" w:hAnsi="Times New Roman"/>
          <w:caps w:val="false"/>
          <w:smallCaps w:val="false"/>
          <w:sz w:val="20"/>
        </w:rPr>
        <w:t>”</w:t>
      </w:r>
      <w:r>
        <w:rPr>
          <w:rFonts w:ascii="Times New Roman" w:hAnsi="Times New Roman"/>
          <w:i/>
          <w:caps w:val="false"/>
          <w:smallCaps w:val="false"/>
          <w:sz w:val="20"/>
        </w:rPr>
        <w:t>), notwithstanding that such statements are not specifically identified. Forward-looking statements include statements about the Company</w:t>
      </w:r>
      <w:r>
        <w:rPr>
          <w:rFonts w:ascii="Times New Roman" w:hAnsi="Times New Roman"/>
          <w:caps w:val="false"/>
          <w:smallCaps w:val="false"/>
          <w:sz w:val="20"/>
        </w:rPr>
        <w:t>’</w:t>
      </w:r>
      <w:r>
        <w:rPr>
          <w:rFonts w:ascii="Times New Roman" w:hAnsi="Times New Roman"/>
          <w:i/>
          <w:caps w:val="false"/>
          <w:smallCaps w:val="false"/>
          <w:sz w:val="20"/>
        </w:rPr>
        <w:t>s financial position, business strategy and plans and objectives of management of the Company for future operations. These forward-looking statements reflect the best judgments of the Company about the future events and trends based on the beliefs of the Company</w:t>
      </w:r>
      <w:r>
        <w:rPr>
          <w:rFonts w:ascii="Times New Roman" w:hAnsi="Times New Roman"/>
          <w:caps w:val="false"/>
          <w:smallCaps w:val="false"/>
          <w:sz w:val="20"/>
        </w:rPr>
        <w:t>’</w:t>
      </w:r>
      <w:r>
        <w:rPr>
          <w:rFonts w:ascii="Times New Roman" w:hAnsi="Times New Roman"/>
          <w:i/>
          <w:caps w:val="false"/>
          <w:smallCaps w:val="false"/>
          <w:sz w:val="20"/>
        </w:rPr>
        <w:t>s management as well as assumptions made by and information currently available to the Company</w:t>
      </w:r>
      <w:r>
        <w:rPr>
          <w:rFonts w:ascii="Times New Roman" w:hAnsi="Times New Roman"/>
          <w:caps w:val="false"/>
          <w:smallCaps w:val="false"/>
          <w:sz w:val="20"/>
        </w:rPr>
        <w:t>’</w:t>
      </w:r>
      <w:r>
        <w:rPr>
          <w:rFonts w:ascii="Times New Roman" w:hAnsi="Times New Roman"/>
          <w:i/>
          <w:caps w:val="false"/>
          <w:smallCaps w:val="false"/>
          <w:sz w:val="20"/>
        </w:rPr>
        <w:t xml:space="preserve">s management. Use of the words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intend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for a discussion of certain of those risks. Other unknown or unpredictable factors could also have a material adverse effect on future results. Although the Company believes that its expectations are reasonable as of the date of this Form 10-K,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 REGARDING TRADEMARKS COMMONLY USED IN THE COMPANY</w:t>
      </w:r>
      <w:r>
        <w:rPr>
          <w:rFonts w:ascii="Times New Roman" w:hAnsi="Times New Roman"/>
          <w:caps w:val="false"/>
          <w:smallCaps w:val="false"/>
          <w:sz w:val="20"/>
        </w:rPr>
        <w:t>’</w:t>
      </w:r>
      <w:r>
        <w:rPr>
          <w:rFonts w:ascii="Times New Roman" w:hAnsi="Times New Roman"/>
          <w:b/>
          <w:caps w:val="false"/>
          <w:smallCaps w:val="false"/>
          <w:sz w:val="20"/>
        </w:rPr>
        <w:t>S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Peterbilt</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Peterbilt Motors Company. PACCAR</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PACCAR, Inc. PacLease</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PACCAR Leasing Corporation. International</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International Motors, LLC (f/k/a Navistar, Inc.). Idealease is a registered trademark of Idealease, Inc. aka Idealease of North America, Inc. Blue Bird</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Blue Bird Investment Corporation. IC Bus</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IC Bus, LLC. Hino</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Hino Motors, Ltd. Isuzu</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Isuzu Motors Limited. Ford</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Ford Motor Company. Cummins</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Cummins, Inc. Blue Arc</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The Shyft Group Inc. Battle Motors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is a registered trademark of Battle Motors, Inc. This report contains additional trade names or trademarks of other companies. Our use of such trade names or trademarks should not imply any endorsement or relationship with such companies.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 w:name="pone"/>
      <w:bookmarkEnd w:id="3"/>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4" w:name="business"/>
      <w:bookmarkEnd w:id="4"/>
      <w:r>
        <w:rPr>
          <w:rFonts w:ascii="Times New Roman" w:hAnsi="Times New Roman"/>
          <w:b/>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References herein to “the Company,” “Rush Enterprises,” “we,” “our” or “us” mean Rush Enterprises, Inc., a Texas corporation, and its subsidiaries unless the context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Access to Company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electronically file annual reports, quarterly reports, proxy statements and other reports and information statements with the SEC. You may read and copy any of the materials that we have filed with the SEC at the SEC’s Public Reference Room at 100 F Street NE, Washington, DC 20549. You may obtain information about the Public Reference Room by calling the SEC at 1-800-SEC-0330. Our filings are also available to you on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make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Our website address is www.rushenterprises.com. The information contained on our website, or on other websites linked to our website, is not incorporated into this report or otherwise made part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Rush Enterprises, Inc. was incorporated in Texas in 1965 and consists of one reportable segment, the Truck Segment, and conducts business through its subsidiaries. Our principal offices are located at 555 IH 35 South, New Braunfels, Texas 78130.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IC Bus, Blue Bird, Blue Arc and Battle Motors.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Rush Truck Centers are principally located in high traffic areas throughout the United States and Ontario, Canada. Since commencing operations as a Peterbilt heavy-duty truck dealer in 1966, we have grown to operate 126 franchised Rush Truck Centers in 23 states. We own an 80% equity interest in Rush Truck Centres of Canada Limited (“RTC Canada”). RTC Canada currently owns and operates 12 International dealerships and 2 IC Bus dealerships in Ontario. RTC Canada also sells IC Buses in the province of Quebec and the provinces of New Brunswick, Nova Scotia and Prince Edward Island (collectively, the “Maritimes”). The operating results of RTC Canada are consolidated in the Consolidated Statements of Operations, the Statements of Comprehensive Income, the Consolidated Balance Sheets and commercial vehicle unit sales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 to enable us to better serve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Through certain of our Rush Truck Centers and several stand-alone locations, we operate 55 franchised Rush Truck Leasing locations in 21 states and 5 locations in Ontario. We provide a broad line of product selections for lease or rent, including Class 4 through Class 8 commercial vehicles, heavy-duty cranes and refuse vehicles. Our lease and rental fleets are offered to customers on a daily, monthly or long-term basis. Substantially all of our long-term leases also contain a service provision, whereby we agree to service the vehicle through the life of the lease. In addition to the product selections for lease or rent, Rush Truck Leasing also provides full-service maintenance on customers’ vehicles at several of our customers’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chart reflects the locations of our operations by state or province as of December 31, 2025:</w:t>
      </w:r>
    </w:p>
    <w:p>
      <w:pPr>
        <w:pStyle w:val="TextBody"/>
        <w:bidi w:val="0"/>
        <w:spacing w:before="0" w:after="0"/>
        <w:ind w:left="0" w:right="0" w:hanging="0"/>
        <w:jc w:val="left"/>
        <w:rPr>
          <w:caps w:val="false"/>
          <w:smallCaps w:val="false"/>
        </w:rPr>
      </w:pPr>
      <w:r>
        <w:rPr>
          <w:caps w:val="false"/>
          <w:smallCaps w:val="false"/>
        </w:rPr>
        <w:t> </w:t>
      </w:r>
    </w:p>
    <w:tbl>
      <w:tblPr>
        <w:tblW w:w="5406" w:type="dxa"/>
        <w:jc w:val="left"/>
        <w:tblInd w:w="0" w:type="dxa"/>
        <w:tblLayout w:type="fixed"/>
        <w:tblCellMar>
          <w:top w:w="0" w:type="dxa"/>
          <w:left w:w="0" w:type="dxa"/>
          <w:bottom w:w="28" w:type="dxa"/>
          <w:right w:w="0" w:type="dxa"/>
        </w:tblCellMar>
      </w:tblPr>
      <w:tblGrid>
        <w:gridCol w:w="1235"/>
        <w:gridCol w:w="60"/>
        <w:gridCol w:w="136"/>
        <w:gridCol w:w="768"/>
        <w:gridCol w:w="60"/>
        <w:gridCol w:w="60"/>
        <w:gridCol w:w="186"/>
        <w:gridCol w:w="718"/>
        <w:gridCol w:w="60"/>
        <w:gridCol w:w="60"/>
        <w:gridCol w:w="186"/>
        <w:gridCol w:w="718"/>
        <w:gridCol w:w="60"/>
        <w:gridCol w:w="60"/>
        <w:gridCol w:w="148"/>
        <w:gridCol w:w="831"/>
        <w:gridCol w:w="60"/>
      </w:tblGrid>
      <w:tr>
        <w:trPr/>
        <w:tc>
          <w:tcPr>
            <w:tcW w:w="12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Owned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Locations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Leased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Locations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Other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Locations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Franchises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60" w:type="dxa"/>
            <w:tcBorders/>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Texas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7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8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Ontario, CAN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p>
        </w:tc>
        <w:tc>
          <w:tcPr>
            <w:tcW w:w="8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Georgia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7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8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Ohio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p>
        </w:tc>
        <w:tc>
          <w:tcPr>
            <w:tcW w:w="8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Illinois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7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8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Florida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p>
        </w:tc>
        <w:tc>
          <w:tcPr>
            <w:tcW w:w="8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California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7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8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Missouri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p>
        </w:tc>
        <w:tc>
          <w:tcPr>
            <w:tcW w:w="8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Arkansas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7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8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Kansas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p>
        </w:tc>
        <w:tc>
          <w:tcPr>
            <w:tcW w:w="8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Idaho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7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8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Utah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p>
        </w:tc>
        <w:tc>
          <w:tcPr>
            <w:tcW w:w="8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Arizona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7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8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Carolina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p>
        </w:tc>
        <w:tc>
          <w:tcPr>
            <w:tcW w:w="8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Oklahoma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7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8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Colorado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p>
        </w:tc>
        <w:tc>
          <w:tcPr>
            <w:tcW w:w="8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Virginia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7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8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Tennessee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p>
        </w:tc>
        <w:tc>
          <w:tcPr>
            <w:tcW w:w="8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Indiana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7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8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Mexico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p>
        </w:tc>
        <w:tc>
          <w:tcPr>
            <w:tcW w:w="8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Nevada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7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8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Nebraska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p>
        </w:tc>
        <w:tc>
          <w:tcPr>
            <w:tcW w:w="8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Quebec, CAN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ind w:left="0" w:right="0" w:hanging="0"/>
              <w:jc w:val="left"/>
              <w:rPr/>
            </w:pPr>
            <w:r>
              <w:rPr/>
              <w:t> </w:t>
            </w:r>
          </w:p>
        </w:tc>
        <w:tc>
          <w:tcPr>
            <w:tcW w:w="76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ind w:left="0" w:right="0" w:hanging="0"/>
              <w:jc w:val="left"/>
              <w:rPr/>
            </w:pPr>
            <w:r>
              <w:rPr/>
              <w:t> </w:t>
            </w:r>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p>
        </w:tc>
        <w:tc>
          <w:tcPr>
            <w:tcW w:w="83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Alabama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ind w:left="0" w:right="0" w:hanging="0"/>
              <w:jc w:val="left"/>
              <w:rPr/>
            </w:pPr>
            <w:r>
              <w:rPr/>
              <w:t> </w:t>
            </w:r>
          </w:p>
        </w:tc>
        <w:tc>
          <w:tcPr>
            <w:tcW w:w="76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pPr>
            <w:r>
              <w:rPr/>
              <w:t> </w:t>
            </w:r>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p>
        </w:tc>
        <w:tc>
          <w:tcPr>
            <w:tcW w:w="83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Kentucky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2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120</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71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80</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71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3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469</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60"/>
        <w:gridCol w:w="230"/>
        <w:gridCol w:w="375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(1)</w:t>
            </w:r>
          </w:p>
        </w:tc>
        <w:tc>
          <w:tcPr>
            <w:tcW w:w="3755"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Includes Rush Truck Centers and Rush Truck Leasing</w:t>
            </w:r>
          </w:p>
        </w:tc>
      </w:tr>
    </w:tbl>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(2)</w:t>
            </w:r>
          </w:p>
        </w:tc>
        <w:tc>
          <w:tcPr>
            <w:tcW w:w="9918"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Includes House of Trucks, Perfection Equipment, Chrome Country, Custom Vehicle Solutions, World Wide Tires and Rush Truck Insurance Services</w:t>
            </w:r>
          </w:p>
        </w:tc>
      </w:tr>
    </w:tbl>
    <w:tbl>
      <w:tblPr>
        <w:tblW w:w="10205" w:type="dxa"/>
        <w:jc w:val="left"/>
        <w:tblInd w:w="0" w:type="dxa"/>
        <w:tblLayout w:type="fixed"/>
        <w:tblCellMar>
          <w:top w:w="0" w:type="dxa"/>
          <w:left w:w="0" w:type="dxa"/>
          <w:bottom w:w="0" w:type="dxa"/>
          <w:right w:w="0" w:type="dxa"/>
        </w:tblCellMar>
      </w:tblPr>
      <w:tblGrid>
        <w:gridCol w:w="60"/>
        <w:gridCol w:w="229"/>
        <w:gridCol w:w="9916"/>
      </w:tblGrid>
      <w:tr>
        <w:trPr/>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(3)</w:t>
            </w:r>
          </w:p>
        </w:tc>
        <w:tc>
          <w:tcPr>
            <w:tcW w:w="991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Includes Peterbilt, PacLease, International, Idealease, Ford, Hino, Isuzu, IC Bus, Blue Bird, Micro Bird, Collins Bus, Blue Arc and Battle Motors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Financial and Insurance Products.</w:t>
      </w:r>
      <w:r>
        <w:rPr>
          <w:rFonts w:ascii="Times New Roman" w:hAnsi="Times New Roman"/>
          <w:caps w:val="false"/>
          <w:smallCaps w:val="false"/>
          <w:sz w:val="20"/>
        </w:rPr>
        <w:t xml:space="preserve"> At our Rush Truck Centers, we offer third</w:t>
        <w:noBreakHyphen/>
        <w:t>party financing to assist customers in purchasing new and used commercial vehicles. Additionally, we sell, as an agent through our insurance agency, a complete line of property and casualty insurance, including collision and liability insurance on commercial vehicles, cargo insurance and credit life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Other Businesses.</w:t>
      </w:r>
      <w:r>
        <w:rPr>
          <w:rFonts w:ascii="Times New Roman" w:hAnsi="Times New Roman"/>
          <w:caps w:val="false"/>
          <w:smallCaps w:val="false"/>
          <w:sz w:val="20"/>
        </w:rPr>
        <w:t xml:space="preserve"> Perfection Equipment offers installation of equipment, equipment repair, parts installation, and paint and body repair at our location in Oklahoma City. Perfection Equipment specializes in up-fitting trucks used by oilfield service providers and other specialized service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Custom Vehicle Solutions operates at its location in Denton, Texas. Custom Vehicle Solutions provides new vehicle pre-delivery inspections, truck modifications, natural gas fuel system installations, body and chassis upfitting and component installations.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House of Trucks operates at locations in Dallas, Texas and Chicago, Illinois. The House of Trucks sells used commercial vehicles, new and used trailers and offers third-party financing and insurance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World Wide Tires store operates in Houston, Texas. World Wide Tires primarily sells tires for use on commercial vehicles.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own 50% of the equity interest in Cummins Clean Fuel Technologies, which manufacturers compressed natural gas fuel systems and related component parts for commercial vehicles at its facility in Roanoke, Texas. The remaining 50% equity interest is owned by a subsidiary of Cummins,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See Part II, Item 7, “Management’s Discussion and Analysis of Financial Condition and Results of Operations – Industry” for a description of our industry and the markets in which we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Business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Operating Strategy.</w:t>
      </w:r>
      <w:r>
        <w:rPr>
          <w:rFonts w:ascii="Times New Roman" w:hAnsi="Times New Roman"/>
          <w:caps w:val="false"/>
          <w:smallCaps w:val="false"/>
          <w:sz w:val="20"/>
        </w:rPr>
        <w:t xml:space="preserve"> Our strategy is to operate an integrated dealership network that provides service solutions to the commercial vehicle industry throughout the United States and Ontario, Canada. Our strategy includes the following key elements: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Management by Dealership Units</w:t>
            </w:r>
            <w:r>
              <w:rPr>
                <w:rFonts w:ascii="Times New Roman;Times;serif" w:hAnsi="Times New Roman;Times;serif"/>
                <w:caps w:val="false"/>
                <w:smallCaps w:val="false"/>
                <w:sz w:val="20"/>
              </w:rPr>
              <w:t>. At each of our dealerships, we operate one or more of the following departments: new commercial vehicle sales, used commercial vehicle sales, financial services, parts sales, service, or a collision center. Our general managers measure and manage the operations of each dealership according to the specific departments operating at that location. We believe that this system enhances the profitability of all aspects of a dealership and increases our overall operating margins. Operating goals for each department at each of our dealerships are established annually and managers are rewarded for performance relative to these goals.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One-Stop Centers</w:t>
            </w:r>
            <w:r>
              <w:rPr>
                <w:rFonts w:ascii="Times New Roman;Times;serif" w:hAnsi="Times New Roman;Times;serif"/>
                <w:caps w:val="false"/>
                <w:smallCaps w:val="false"/>
                <w:sz w:val="20"/>
              </w:rPr>
              <w:t>. We have developed certain of our commercial vehicle dealerships as “one-stop centers” that offer an integrated approach to meeting customer needs. We provide service, including collision repairs, parts, new and used commercial vehicles sales, leasing and rental, plus financial services including finance and insurance. We believe that this full-service strategy helps to mitigate cyclical economic fluctuations because our parts, service and collision center operations (referred to herein collectively as “Aftermarket Products and Services”) at our dealerships generally tend to be less cyclical than our new and used commercial vehicle sales.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Aftermarket Products and Services</w:t>
            </w:r>
            <w:r>
              <w:rPr>
                <w:rFonts w:ascii="Times New Roman;Times;serif" w:hAnsi="Times New Roman;Times;serif"/>
                <w:caps w:val="false"/>
                <w:smallCaps w:val="false"/>
                <w:sz w:val="20"/>
              </w:rPr>
              <w:t>. Our aftermarket capabilities include a wide range of services and products such as providing parts, service and collision repairs at certain of our Rush Truck Centers, a fleet of mobile service units, mobile technicians who work in our customers’ facilities, technology solutions, including vehicle telematics support, a proprietary line of parts and accessories, and factory-certified service for assembly services for specialized bodies and equipment. We believe that offering a variety of Aftermarket Products and Services at our dealerships and other locations allows us to meet the expanding needs of our customers. We continually strive to leverage our dealership network to offer more products and services to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Branding Program</w:t>
            </w:r>
            <w:r>
              <w:rPr>
                <w:rFonts w:ascii="Times New Roman;Times;serif" w:hAnsi="Times New Roman;Times;serif"/>
                <w:caps w:val="false"/>
                <w:smallCaps w:val="false"/>
                <w:sz w:val="20"/>
              </w:rPr>
              <w:t>. We employ a branding program at our dealerships through distinctive signage and uniform marketing programs to take advantage of our existing name recognition and to communicate the standardized high quality of our products and reliability of our services throughout our dealership network.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Growth Strategy.</w:t>
      </w:r>
      <w:r>
        <w:rPr>
          <w:rFonts w:ascii="Times New Roman" w:hAnsi="Times New Roman"/>
          <w:caps w:val="false"/>
          <w:smallCaps w:val="false"/>
          <w:sz w:val="20"/>
        </w:rPr>
        <w:t xml:space="preserve"> Through our strategic expansion and acquisition initiatives, we have grown to operate a large, multistate/international, full-service network of commercial vehicle dealerships. As described below, we intend to continue to grow our business by expanding our product and service offerings through acquisitions in new geographic areas and by opening new locations to enable us to better serve our customers.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Expansion of Product and Service Offerings</w:t>
            </w:r>
            <w:r>
              <w:rPr>
                <w:rFonts w:ascii="Times New Roman;Times;serif" w:hAnsi="Times New Roman;Times;serif"/>
                <w:caps w:val="false"/>
                <w:smallCaps w:val="false"/>
                <w:sz w:val="20"/>
              </w:rPr>
              <w:t>. We intend to continue to expand our product lines within our existing locations by adding product categories and service capabilities that are both complementary to our existing product lines and well suited to our operating model. We will continue to take advantage of technological advances that will provide us with the opportunity to offer vehicle owners more aftermarket options and the ability to maximize the performance of vehicles in their fleets using telematics and other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Expansion Into New Geographic Areas</w:t>
            </w:r>
            <w:r>
              <w:rPr>
                <w:rFonts w:ascii="Times New Roman;Times;serif" w:hAnsi="Times New Roman;Times;serif"/>
                <w:caps w:val="false"/>
                <w:smallCaps w:val="false"/>
                <w:sz w:val="20"/>
              </w:rPr>
              <w:t>. We plan to continue to expand our dealership network by acquiring existing dealerships or opening new locations in areas where we do not already have locations. We believe the geographic diversity of our Rush Truck Center network has significantly expanded our customer base while reducing the effects of local economic cycles.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Open New Rush Truck Centers in Existing Areas of Operation</w:t>
            </w:r>
            <w:r>
              <w:rPr>
                <w:rFonts w:ascii="Times New Roman;Times;serif" w:hAnsi="Times New Roman;Times;serif"/>
                <w:caps w:val="false"/>
                <w:smallCaps w:val="false"/>
                <w:sz w:val="20"/>
              </w:rPr>
              <w:t>. We continually evaluate opportunities to increase our market presence by adding new Rush Truck Centers within our current franchises’ areas of operation.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Management of Our Dealerships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Rush Truck Centers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Rush Truck Centers are responsible for sales of new and used commercial vehicles, as well as related Aftermarket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Aftermarket Products and Services</w:t>
      </w:r>
      <w:r>
        <w:rPr>
          <w:rFonts w:ascii="Times New Roman" w:hAnsi="Times New Roman"/>
          <w:caps w:val="false"/>
          <w:smallCaps w:val="false"/>
          <w:sz w:val="20"/>
        </w:rPr>
        <w:t>. Revenues from Aftermarket Products and Services accounted for approximately $2,523.0 million, or 33.9%, of our total revenues for 2025, and 63.7% of our gross profit. Rush Truck Centers carry a wide variety of commercial vehicle parts in inventory. Certain Rush Truck Centers also feature fully equipped service and collision center facilities, the combination and configuration of which varies by location, capable of handling a broad range of repairs on most commercial vehicles. Each Rush Truck Center with a service department is a warranty service center for the commercial vehicle manufacturers represented at that location, if any, and most are also authorized service centers for other vehicle component manufacturers, including Cummins, Eaton, Caterpillar and Allison. We also have mobile service technicians and technicians who staff our customers’ facilities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service departments perform warranty and non-warranty repairs on commercial vehicles. The cost of warranty work is generally reimbursed by the applicable manufacturer at retail commercial rates. Warranty-related parts and service revenues accounted for approximately $182.7 million, or 2.5%, of our total revenues for 2025. Additionally, we provide a wide array of services, including assembly services for specialized commercial vehicle bodies and commercial vehicle mounted equipment. Our goal is to provide our customers with any service that they need related to their commercial vehicles.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enter into contracts to provide full-service maintenance on certain customers’ vehicles. We had 3,733 vehicles under contract maintenance as of December 31, 2025. The full-service maintenance revenues and retail service revenues are included as Aftermarket Products and Services revenues on our Consolidated Statement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New Commercial Vehicle Sales</w:t>
      </w:r>
      <w:r>
        <w:rPr>
          <w:rFonts w:ascii="Times New Roman" w:hAnsi="Times New Roman"/>
          <w:caps w:val="false"/>
          <w:smallCaps w:val="false"/>
          <w:sz w:val="20"/>
        </w:rPr>
        <w:t>. New commercial vehicle sales represent the largest portion of our revenues, accounting for approximately $4,139.8 million, or 55.7%, of our total revenues in 2025. Of this total, new Class 8 heavy-duty truck sales accounted for approximately $2,425.5 million, or 32.6%, of our total revenues for 2025, and 58.6% of our new commercial vehicle revenues for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Rush Truck Centers that sell new and used Class 8 heavy-duty trucks manufactured by Peterbilt, International, Hino or Battle Motors may also sell medium-duty and light-duty commercial vehicles. Certain Rush Truck Centers sell medium-duty commercial vehicles manufactured by Peterbilt, Hino, Isuzu, Ford, International, Blue Arc or Battle Motors, buses manufactured by Blue Bird, IC Bus, Micro Bird or Collins bus and light-duty commercial vehicles manufactured by Ford. New medium-duty commercial vehicle sales, excluding new bus sales, accounted for approximately $1,271,1 million, or 17.1%, of our total revenues for 2025, and 30.7% of our new commercial vehicle revenues for 2025. New bus sales accounted for approximately $239.4 million, or 3.2%, of our total revenues for 2025, and 5.8% of our new commercial vehicle revenues for 2025. New light-duty commercial vehicle sales accounted for approximately $179.1 million, or 2.4%, of our total revenues for 2025, and 4.3% of our new commercial vehicle revenues for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significant portion of our new commercial vehicle sales are with customers with large fleets of commercial vehicles. Because of the size and geographic scope of our Rush Truck Center network, our strong relationships with our fleet customers and our ability to manage large quantities of used commercial vehicle trade-ins, we are able to successfully market and sell to fleet customers nationwide. We believe that we have a competitive advantage over many dealerships because we can absorb multi-unit trade-ins often associated with fleet sales and effectively disperse the used commercial vehicles for resale throughout our dealership network. We believe that the broad range of products and services we offer to purchasers of commercial vehicles at the time of purchase and post-purchase results in a high level of customer loyalty.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Used Commercial Vehicle Sales</w:t>
      </w:r>
      <w:r>
        <w:rPr>
          <w:rFonts w:ascii="Times New Roman" w:hAnsi="Times New Roman"/>
          <w:caps w:val="false"/>
          <w:smallCaps w:val="false"/>
          <w:sz w:val="20"/>
        </w:rPr>
        <w:t>. Used commercial vehicle sales accounted for approximately $363.7 million, or 4.9%, of our total revenues for 2025. We sell used commercial vehicles at most of our Rush Truck Centers and at our non-franchised used commercial vehicle facilities. We believe that we are well positioned to market used commercial vehicles due to our ability to recondition them for resale utilizing the service and collision center departments of our Rush Truck Centers and our ability to move used commercial vehicles between our dealerships as customer demand warrants. Most of our used commercial vehicle inventory consists of commercial vehicles taken as trade-ins from new commercial vehicle customers or retired from our lease and rental fleet, but we also supplement our used commercial vehicle inventory by purchasing used commercial vehicles from third parties for resale, as market conditions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Vehicle Leasing and Rental</w:t>
      </w:r>
      <w:r>
        <w:rPr>
          <w:rFonts w:ascii="Times New Roman" w:hAnsi="Times New Roman"/>
          <w:caps w:val="false"/>
          <w:smallCaps w:val="false"/>
          <w:sz w:val="20"/>
        </w:rPr>
        <w:t>. Vehicle leasing and rental revenues accounted for approximately $369.6 million, or 5.0%, of our total revenues for 2025. At our Rush Truck Leasing locations, we engage in full-service commercial vehicle leasing and rental through our PacLease and Idealease franchises. As of December 31, 2025, we had 9,988 commercial vehicles in our lease and rental fleet. Generally, we sell commercial vehicles that have been retired from our lease and rental fleet through our used commercial vehicles sales operations. Historically, we have realized gains on the sale of used lease and rental fleet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New and Used Commercial Vehicle Financing and Insurance</w:t>
      </w:r>
      <w:r>
        <w:rPr>
          <w:rFonts w:ascii="Times New Roman" w:hAnsi="Times New Roman"/>
          <w:caps w:val="false"/>
          <w:smallCaps w:val="false"/>
          <w:sz w:val="20"/>
        </w:rPr>
        <w:t>. The sale of financial and insurance products accounted for approximately $21.1 million, or 0.3%, of our total revenues for 2025. Finance and insurance revenues have minimal direct costs and therefore contribute a disproportionate share of our operating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Many of our Rush Truck Centers have personnel responsible for arranging third-party financing for our product offerings. Generally, commercial vehicle finance contracts involve an installment contract, which is secured by the commercial vehicle financed and requires a down payment, with the remaining balance generally financed over a two-year to seven-year period. Most of these finance contracts are sold to third parties without recourse to us. We provide an allowance for repossession losses and early repayment penalties that we may incur under these finance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sell, as an agent, a complete line of property and casualty insurance to commercial vehicle owners. Our agency, which operates at locations around the United States outside of our Rush Truck Centers, is licensed to sell commercial vehicle liability, collision and comprehensive, workers’ compensation, cargo, and credit life insurance coverage offered by several leading insurance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Human Capital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people are essential to our long-term success and our human capital strategy is designed to support operational excellence and ensure we have the talent required to meet the evolving needs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31, 2025, we employed 7,355 people in the U.S. and 582 people in Canada. Of these employees, less than 1% were classified as part-time. We do not regularly use independent contractors in our business operations. We strive to provide our employees with the security of long-term employment, competitive compensation and benefits, a consistent work schedule and opportunities to improve their skills and advance within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Core Values.</w:t>
      </w:r>
      <w:r>
        <w:rPr>
          <w:rFonts w:ascii="Times New Roman" w:hAnsi="Times New Roman"/>
          <w:caps w:val="false"/>
          <w:smallCaps w:val="false"/>
          <w:sz w:val="20"/>
        </w:rPr>
        <w:t xml:space="preserve"> Our core values define our culture and reflect who we are and the way we interact with our customers, suppliers, co-workers and shareholders. Our core values are productivity, fairness, excellence and a positive attitude and are described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Productivity means constantly striving toward efficiency and success in all interactions and activities while working with a common purpose and sense of urgency.</w:t>
            </w:r>
          </w:p>
        </w:tc>
      </w:tr>
    </w:tbl>
    <w:tbl>
      <w:tblPr>
        <w:tblW w:w="8995" w:type="dxa"/>
        <w:jc w:val="left"/>
        <w:tblInd w:w="0" w:type="dxa"/>
        <w:tblLayout w:type="fixed"/>
        <w:tblCellMar>
          <w:top w:w="0" w:type="dxa"/>
          <w:left w:w="0" w:type="dxa"/>
          <w:bottom w:w="0" w:type="dxa"/>
          <w:right w:w="0" w:type="dxa"/>
        </w:tblCellMar>
      </w:tblPr>
      <w:tblGrid>
        <w:gridCol w:w="60"/>
        <w:gridCol w:w="170"/>
        <w:gridCol w:w="8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87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Fairness characterizes our honesty, integrity, truthfulness, dependability and reliability in everything we do.</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Excellence means doing it better than everyone else does. Our excellence is reflected in our first-class facilities, quality products and services, motivated and talented employees, superior results for the customer and consistency throughout our organization.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Positive attitude means approaching every day with excitement and passion for our work and dedication to our customers with positive intensity.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of these core values is embodied in our code of conduct, which we call our Rush Driving Principles. Employees are required to complete training on the Rush Driving Principles and certify that they have read and understand such principles on an annual basis. We believe that our core values are the foundation of a strong and ethical culture that is a strength for us, and we intend to continue building upon that culture to improve performance across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Employee Recruitment</w:t>
      </w:r>
      <w:r>
        <w:rPr>
          <w:rFonts w:ascii="Times New Roman" w:hAnsi="Times New Roman"/>
          <w:caps w:val="false"/>
          <w:smallCaps w:val="false"/>
          <w:sz w:val="20"/>
        </w:rPr>
        <w:t>. We strive to attract the best talent from a variety of sources to meet the current and future needs of our business. We have established relationships with multiple trade schools and universities across the country that we utilize as a source of entry-level talent. Additionally, we believe it is incumbent upon all our managers to continuously monitor their local markets for experienced individuals who might be successful additions to our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Compensation Programs and Employee Benefits</w:t>
      </w:r>
      <w:r>
        <w:rPr>
          <w:rFonts w:ascii="Times New Roman" w:hAnsi="Times New Roman"/>
          <w:caps w:val="false"/>
          <w:smallCaps w:val="false"/>
          <w:sz w:val="20"/>
        </w:rPr>
        <w:t>. Our compensation programs are designed to provide a compensation package that will attract, retain, motivate and reward employees who must operate in a highly competitive, fast-paced environment. In general, our compensation programs consist of a base salary or hourly rate, commissions for employees in front-line customer facing roles, cash performance bonuses for certain employees, equity incentive awards for senior leaders, vacation leave, sick leave and other forms of paid time off.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offer a defined contribution retirement savings plan (the “Rush 401k Plan”) to eligible employees. Under the Rush 401k Plan, participants may contribute a percentage of their eligible compensation on a pre-tax or post-tax (Roth) basis. We provide a matching contribution that is based on the participants’ contribution and years of service. Contributions to the plan are invested in various investment options selected by the participants, including mutual funds, target-date funds, and other investment vehicles.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committed to fair pay and have established a minimum hourly wage of $15.00 per hour. Our employees receive a base level of monthly or hourly compensation that we believe is commensurate with their expertise, skills, knowledge, experience and location. We are an equal opportunity employer and employment and advancement within the Company is based solely upon individual merit and qualifications directly related to the job. To guard against unintentional discriminatory effects and to promote transparency and equality of opportunity, we regularly conduct analyses of pay to identify any adverse impacts to any legally protected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provide our full-time employees with comprehensive benefit options that allow our employees and their families to live healthier and more secure lives. Some examples of the wide-ranging benefits we offer include medical insurance, prescription drug benefits, dental insurance, vision insurance, hospital indemnity insurance, accident insurance, critical illness insurance, smoking cessation assistance, life insurance, disability insurance, health savings accounts and flexible spending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provide our employees with an opportunity to participate in the ownership of the Company by offering an employee stock purchase plan that allows employees to contribute a portion of their base earnings every six months toward the semi-annual purchase of the Company’s Class A common stock. Employees participating in the stock purchase plan receive a 15% discount on the purchase price of the stock, with such discount based on lesser of the closing price of the Class A common stock on the first business day or the last business day of the semi-annual offering period. In addition, we provide our employees with an opportunity to save for retirement by participating in the Rush 401k plan, which has a Company-matching component that is based on years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Talent Development</w:t>
      </w:r>
      <w:r>
        <w:rPr>
          <w:rFonts w:ascii="Times New Roman" w:hAnsi="Times New Roman"/>
          <w:caps w:val="false"/>
          <w:smallCaps w:val="false"/>
          <w:sz w:val="20"/>
        </w:rPr>
        <w:t>. Our talent development programs supply our employees and leaders with tools and experiences to foster learning, employee engagement, leadership development, talent management, and employee development. Career development is fostered through education, training, learning opportunities, succession planning and performance management. Programs are designed to facilitate the development and advancement of talent from within our organization to enable us to continuously fill our ranks with qualified employees for critical positions in the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Rush Foundational Leader Program is focused on developing key management and leadership skills. The Rush Foundational Leader Program consists of a series of courses ranging from basic management skills, including promoting a culture of inclusion, to more advanced leadership concepts and skills that are designed for managers throughout our organization. As a continuation of our leadership development initiatives, we have implemented our High Impact Leadership series, which focuses on building more advanced leadership skills such as motivating employees through meaningful feedback and inclusive leadership and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support career growth and organizational succession planning, we utilize Fuel50, a performance management and career pathing tool designed to help leaders facilitate performance and development conversations while giving employees a tool to discover and communicate their career aspirations. In addition, we have established a program called Growing Resilient Outstanding Women (“GROW”), which is open to all employees and focuses on enabling women to continue their professional development through educational opportunities, mentoring and networking. We also have a New Graduate Program that identifies and recruits new talent from universities across the country and provides on-the-job training for them to fill various roles within our dealership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enhance and develop the technical skills of entry-level service and body shop technicians, we established a formal mentorship program led by experienced service and body shop technicians who serve as mentors to newly hired, entry level service and body shop technicians. We believe that this program increases the technicians’ likelihood of career success. This formal mentorship program also helps us identify top performers and we believe it improves employee performance and retention for participants in the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Employee Experience.</w:t>
      </w:r>
      <w:r>
        <w:rPr>
          <w:rFonts w:ascii="Times New Roman" w:hAnsi="Times New Roman"/>
          <w:caps w:val="false"/>
          <w:smallCaps w:val="false"/>
          <w:sz w:val="20"/>
        </w:rPr>
        <w:t xml:space="preserve"> We actively monitor and strengthen our organizational culture by regularly gathering employee feedback through various internal channels. We leverage insights from our intact workgroups, cross functional employee forums, and periodic listening sessions. These structured conversations and feedback mechanisms help us identify opportunities to improve the employee experience, support retention, and ensure our workplace remains aligned with our core values. We also use onboarding and exit survey feedback to monitor and improve engagement and retention.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formal listening groups that provide additional engagement channels for feedback from our dealerships to senior management throughout the year. One of these groups is the Field Leadership Advisory Group (“FLAG”). FLAG consists of field employees nominated and selected for their valuable experience. They provide regular feedback to executives to ensure that issues they are facing are handled in an efficient and consistent manner and with the customer in mind. Feedback gathered throughout the year is reviewed and tracked to assess progress against our internal goals and to inform actions that enhance engagement and organizational effectiveness.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recognize outstanding employee contributions through our STAR recognition program, which celebrates superior performance and adherence to our core values. Employees receiving the highest levels of recognition are further honored at our Excellence Awards banquet, an annual ceremony that celebrates exceptional achievements across the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Workforce Data</w:t>
      </w:r>
      <w:r>
        <w:rPr>
          <w:rFonts w:ascii="Times New Roman" w:hAnsi="Times New Roman"/>
          <w:caps w:val="false"/>
          <w:smallCaps w:val="false"/>
          <w:sz w:val="20"/>
        </w:rPr>
        <w:t>. Management continually monitors employee turnover data, which is supplemented with additional data from exit surveys to assist in determining the reasons for voluntary employee terminations. In 2025, our overall turnover rate was 26.0%, as compared to 30.5% in 2024, due in part to expense reduction efforts completed in the first half of 2024 which increased our turnover rate in 2024. The turnover rate of our technicians is monitored closely by management, as the retention of skilled technicians is critical to the success of the Company. Demand for technicians across the country is very high, and turnover in this role is also traditionally high for commercial vehicle dealers. In 2025, our turnover rate for technicians was 35.0%, compared to 38.1% in 2024. Recognizing the industry-wide challenge of technician turnover, we have implemented a comprehensive strategy to retain and engage this critical segment of our workforce. Our strategy includes identifying key predictors of turnover, conducting technician “stay” interviews to proactively address concerns and improve job satisfaction and employing pay calculator tools to ensure our employees have a clear understanding of their total compensation package in addition to the technician mentoring program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Ethics and Compliance</w:t>
      </w:r>
      <w:r>
        <w:rPr>
          <w:rFonts w:ascii="Times New Roman" w:hAnsi="Times New Roman"/>
          <w:caps w:val="false"/>
          <w:smallCaps w:val="false"/>
          <w:sz w:val="20"/>
        </w:rPr>
        <w:t>. We are committed to maintaining the highest standards of corporate conduct and fostering a culture of integrity and accountability throughout our organization. Our ethics and compliance program is structured to ensure adherence to applicable laws, regulations and industry standards, as well as to uphold our core values and the principles outlined in the Rush Driving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cornerstone of our program is the ongoing training and education of our employees on key ethics and compliance topics, equipping them to make informed decisions and uphold the standards expected of our organization. We further reinforce this commitment through regular communications that emphasize the importance of ethics and integrity in all aspects of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ensure that concerns can be raised and questions addressed without fear of retaliation, we provide an anonymous ethics helpline. This helpline enables employees and stakeholders to confidentially report potential ethics violations or misconduct and seek guidance on ethics and compliance-related matters</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Health and Safety. </w:t>
      </w:r>
      <w:r>
        <w:rPr>
          <w:rFonts w:ascii="Times New Roman" w:hAnsi="Times New Roman"/>
          <w:caps w:val="false"/>
          <w:smallCaps w:val="false"/>
          <w:sz w:val="20"/>
        </w:rPr>
        <w:t>Promoting a safe and healthy workplace is our highest priority and is embodied in our core values. We utilize a mixture of leading and lagging indicators to assess the health and safety performance of our operations. Lagging indicators include the OSHA Total Recordable Incident Rate ("TRIR") and the Lost Time (or Lost Workday) Incident Rate ("LTIR") based upon the number of incidents per 100 employees (or per 200,000 work hours). Leading indicators include training completion rates, tracking of local safety committee meeting minutes, and recording of near misses, as well as other proactive actions taken to ensure employee safety. In 2025, we had a TRIR of 3.18, compared to 4.10 in 2024 and a LTIR of 0.64 in 2025, compared to 0.62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Labor Relations. </w:t>
      </w:r>
      <w:r>
        <w:rPr>
          <w:rFonts w:ascii="Times New Roman" w:hAnsi="Times New Roman"/>
          <w:caps w:val="false"/>
          <w:smallCaps w:val="false"/>
          <w:sz w:val="20"/>
        </w:rPr>
        <w:t>We have entered into collective bargaining agreements covering certain employees at our Rush Truck Center, Joliet location, which will expire on May 3, 2026, Rush Truck Center, Carol Stream location, which will expire on May 2, 2027, Rush Truck Center, Chicago Light and Medium Duty location, which will expire on May 6, 2028 and at our Rush Truck Center, Chicago, location, which will expire on May 10, 2029. There have been no strikes, work stoppages or slowdowns during the negotiations of the foregoing collective bargaining agreements or at any time in the Company’s history, although no assurances can be given that such actions will not occur in the future. We believe that our relations with the labor unions that represent these employees are generally good.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established history of operations in the commercial vehicle business has resulted in a strong customer base that is diverse in terms of geography, industry and scale of operations. Our customers include national and regional truck fleets, corporations, local and state governments and owner-operators. During 2025, no single customer accounted for more than 10% of our sales by dollar volume. We generally promote our products and related services through direct customer contact by our sales personnel and advertising.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Facility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Personnel.</w:t>
      </w:r>
      <w:r>
        <w:rPr>
          <w:rFonts w:ascii="Times New Roman" w:hAnsi="Times New Roman"/>
          <w:caps w:val="false"/>
          <w:smallCaps w:val="false"/>
          <w:sz w:val="20"/>
        </w:rPr>
        <w:t xml:space="preserve"> Each of our facilities is typically managed by a general manager who oversees the operations, personnel and the financial performance of the location, subject to the direction of a regional manager and personnel at our corporate headquarters. Additionally, each full-service Rush Truck Center is typically staffed by department managers, sales representatives and other employees, as appropriate, given the services offered. The sales staff of each Rush Truck Center is compensated on a salary plus commission, or a commission only basis, while department managers receive a combination of salary and performance bonus. We believe that our employees are among the highest paid in the industry, which enables us to attract and retain qualified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Compliance with Policies and Procedures.</w:t>
      </w:r>
      <w:r>
        <w:rPr>
          <w:rFonts w:ascii="Times New Roman" w:hAnsi="Times New Roman"/>
          <w:caps w:val="false"/>
          <w:smallCaps w:val="false"/>
          <w:sz w:val="20"/>
        </w:rPr>
        <w:t xml:space="preserve"> Each Rush Truck Center is audited regularly for compliance with corporate policies and procedures. These internal audits objectively measure dealership performance with respect to corporate expectations in the management and administration of sales, commercial vehicle inventory, parts inventory, parts sales, service sales, collision center sales, corporate policy compliance and environmental and safety compliance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Purchasing and Suppliers.</w:t>
      </w:r>
      <w:r>
        <w:rPr>
          <w:rFonts w:ascii="Times New Roman" w:hAnsi="Times New Roman"/>
          <w:caps w:val="false"/>
          <w:smallCaps w:val="false"/>
          <w:sz w:val="20"/>
        </w:rPr>
        <w:t xml:space="preserve"> Because of our size and the corresponding cost savings we provide, we benefit from volume purchases at favorable prices that permit us to achieve a competitive pricing position in the industry. We purchase our commercial vehicle inventory and proprietary parts and accessories directly from the applicable vehicle manufacturer, wholesale distributors, or other sources that provide the most favorable pricing. Most purchasing commitments are negotiated by personnel at our corporate headquarters. Historically, we have been able to negotiate favorable pricing levels and terms, which enable us to offer competitive prices for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Commercial Vehicle Inventory Management.</w:t>
      </w:r>
      <w:r>
        <w:rPr>
          <w:rFonts w:ascii="Times New Roman" w:hAnsi="Times New Roman"/>
          <w:caps w:val="false"/>
          <w:smallCaps w:val="false"/>
          <w:sz w:val="20"/>
        </w:rPr>
        <w:t xml:space="preserve"> We utilize our management information systems to monitor the inventory level of commercial vehicles at each of our dealerships and transfer new and used commercial vehicle inventory among Rush Truck Centers as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Parts Distribution and Inventory Management.</w:t>
      </w:r>
      <w:r>
        <w:rPr>
          <w:rFonts w:ascii="Times New Roman" w:hAnsi="Times New Roman"/>
          <w:caps w:val="false"/>
          <w:smallCaps w:val="false"/>
          <w:sz w:val="20"/>
        </w:rPr>
        <w:t xml:space="preserve"> We utilize a parts inventory distribution and management system that allows for the prompt transfer of parts inventory among various Rush Truck Centers. The transfer of inventory reduces delays in delivery, helps maximize inventory turns and assists in reducing overstock and understock. Our network is linked to our major suppliers for purposes of ordering parts and managing parts inventory levels. Automated reordering and communication systems allow us to maintain proper parts inventory levels and permit us to have parts inventory delivered to our locations, or directly to customers, typically within 24 hours of an order being 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16, 2025, we acquired 100% of the outstanding shares of Leeds Transit, Inc. The acquisition included IC Bus and Collins Bus franchised commercial vehicle dealership locations in Elgin and Woodstock, Ontario and a sales office in St-Roch-de-l’Achigan, Quebec, along with commercial vehicle and parts inventory. The transaction was valued at approximately $25.6 million, with the purchase price paid in cash, with borrowings made pursuant to the RTC Canada’s floor plan credit agreement and a mortgage to finance the real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15, 2024, we acquired certain assets of Nebraska Peterbilt, which included real estate and a Peterbilt commercial vehicle franchise in Grand Island and North Platte, Nebraska, along with commercial vehicle and parts inventory. The transaction was valued at approximately $16.5 million, with the purchase price paid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4, 2023, we acquired certain assets of Freeway Ford Truck Sales, Inc., which included real estate and a Ford commercial vehicle franchise in Chicago, Illinois, along with commercial vehicle and parts inventory. The transaction was valued at approximately $16.3 million, with the purchase price paid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See Note 15 – Acquisitions in the Notes to the Financial Statements for further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is, and will continue to be, significant competition both within our current markets and in new markets we may enter. We anticipate that competition between us and other dealership groups will continue to increase in our current markets and on a national level based on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ability to keep customers’ vehicles operational, which is dependent on the accessibility of dealership locations and the ability to attract and retain service technicians;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of dealership locations representing the manufacturers that we represent and other manufacturers, which impacts manufacturers’ ability to provide more consistent, higher quality service in a timely manner across their dealership networks;</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60"/>
        <w:gridCol w:w="170"/>
        <w:gridCol w:w="46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price, value, quality and design of the products sold; and</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60"/>
        <w:gridCol w:w="170"/>
        <w:gridCol w:w="5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attention to customer service (including technical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dealerships compete with dealerships representing other manufacturers, including commercial vehicles manufactured by Freightliner, Kenworth, Mack and Volvo. We believe that our dealerships are able to compete with other franchised dealerships, independent service centers, parts wholesalers, commercial vehicle wholesalers, rental service companies and industrial auctioneers in distributing our products and providing service because of the following: the overall quality and reputation of the products we sell; the “Rush” brand name recognition and reputation for quality service; the geographic scope of our dealership network; the breadth of commercial vehicles offered in our dealership network; and our ability to provide comprehensive Aftermarket Products and Services, as well as financing, insurance and other customer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Dealership Franchise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Peterbilt.</w:t>
      </w:r>
      <w:r>
        <w:rPr>
          <w:rFonts w:ascii="Times New Roman" w:hAnsi="Times New Roman"/>
          <w:caps w:val="false"/>
          <w:smallCaps w:val="false"/>
          <w:sz w:val="20"/>
        </w:rPr>
        <w:t xml:space="preserve"> We have entered into nonexclusive dealership franchise agreements with Peterbilt that authorize us to act as a dealer of Peterbilt heavy- and medium-duty trucks. Our Peterbilt areas of responsibility currently encompass areas in the states of Alabama, Arizona, California, Colorado, Florida, Kentucky, Nebraska, Nevada, New Mexico, Oklahoma, Tennessee and Texas. These agreements currently have terms expiring in June 2026. Our agreements with Peterbilt may be terminated by Peterbilt in the event that the aggregate voting power of W.M. “Rusty” Rush, and certain current and former executives of the Company decreases below 22%. Sales of new Peterbilt commercial vehicles accounted for approximately 26.1% of our total revenues for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International.</w:t>
      </w:r>
      <w:r>
        <w:rPr>
          <w:rFonts w:ascii="Times New Roman" w:hAnsi="Times New Roman"/>
          <w:caps w:val="false"/>
          <w:smallCaps w:val="false"/>
          <w:sz w:val="20"/>
        </w:rPr>
        <w:t xml:space="preserve"> We have entered into nonexclusive dealership franchise agreements with International that authorize us to act as a dealer of International heavy- and medium-duty trucks and, in certain markets, IC buses. Our International areas of responsibility currently encompass areas in the states of Arkansas, Georgia, Idaho, Illinois, Indiana, Kansas, Missouri, North Carolina, Ohio, Tennessee, Utah, Virginia and Ontario, Canada and with respect to IC buses, the province of Quebec and the Maritimes. These agreements currently have terms expiring between December 2026 and May 2030. Sales of new International commercial vehicles accounted for approximately 14.7% of our total revenues for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Other Commercial Vehicle Suppliers</w:t>
      </w:r>
      <w:r>
        <w:rPr>
          <w:rFonts w:ascii="Times New Roman" w:hAnsi="Times New Roman"/>
          <w:caps w:val="false"/>
          <w:smallCaps w:val="false"/>
          <w:sz w:val="20"/>
        </w:rPr>
        <w:t>. In addition to our dealership franchise agreements with Peterbilt and International, various Rush Truck Centers have entered into dealership franchise agreements with other commercial vehicle manufacturers, including Ford, Hino, Isuzu and Battle Motors that have perpetual terms and Blue Bird, Micro Bird and Blue Arc that have variable terms. Sales of new non-Peterbilt and non-International commercial vehicles accounted for approximately 11.1% of our total revenues for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dealership franchise agreements impose certain operational obligations and financial requirements upon us and the relevant dealerships. In addition, each of our dealership franchise agreements requires the consent of the relevant manufacturer for the sale or transfer of a franchise.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termination or nonrenewal of our dealership agreements must follow certain guidelines established by both state and federal legislation designed to protect motor vehicle dealers from arbitrary termination or nonrenewal of franchise agreements. The federal Automobile Dealers Day in Court Act and certain other similar state laws generally provide that the termination or nonrenewal of a motor vehicle dealership agreement must be done in “good faith” and upon a showing of “good cause” by the manufacturer for such termination or nonrenewal, as such terms have been defined by statute and interpreted in case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Floor Plan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Most of our commercial vehicle purchases are made on terms requiring payment to the manufacturer within 15 to 90 days or less from the date the commercial vehicles are invoiced from the factory. Navistar Financial Corporation and Peterbilt offer trade terms that provide an interest-free inventory stocking period for certain new commercial vehicles. This interest-free period is 15 to 180 days. If the commercial vehicle is not sold within the interest-free period, we may finance the commercial vehicle under the credit agreements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16, 2024, we entered into the Inventory Financing and Purchase Money Security Agreement (the “PFC Floor Plan Credit Agreement”) with PACCAR Financing Corp. (“PFC”). The PFC Floor Plan Credit Agreement includes an aggregate loan commitment of $800.0 million for the financing of new Peterbilt trucks, tractors, chassis and other related equipment manufactured by Peterbilt. Borrowings under the PFC Floor Plan Credit Agreement bear interest per annum, payable on the fifth day of the following month, at our option, at either (A) the prime rate, minus 2.10%, provided that the floating rate of interest is subject to a floor of 0%, or (B) a fixed rate, to be determined between us and PFC in each instance of borrowing at a fixed rate. The PFC Floor Plan Credit Agreement expires on December 16, 2029, although either party has the right to terminate the PFC Floor Plan Credit Agreement at any time upon 360 days written notice. On December 31, 2025, we had approximately $380.0 million outstanding under the PFC Floor Plan Credit Agreement. Pursuant to a written agreement with Peterbilt, we pay Peterbilt directly for inventory financed pursuant to the PFC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14, 2021, we entered into the Fifth Amended and Restate Credit Agreement (the “BMO Floor Plan Credit Agreement”) (as amended) with BMO Bank, N.A. (“BMO Bank”) and the lenders signatory thereto. This agreement previously had an aggregate loan commitment of $1.0 billion, which we utilized to finance all of our new and used commercial vehicle inventory in the United States until we entered into the PFC Floor Plan Credit Agreement. On December 12, 2024, we entered into an amendment of the BMO Floor Plan Credit Agreement that reduced the aggregate loan commitment from $1.0 billion to $675.0 million and removed trucks, tractors and chassis manufactured by Peterbilt from the definition of “Inventory.” We utilize the BMO Floor Plan Credit Agreement to finance our new commercial vehicle inventory, except for equipment manufactured by Peterbilt, and have the ability to finance all of our used commercial vehicle inventory through this facility as well. Borrowings under the BMO Floor Plan Credit Agreement bear interest per annum, payable monthly, at (A) the greater of (i) zero and (ii) Term SOFR (as defined in the agreement), plus (B) 1.20%. Borrowings under the BMO Floor Plan Credit Agreement for the purchase of used inventory are limited to $150.0 million and loans for working capital purposes are limited to $200.0 million. The BMO Floor Plan Credit Agreement expires on December 31, 2029, although BMO Bank has the right to terminate at any time upon 360 days written notice and we may terminate at any time, subject to specified limited exceptions. On December 31, 2025, we had approximately $263.7 million outstanding under the BMO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15, 2022, RTC Canada entered into that certain Amended and Restated BMO Wholesale Financing and Security Agreement (the “RTC Canada Floor Plan Credit Agreement”) with Bank of Montreal. Pursuant to the terms of the RTC Canada Floor Plan Credit Agreement (as amended), BMO originally agreed to make up to $116.7 million CAD of revolving credit loans to finance RTC Canada’s purchase of new and used vehicle inventory. On June 13, 2025, the RTC Canada Floor Plan Credit Agreement was amended to increase the loan commitment to $171.7 million CAD. Loans to purchase used vehicle inventory are limited to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made in CAD dollars under the RTC Canada Floor Plan Credit Agreement bear interest per annum, payable monthly, at the Canadian Overnight Repo Rate Average (“CORRA”), plus 1.27%. Advances made in USD dollars bear interest per annum, payable monthly, at monthly Secured Overnight Financing Rate (“SOFR”), plus 1.20%. The RTC Canada Floor Plan Credit Agreement expires on September 14, 2026. On December 31, 2025, we had approximately $81.7 million CAD outstanding under the RTC Canada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Lease and Rental Fleet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14, 2021, we entered into a credit agreement with Wells Fargo Bank, N.A. (“WF”), with the lenders signatory thereto (the “WF Lenders”) and WF as administrative agent (the “WF Credit Agreement”). Pursuant to the terms of the WF Credit Agreement (as amended), the WF Lenders agreed to make up to $175.0 million of revolving credit loans for certain of our capital expenditures, including commercial vehicle purchases for our Idealease leasing and rental fleet, and general working capital needs. We use the revolving credit loans primarily for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SOFR plus (i) 1.25% or (ii) 1.5%, depending on our consolidated leverage ratio or (B) on or after the SOFR transition date, SOFR plus (i) 1.25% or (ii) 1.5%, depending on our consolidated leverage ratio. Effective September 30, 2025, the WF Credit Agreement was amended to, amongst other things, extend the expiration date to September 30, 2028, although, upon the occurrence and during the continuance of an event of default, the agent has the right to, or upon the request of the required lenders must, terminate the commitments and declare all outstanding principal and interest due and payable. We may terminate the commitments at any time. On December 31, 2025, we had approximately $22.3 million outstanding under the WF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1, 2023, we entered into that certain Second Amended and Restated Inventory Financing and Purchase Money Security Agreement with PACCAR Leasing Company (“PLC”), a division of PFC (the “PLC Agreement”). Pursuant to the terms of the PLC Agreement (as amended), PLC agreed to make up to $500.0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In addition, we must maintain a minimum balance of $220.0 million, or we are subject to an unused commitment fee of 0.20% of the amount by which the average daily outstanding principal balance of the loan during such quarter is less than $220.0 million. Advances under the PLC Agreement bear interest per annum, payable on the fifth day of the following month, at our option, at either (A) the prime rate, minus 2.10%, provided that the floating rate of interest is subject to a floor of 0%, or (B) a fixed rate, to be determined between us and PLC in each instance of borrowing at a fixed rate. The PLC Agreement expires on December 16, 2029, although either party has the right to terminate the PLC Agreement at any time upon 360 days written notice. On December 31, 2025, we had approximately $220.0 million outstanding under the PLC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31, 2022, RTC Canada entered into that certain BMO Revolving Lease and Rental Credit Agreement (the “RTC Canada Revolving Credit Agreement”) with BMO. Pursuant to the terms of the RTC Canada Revolving Credit Agreement (as amended), BMO agreed to make up to $120.0 million CAD of revolving credit loans to finance certain of RTC Canada’s capital expenditures, including commercial vehicle purchases and other equipment to be leased or rented through RTC Canada’s Idealease franchise, with an additional $20.0 million CAD available upon the request of RTC Canada and consent of BMO. Borrowings under the RTC Canada Revolving Credit Agreement bear interest per annum payable monthly at CORRA, plus 1.72%. The RTC Canada Revolving Credit Agreement expires on September 14, 2026. On December 31, 2025, we had approximately $40.4 million CAD outstanding under the RTC Canada Revolving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manufacturers we represent provide retail purchasers of their products with a limited warranty against defects in materials and workmanship, excluding certain specified components that are separately warranted by the suppliers of such components. We provide a limited warranty on our proprietary line of parts and related service. Our joint venture entity, Cummins Clean Fuel Technologies, provides a limited warranty with respect to the fuel systems it manufactures. We also provide an extended warranty beyond the manufacturer’s warranty on new Blue Bird school buses that we sell in Texas, as required by state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sell used commercial vehicles in “as is” condition without a manufacturer’s warranty, although manufacturers sometimes will provide a limited warranty on their used products if such products have been properly reconditioned prior to resale or if the manufacturer’s warranty on such product is transferable and has not expired. Although we do not provide any warranty on used commercial vehicles, our customers may purchase third-party warranties from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trademarks and trade names of the manufacturers we represent, which are used in connection with our marketing and sales efforts, are subject to limited licenses included in our dealership agreements with each manufacturer. The licenses are for the same periods as our dealership agreements. These trademarks and trade names are widely recognized and are important in the marketing of our products. Each licensor engages in a continuous program of trademark and trade name protection. We hold registered trademarks from the U.S. Patent and Trademark Office for the following names used in this document: “Rush Enterprises” and “Rush Truck Center.”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Aftermarket Products and Services operations historically have experienced higher sales volumes in the second and third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31, 2025, our backlog of commercial vehicle orders was approximately $1,109.6 million, compared to a backlog of commercial vehicle orders of approximately $1,512.7 million on December 31, 2024. The decrease in our backlog primarily reflects the difficult industry conditions caused by the freight recession.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model ordered. We sell the majority of our new heavy-duty commercial vehicles by customer special order and we sell the majority of our medium- and light-duty commercial vehicles out of inventory. Orders from several of our major fleet customers are included in our backlog as of December 31, 2025, and we expect to fill most of our backlog orders during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Environmental Standards and Other Governmental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operations involving the use, handling, storage, and disposal of hazardous and nonhazardous materials are subject to the requirements of the federal Resource Conservation and Recovery Act, or RCRA, and comparable state and provincial statutes. Pursuant to these laws, federal state and provincial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also have liability in connection with materials that were sent to third 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also subject to federal and state laws and regulations governing commercial vehicle engine emissions. Many of these laws and regulations are rapidly changing and subject to multiple legal challenges. The Environmental Protection Agency (“EPA”) and the National Highway Traffic Safety Administration on behalf of the U.S. Department of Transportation, previously issued rules associated with reducing greenhouse gas (“GHG”) and Nitrogen Oxide (“NOx”) emissions and improving the fuel efficiency of medium and heavy-duty trucks and buses. The California Air Resources Board (“CARB”) adopted its own rules and regulations intended to reduce NOx emissions and phase out the sale of internal combustion vehicles (“ICE”) over time. A group of seventeen U.S. states and the District of Columbia entered into a joint memorandum of understanding that adopted at least a portion of CARB’s emissions regulations and committed each of them to work together to advance and accelerate the market for electric Class 3 through 8 commercial vehicles. Six of the states are states where we operate new commercial vehicle dealerships: California, Colorado, Nevada, New Mexico, North Carolina, and Virginia.</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Recently, the EPA announced that it was repealing its prior findings that GHG emissions endanger public human health and that vehicle emissions contribute to that endangerment (the “Endangerment Finding”). In connection with its repeal of the Endangerment Finding, the EPA also eliminated all GHG engine emission standards for vehicle model years 2012 and beyond. With respect to CARB’s rules and regulations, Congress recently rescinded the federal preemption waivers that the EPA previously granted. These waivers were the basis of CARB’s ability to enact its own engine emissions regulations. The EPA’s repeal of the Endangerment Finding and Congress’ rescission of CARB’s federal preemption waivers are subject to multiple legal challenges, and it is unclear when such challenges will be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One of the EPA’s engine emissions rules that we believe will become effective is referred to herein as the “EPA 2027 Low NOx” rule. This rule requires commercial vehicle engines to emit significantly less NOx than most such engines do today. The EPA 2027 Low Nox rule is expected to become effective in January 2027 with respect to the currently proposed emissions limits but is expected to be modified with respect to certain other provisions, such as reducing the required duration of manufacturers’ engine warranties.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July 2023, CARB and various manufacturers of heavy-duty commercial vehicles and engines, including PACCAR, International, Ford, Hino, Isuzu and Cummins, entered into the Clean Truck Partnership, whereby the manufacturers agreed to comply with CARB’s emission requirements where applicable, regardless of whether any entity challenges CARB’s rule-making authority, and CARB agreed to work with manufacturers to provide reasonable lead time to meet CARB’s requirements and before imposing new regulations. It is not clear at this time if the Clean Truck Partnership will survive in light of Congress’ rescission of CARB’s federal preemption waivers, in addition to legal challenges to CARB’s authority to regulate engine emissions and to the Clean Truck Partnership itself.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CARB were to prevail in its legal challenges against Congress’ recission of the EPA’s federal preemption waivers, attaining the goals stated by CARB and the signers of the joint memorandum would likely require the adoption of new laws and regulations, and we cannot predict at this time whether such laws and regulations would have an adverse impact on our business. With respect to the legal challenges to the EPA’s repeal of the Endangerment Finding, we do not expect that any successful challenge will result in the prior GHG rules and regulations becoming effective in the near term. However, if the EPA’s policies change in the future and a new endangerment finding is issued with respect to GHG emissions, then the EPA may create a new rule similar to the one it created in 2024, which could require commercial vehicle engine manufacturers to manufacture an increasing percentage of “zero-emission” vehicles over time, which would likely reduce the number of diesel ICE vehicles that would be manufactured over the relevant period. Additional EPA regulations, or CARB’s ability to enforce its existing regulations, could result in increased compliance costs, additional operating restrictions, or changes in demand for our products and services,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5" w:name="risk"/>
      <w:bookmarkEnd w:id="5"/>
      <w:r>
        <w:rPr>
          <w:rFonts w:ascii="Times New Roman" w:hAnsi="Times New Roman"/>
          <w:b/>
          <w:caps w:val="false"/>
          <w:smallCaps w:val="false"/>
          <w:sz w:val="20"/>
        </w:rPr>
        <w:t>Item 1A.</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 investment in our common stock is subject to certain risks inherent to our business. In addition to the other information contained in this Form 10-K, we recommend that you carefully consider the following risk factors in evaluating our business. If any of the following risks occur, our financial condition and results of operations could be materially adversely affected. If this were to happen, the value of our common stock could decline significantly, and you could lose all or part of your investment. This report is qualified in its entirety by these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We are</w:t>
      </w:r>
      <w:r>
        <w:rPr>
          <w:rFonts w:ascii="Times New Roman" w:hAnsi="Times New Roman"/>
          <w:caps w:val="false"/>
          <w:smallCaps w:val="false"/>
          <w:sz w:val="20"/>
        </w:rPr>
        <w:t> </w:t>
      </w:r>
      <w:r>
        <w:rPr>
          <w:rFonts w:ascii="Times New Roman" w:hAnsi="Times New Roman"/>
          <w:i/>
          <w:caps w:val="false"/>
          <w:smallCaps w:val="false"/>
          <w:sz w:val="20"/>
        </w:rPr>
        <w:t>dependent upon PACCAR for the supply of Peterbilt trucks and parts, as well as the financing of Peterbilt trucks, the sale of which generates the majority of our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certain Rush Truck Centers, we operate as a dealer of Peterbilt trucks and parts pursuant to dealership agreements with Peterbilt, a division of PACCAR. We have no control over the management or operation of Peterbilt or PACCAR. During 2025, the majority of our revenues resulted from sales of trucks purchased from Peterbilt and parts purchased from PACCAR Parts. Due to our dependence on PACCAR and Peterbilt, we believe that our long-term success depends, in large part, on the following:</w:t>
      </w:r>
    </w:p>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60"/>
        <w:gridCol w:w="170"/>
        <w:gridCol w:w="5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maintain our dealership agreements with Peterbilt;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manufacture and delivery of competitively priced, technologically current, emissions-compliant, high-quality Peterbilt trucks in quantities sufficient to meet our requirements;</w:t>
            </w:r>
          </w:p>
        </w:tc>
      </w:tr>
    </w:tbl>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overall success of PACCAR and Peterbilt;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4570" w:type="dxa"/>
        <w:jc w:val="left"/>
        <w:tblInd w:w="0" w:type="dxa"/>
        <w:tblLayout w:type="fixed"/>
        <w:tblCellMar>
          <w:top w:w="0" w:type="dxa"/>
          <w:left w:w="0" w:type="dxa"/>
          <w:bottom w:w="0" w:type="dxa"/>
          <w:right w:w="0" w:type="dxa"/>
        </w:tblCellMar>
      </w:tblPr>
      <w:tblGrid>
        <w:gridCol w:w="60"/>
        <w:gridCol w:w="170"/>
        <w:gridCol w:w="4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PACCAR’s continuation of its Peterbilt division;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maintenance of goodwill associated with the Peterbilt brand, which can be adversely affected by decisions made by PACCAR, Peterbilt and the owners of other Peterbilt dealerships.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negative change in any of the preceding, or a change in control of PACCAR, could have a material adverse effect on our operations, revenues and profitability. In addition to the factors listed above, we also finance our Peterbilt commercial vehicle inventory through the PFC Floor Plan Agreement with PFC, and thus, the financial health of PACCAR is also important to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We are dependent upon</w:t>
      </w:r>
      <w:r>
        <w:rPr>
          <w:rFonts w:ascii="Times New Roman" w:hAnsi="Times New Roman"/>
          <w:caps w:val="false"/>
          <w:smallCaps w:val="false"/>
          <w:sz w:val="20"/>
        </w:rPr>
        <w:t> </w:t>
      </w:r>
      <w:r>
        <w:rPr>
          <w:rFonts w:ascii="Times New Roman" w:hAnsi="Times New Roman"/>
          <w:i/>
          <w:caps w:val="false"/>
          <w:smallCaps w:val="false"/>
          <w:sz w:val="20"/>
        </w:rPr>
        <w:t>International Motors for the supply of</w:t>
      </w:r>
      <w:r>
        <w:rPr>
          <w:rFonts w:ascii="Times New Roman" w:hAnsi="Times New Roman"/>
          <w:caps w:val="false"/>
          <w:smallCaps w:val="false"/>
          <w:sz w:val="20"/>
        </w:rPr>
        <w:t> </w:t>
      </w:r>
      <w:r>
        <w:rPr>
          <w:rFonts w:ascii="Times New Roman" w:hAnsi="Times New Roman"/>
          <w:i/>
          <w:caps w:val="false"/>
          <w:smallCaps w:val="false"/>
          <w:sz w:val="20"/>
        </w:rPr>
        <w:t>International</w:t>
      </w:r>
      <w:r>
        <w:rPr>
          <w:rFonts w:ascii="Times New Roman" w:hAnsi="Times New Roman"/>
          <w:caps w:val="false"/>
          <w:smallCaps w:val="false"/>
          <w:sz w:val="20"/>
        </w:rPr>
        <w:t> </w:t>
      </w:r>
      <w:r>
        <w:rPr>
          <w:rFonts w:ascii="Times New Roman" w:hAnsi="Times New Roman"/>
          <w:i/>
          <w:caps w:val="false"/>
          <w:smallCaps w:val="false"/>
          <w:sz w:val="20"/>
        </w:rPr>
        <w:t>trucks and parts</w:t>
      </w:r>
      <w:r>
        <w:rPr>
          <w:rFonts w:ascii="Times New Roman" w:hAnsi="Times New Roman"/>
          <w:caps w:val="false"/>
          <w:smallCaps w:val="false"/>
          <w:sz w:val="20"/>
        </w:rPr>
        <w:t> </w:t>
      </w:r>
      <w:r>
        <w:rPr>
          <w:rFonts w:ascii="Times New Roman" w:hAnsi="Times New Roman"/>
          <w:i/>
          <w:caps w:val="false"/>
          <w:smallCaps w:val="false"/>
          <w:sz w:val="20"/>
        </w:rPr>
        <w:t>and IC buses</w:t>
      </w:r>
      <w:r>
        <w:rPr>
          <w:rFonts w:ascii="Times New Roman" w:hAnsi="Times New Roman"/>
          <w:caps w:val="false"/>
          <w:smallCaps w:val="false"/>
          <w:sz w:val="20"/>
        </w:rPr>
        <w:t> </w:t>
      </w:r>
      <w:r>
        <w:rPr>
          <w:rFonts w:ascii="Times New Roman" w:hAnsi="Times New Roman"/>
          <w:i/>
          <w:caps w:val="false"/>
          <w:smallCaps w:val="false"/>
          <w:sz w:val="20"/>
        </w:rPr>
        <w:t>and parts,</w:t>
      </w:r>
      <w:r>
        <w:rPr>
          <w:rFonts w:ascii="Times New Roman" w:hAnsi="Times New Roman"/>
          <w:caps w:val="false"/>
          <w:smallCaps w:val="false"/>
          <w:sz w:val="20"/>
        </w:rPr>
        <w:t> </w:t>
      </w:r>
      <w:r>
        <w:rPr>
          <w:rFonts w:ascii="Times New Roman" w:hAnsi="Times New Roman"/>
          <w:i/>
          <w:caps w:val="false"/>
          <w:smallCaps w:val="false"/>
          <w:sz w:val="20"/>
        </w:rPr>
        <w:t>the sale of which generate</w:t>
      </w:r>
      <w:r>
        <w:rPr>
          <w:rFonts w:ascii="Times New Roman" w:hAnsi="Times New Roman"/>
          <w:caps w:val="false"/>
          <w:smallCaps w:val="false"/>
          <w:sz w:val="20"/>
        </w:rPr>
        <w:t> </w:t>
      </w:r>
      <w:r>
        <w:rPr>
          <w:rFonts w:ascii="Times New Roman" w:hAnsi="Times New Roman"/>
          <w:i/>
          <w:caps w:val="false"/>
          <w:smallCaps w:val="false"/>
          <w:sz w:val="20"/>
        </w:rPr>
        <w:t>a significant portion</w:t>
      </w:r>
      <w:r>
        <w:rPr>
          <w:rFonts w:ascii="Times New Roman" w:hAnsi="Times New Roman"/>
          <w:caps w:val="false"/>
          <w:smallCaps w:val="false"/>
          <w:sz w:val="20"/>
        </w:rPr>
        <w:t> </w:t>
      </w:r>
      <w:r>
        <w:rPr>
          <w:rFonts w:ascii="Times New Roman" w:hAnsi="Times New Roman"/>
          <w:i/>
          <w:caps w:val="false"/>
          <w:smallCaps w:val="false"/>
          <w:sz w:val="20"/>
        </w:rPr>
        <w:t>of our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certain Rush Truck Centers, we operate as a dealer of International trucks and parts and IC buses and parts pursuant to dealership agreements with International and IC Bus, each of which are divisions of International Motors. We have no control over the management or operation of International, IC Bus or International Motors. During 2025, a significant portion of our revenues resulted from sales of trucks purchased from International, buses purchased from IC Bus and parts purchased from International Motors. Due to our dependence on International Motors, International and IC Bus, we believe that our long-term success depends, in large part, on the following:</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60"/>
        <w:gridCol w:w="170"/>
        <w:gridCol w:w="6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maintain our dealership agreements with International and IC Bus;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manufacture and delivery of competitively priced, technologically current, emissions-compliant, high-quality International trucks and IC buses in quantities sufficient to meet our requirements;</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60"/>
        <w:gridCol w:w="170"/>
        <w:gridCol w:w="38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overall success of International Motors;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maintenance of goodwill associated with the International and IC Bus brands, which can be adversely affected by decisions made by International Motors and the owners of other International and IC Bus dealerships.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negative change in any of the preceding, or a change in control of International Motors, could have a material adverse effect on our operations, revenues and profitability.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Our dealership agreements may be terminable upon a change of control, and we cannot control whether our controlling shareholder and management maintain their current</w:t>
      </w:r>
      <w:r>
        <w:rPr>
          <w:rFonts w:ascii="Times New Roman" w:hAnsi="Times New Roman"/>
          <w:caps w:val="false"/>
          <w:smallCaps w:val="false"/>
          <w:sz w:val="20"/>
        </w:rPr>
        <w:t> </w:t>
      </w:r>
      <w:r>
        <w:rPr>
          <w:rFonts w:ascii="Times New Roman" w:hAnsi="Times New Roman"/>
          <w:i/>
          <w:caps w:val="false"/>
          <w:smallCaps w:val="false"/>
          <w:sz w:val="20"/>
        </w:rPr>
        <w:t>ownership</w:t>
      </w:r>
      <w:r>
        <w:rPr>
          <w:rFonts w:ascii="Times New Roman" w:hAnsi="Times New Roman"/>
          <w:caps w:val="false"/>
          <w:smallCaps w:val="false"/>
          <w:sz w:val="20"/>
        </w:rPr>
        <w:t> </w:t>
      </w:r>
      <w:r>
        <w:rPr>
          <w:rFonts w:ascii="Times New Roman" w:hAnsi="Times New Roman"/>
          <w:i/>
          <w:caps w:val="false"/>
          <w:smallCaps w:val="false"/>
          <w:sz w:val="20"/>
        </w:rPr>
        <w:t>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the following constitute a change of control: (i) with respect to the election of directors, the aggregate voting power held by W.M. “Rusty” Rush, Steven Keller, Corey Lowe, Jody Pollard, Jason Wilder, Michael Goldstone, Mike Eppes and Michael McRoberts, along with certain other persons who no longer work for the Company (collectively, the “Dealer Principals”) decreases below 22% (the Dealer Principals, excluding those who no longer work for the Company, controlled approximately 40.8% of the aggregate voting power with respect to the election of directors as of December 31, 2025); or (ii) any person or entity other than the Dealer Principals and their respective associates, or any person or entity who has been approved in writing by PACCAR, owns common stock with a greater percentage of the voting power with respect to the election of our directors than the Dealer Principals and their respective associates, in the aggregate, or any person other than Mr. Rush or any person who has been approved in writing by PACCAR, holds the office of Chairman of the Board and the President or Chief Executive Officer of the Company. We have no control over the transfer or disposition of Mr. Rush’s, or his estate’s, common stock. If Mr. Rush were to sell his Class B common stock or bequest his Class B common stock to a person or entity other than the Dealer Principals, or if his estate is required to liquidate its Class B common stock that it owns, directly or indirectly, to pay estate taxes or otherwise, the change of control provisions of the Peterbilt dealership agreements may be triggered, which would give Peterbilt the right to terminate our dealership agreements. If our dealership agreements with Peterbilt are terminated, we will lose the right to purchase Peterbilt products and operate as an authorized Peterbilt dealer, which would have a material adverse effect on our operations, revenues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Our dealership agreements are non-exclusive and have relatively short terms, which could result in nonrenewal or imposition of less favorable terms upon renewal.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dealership agreements generally do not provide us with exclusive dealerships in any of the areas of responsibility assigned in each dealer agreement. The manufacturers we represent could elect to create additional dealers in our areas of responsibility in the future, subject to restrictions imposed by state laws. While dealership agreements typically restrict dealers from operating franchised sales or service facilities outside their areas of responsibility, such agreements do not restrict sales or marketing activity outside the areas of responsibility. Accordingly, we engage in sales and other marketing activities outside our assigned areas of responsibility and other dealers engage in similar activities within our areas of responsibility.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dealership agreements with Peterbilt and International have current terms expiring between June 2026 and May 2030. Our dealerships agreements with the other manufacturers we represent generally have terms expiring between 2026 and 2029 or have indefinite terms. Upon expiration of each agreement, we must negotiate a renewal. Management expects that, consistent with in some cases decades of past practice, each of our dealership agreements will be renewed or otherwise extended before its termination date, provided that we do not breach any of the material terms of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Management attempts to mitigate the risk that any manufacturer would not renew a dealership agreement by providing superior representation of each brand that we represent in each of our areas of responsibility. We deliver superior representation to our manufacturers by continuously investing substantial capital into our dealership locations, marketing and personnel. Senior members of our management team also communicate with management of the manufacturers that we represent on a regular basis, which we believe allows us to identify any potentially problematic issues as early as possible so that we can begin working on mutually agreeable solutions. In addition to the proactive steps that management takes, the risks that our dealership agreements will not be renewed are also mitigated by dealer protection laws that exist in each of the states that our dealerships are located. Many of these state dealer franchise laws restrict manufacturers’ ability to refuse to renew dealership agreements or to impose new terms upon renewal. However, to the extent such laws did allow for nonrenewal or the imposition of new terms, the relatively short terms would give manufacturers the opportunity to exercise such rights. Any nonrenewal or imposition of less favorable terms upon renewal could have an adverse impact on our business and in the case of the Peterbilt or International dealership agreements, would have an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Our growth strategies may be unsuccessful if we are unable to</w:t>
      </w:r>
      <w:r>
        <w:rPr>
          <w:rFonts w:ascii="Times New Roman" w:hAnsi="Times New Roman"/>
          <w:caps w:val="false"/>
          <w:smallCaps w:val="false"/>
          <w:sz w:val="20"/>
        </w:rPr>
        <w:t> </w:t>
      </w:r>
      <w:r>
        <w:rPr>
          <w:rFonts w:ascii="Times New Roman" w:hAnsi="Times New Roman"/>
          <w:i/>
          <w:caps w:val="false"/>
          <w:smallCaps w:val="false"/>
          <w:sz w:val="20"/>
        </w:rPr>
        <w:t>successfully execute our strategic initiatives or</w:t>
      </w:r>
      <w:r>
        <w:rPr>
          <w:rFonts w:ascii="Times New Roman" w:hAnsi="Times New Roman"/>
          <w:caps w:val="false"/>
          <w:smallCaps w:val="false"/>
          <w:sz w:val="20"/>
        </w:rPr>
        <w:t> </w:t>
      </w:r>
      <w:r>
        <w:rPr>
          <w:rFonts w:ascii="Times New Roman" w:hAnsi="Times New Roman"/>
          <w:i/>
          <w:caps w:val="false"/>
          <w:smallCaps w:val="false"/>
          <w:sz w:val="20"/>
        </w:rPr>
        <w:t>identify and complete future acquisitions.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Over the past few years, we have spent significant resources and efforts attempting to grow and enhance our Aftermarket Products and Services business and increase profitability through new business process management initiatives.  These efforts require timely and continued investment in technology, facilities, personnel and financial and management systems and controls.  We may not be successful in implementing all of the processes that are necessary to support any of our growth initiatives, which could result in our expenses increasing disproportionately to our incremental revenues, causing our operating margins and profitability to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Historically, we have achieved a significant portion of our growth through acquisitions, and we will continue to consider potential acquisitions on a selective basis.  There can be no assurance that we will be able to identify suitable acquisition opportunities in the future or that we will be able to consummate any such transactions on terms and conditions acceptable to us.  Moreover, there can be no assurance that we will obtain manufacturers’ consents to acquisitions of additional franchises.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 the long-term, technological advances in the commercial vehicle industry, including drivetrain electrification or other alternative fuel technologies,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commercial vehicle industry is predicted to experience change over the long-term. We see these changes beginning to occur, as all of the manufacturers we represent now have vehicles with electric drivetrains available for purchase. Technological advances, including with respect to drivetrain electrification or other alternative fuel technologies, could potentially have a material adverse effect on our parts and service business, as such vehicles are currently being described as potentially requiring less service and having fewer parts.  The effect of these technological advances on our business is still uncertain, as there are many factors that are unknowable at this time, including when the infrastructure to support widespread adoption of such vehicles will be in place and when such vehicles may be commercially available at price points that would lead to their widespread adoption. Regardless of where the industry goes with respect to alternative fuel vehicles, we believe that, due to the geographic reach of our dealership network, relationships with both the manufacturers we represent and our customers and our access to capital, we are well-positioned to serve our customers’ evolving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Similarly, although we are aware of ongoing efforts to facilitate the development of autonomous commercial vehicles, the eventual timing of the availability of autonomous commercial vehicles is uncertain due to regulatory requirements and additional technological requirements. The effect of autonomous commercial vehicles on the commercial vehicle industry is uncertain and could include changes in the level of new and used commercial vehicles sales, the price of new commercial vehicles, and the role of franchised dealers, any of which could materially adversely affect our business,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We use AI in our business and challenges with properly incorporating AI into our business and managing its use could result in reputational harm, competitive harm and legal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incorporate AI into various aspects of our business and certain of the products and services that we offer, and we intend to continue expanding our use of AI in our business operations. If we are unable to effectively integrate AI into our business processes or keep pace with rapidly evolving AI technological developments, we may face a competitive disadvantage. At the same time, the use or offering of AI technologies may result in new or expanded risks and liabilities, including enhanced government or regulatory scrutiny, litigation, privacy and compliance issues, ethical concerns, confidentiality, reputational harm, and security risks. It is difficult to predict all the risks related to the use of AI. Changes in laws, rules, directives, and regulations governing the use of AI may adversely affect our ability to develop and use AI or subject us to legal liability. The cost of complying with laws and regulations governing AI could be significant and would increase our operating expenses, which could adversely affect our business, financial condition, results of operations and cash flows. Further, market demand and acceptance of AI technologies are uncertain, and our efforts to further incorporate AI into our business processes may not succeed.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Climate change concerns may impact our business in the future; natural disasters and adverse weather events can disrupt our business.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concerns over climate change may impact our business in the future. Our current business model depends on our ability to sell, and provide services to, commercial vehicles primarily powered by diesel and gasoline internal combustion engines, which produce nitrogen oxide and greenhouse gas emissions. While the manufacturers we represent have made substantial progress in reducing the amount of nitrogen oxide and greenhouse gas emissions that result from internal combustion engines, it is widely accepted that alternative fuel vehicles will constitute an increasing portion of the commercial vehicles that are sold in the future as technology improves and costs decrease, or in the event that government regulations require manufacturers to produce alternative fuel vehicles. Reductions in the sale and use of commercial vehicles powered by internal combustion engines creates risks to our historical business operations and we cannot predict the future costs to our business resulting from these developments. However, we also believe that an industry transition away from internal combustion engines presents significant opportunities for us. Due in large part to the geographic reach of our dealership network, relationships with both the manufacturers we represent and our customers and our access to capital, we believe we are well-positioned to serve our customers’ evolving needs and help them reduce their nitrogen oxide and greenhouse gas emissions by helping them integrate more alternative fuel vehicles into their fleets and providing various services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Some of our dealerships are located in regions of the United States where natural disasters and severe weather events (such as hurricanes, earthquakes, fires, floods, tornadoes and hailstorms) have disrupted our operations in the past. Although we have not experienced any material losses from natural disasters or severe weather events, it is possible that future natural disasters and severe weather events may adversely impact our business, results of operations, financial condition and cash flows. In addition to business interruption, our business is subject to substantial risk of property loss due to the significant concentration of property at dealership locations. Although our vehicle inventory is insured, we self-insure our real property and personal property (other than our vehicle inventory) that we own. Thus, we may be exposed to property losses that could have a material adverse effect on our business, financial condition, results of operations or cash flows, although we believe that such a material adverse effect would be unlikely.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Financial and Economic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We may be required to obtain additional financing to maintain adequate inventory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requires new and used commercial vehicle inventories held for sale to be maintained at dealer locations in order to facilitate immediate sales to customers on demand. We generally purchase new and used commercial vehicle inventories with the assistance of floor plan financing agreements. Our primary floor plan financing agreements include the PFC Floor Plan Credit Agreement and the BMO Floor Plan Credit Agreement. Both of these floor plan credit agreements expire in December 2029 and may be terminated without cause upon 360 days’ notice.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on commercially reasonable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Changes in interest rates could have a negative adverse effect on our profitability.</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PFC Floor Plan Credit Agreement, BMO Floor Plan Credit Agreement, RTC Canada Floor Plan Credit Agreement, WF Credit Agreement, PLC Agreement and RTC Canada Revolving Credit Agreement are each subject to variable interest rates. Therefore, our interest expense rises when interest rates increase. In addition, any rise in interest rates generally may also have the effect of depressing demand in the interest rate sensitive aspects of our business, particularly new and used commercial vehicle sales, because many of our customers finance such purchases. As a result, a rise in interest rates may have the effect of simultaneously increasing our costs and reducing our revenues, which could negatively affect our business, financial condition and results of operations. See “Quantitative and Qualitative Disclosures about Market Risk” for a discussion regarding our interest rate sensitivity.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dollar amount of our backlog, as stated at any given time, is not necessarily indicative of our future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December 31, 2025, our backlog of new commercial vehicle orders was approximately $1,109.6 million. Our backlog is determined quarterly by multiplying the number of new commercial vehicles for each particular type of commercial vehicle ordered by a customer at our Rush Truck Centers by the recent average selling price for that type of commercial vehicle. We only include confirmed orders in our backlog. However, such orders are subject to cancellation. In the event of order cancellation, we have no contractual right to the total revenues reflected in our 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Reductions in backlog due to cancellation by a customer or for other reasons will adversely affect, potentially to a material extent, the revenue and profit we actually receive from orders projected in our backlog. If we were to experience significant cancellations of orders in our backlog, our financial condition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Given the current uncertainty in connection with recently enacted 25% tariff on certain medium– and heavy– duty commercial vehicles and parts (the “Commercial Vehicle Tariffs”), we believe that certain commercial vehicle orders currently reflected in our backlog could be cancelled in the event that such tariffs significantly increase the aggregate price that our customers will have to pay for such vehicles. However, we are confident that any price increases will be well below the 25% tariff rate and at this time, we do not expect the Commercial Vehicle Tariffs to significantly impact our 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Impairment in the carrying value of goodwill and other indefinite-lived intangible assets could negatively affect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 substantial amount of goodwill on our balance sheet as a result of acquisitions we have completed. Approximately 99% of this goodwill is concentrated in our Truck Segment. The carrying value of goodwill represents the fair value of an acquired business in excess of identifiable assets and liabilities as of the acquisition date. Goodwill is not amortized, but instead is evaluated for impairment at least annually, or more frequently if potential interim indicators exist that could result in impairment. In testing for impairment, if the carrying value of a reporting unit exceeds its current fair value as determined based on the discounted future cash flows of the reporting unit, the goodwill is considered impaired and is reduced to fair value via a non-cash charge to earnings. Events and conditions that could result in impairment include weak economic activity, adverse changes in the regulatory environment, any matters that impact the ability of the manufacturers we represent to provide us with commercial vehicles or parts, issues with our franchise rights, or other factors leading to reductions in expected long-term sales or profitability. Determination of the fair value of a reporting unit includes developing estimates that are highly subjective and incorporate calculations that are sensitive to minor changes in underlying assumptions. Changes in these assumptions or a change in the Company’s reportable segments could result in an impairment charge in the future, which could have a significant adverse impact on our reported earnings.  See “Management’s Discussion and Analysis of Financial Condition and Results of Operations — Critical Accounting Estimates — Goodwill” for more information regarding the potential impact of changes in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Our</w:t>
      </w:r>
      <w:r>
        <w:rPr>
          <w:rFonts w:ascii="Times New Roman" w:hAnsi="Times New Roman"/>
          <w:caps w:val="false"/>
          <w:smallCaps w:val="false"/>
          <w:sz w:val="20"/>
        </w:rPr>
        <w:t> </w:t>
      </w:r>
      <w:r>
        <w:rPr>
          <w:rFonts w:ascii="Times New Roman" w:hAnsi="Times New Roman"/>
          <w:i/>
          <w:caps w:val="false"/>
          <w:smallCaps w:val="false"/>
          <w:sz w:val="20"/>
        </w:rPr>
        <w:t>business</w:t>
      </w:r>
      <w:r>
        <w:rPr>
          <w:rFonts w:ascii="Times New Roman" w:hAnsi="Times New Roman"/>
          <w:caps w:val="false"/>
          <w:smallCaps w:val="false"/>
          <w:sz w:val="20"/>
        </w:rPr>
        <w:t> </w:t>
      </w:r>
      <w:r>
        <w:rPr>
          <w:rFonts w:ascii="Times New Roman" w:hAnsi="Times New Roman"/>
          <w:i/>
          <w:caps w:val="false"/>
          <w:smallCaps w:val="false"/>
          <w:sz w:val="20"/>
        </w:rPr>
        <w:t>is subject to a number of economic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New and used commercial vehicle retail sales tend to experience periods of decline when general economic conditions worsen. We may experience sustained periods of decreased commercial vehicle sales in the future. Any decline or change of this type could materially affect our business, financial condition and results of operations. In addition, adverse regional economic and competitive conditions in the geographic markets in which we operate could materially adversely affect our business, financial condition and results of operations. Our commercial vehicle sales volume therefore may differ from industry sales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Economic conditions and the other factors described above also may materially adversely impact our sales of parts and repair services, and finance and insurance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We depend on relationships with</w:t>
      </w:r>
      <w:r>
        <w:rPr>
          <w:rFonts w:ascii="Times New Roman" w:hAnsi="Times New Roman"/>
          <w:caps w:val="false"/>
          <w:smallCaps w:val="false"/>
          <w:sz w:val="20"/>
        </w:rPr>
        <w:t> </w:t>
      </w:r>
      <w:r>
        <w:rPr>
          <w:rFonts w:ascii="Times New Roman" w:hAnsi="Times New Roman"/>
          <w:i/>
          <w:caps w:val="false"/>
          <w:smallCaps w:val="false"/>
          <w:sz w:val="20"/>
        </w:rPr>
        <w:t>the manufacturers we represent and component</w:t>
      </w:r>
      <w:r>
        <w:rPr>
          <w:rFonts w:ascii="Times New Roman" w:hAnsi="Times New Roman"/>
          <w:caps w:val="false"/>
          <w:smallCaps w:val="false"/>
          <w:sz w:val="20"/>
        </w:rPr>
        <w:t> </w:t>
      </w:r>
      <w:r>
        <w:rPr>
          <w:rFonts w:ascii="Times New Roman" w:hAnsi="Times New Roman"/>
          <w:i/>
          <w:caps w:val="false"/>
          <w:smallCaps w:val="false"/>
          <w:sz w:val="20"/>
        </w:rPr>
        <w:t>suppliers for sales incentives, discounts and similar programs which are material to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depend on the manufacturers we represent and component suppliers for sales incentives, discounts, warranties and other programs that are intended to promote the sales of their commercial vehicles or our use of their components in the vehicles we sell. Most of the incentives and discounts are individually negotiated and not always the same as those made available to commercial vehicle manufacturers or our competitors. These incentives and discounts are material to our operations. A reduction or discontinuation of a commercial vehicle manufacturer’s or component supplier’s incentive program could have a material adverse effect on our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We are dependent on the ongoing success of the manufacturers we represent and adverse conditions affecting the manufacturers we represent may negatively impact our revenues and profitability.</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success of each of our dealerships is dependent on the manufacturers represented at each dealership. Our ability to sell new vehicles that satisfy our customers’ demands and replacement parts is dependent on the ability of the manufacturers we represent to produce and deliver new vehicles and replacement parts to our dealerships. Additionally, our dealerships perform warranty work for vehicles under manufacturer product warranties, which are billed to the appropriate vehicle manufacturer or component supplier as opposed to invoicing our customer. We generally have significant receivables from vehicle manufacturers and component suppliers for warranty and service work performed for our customers. In addition, we rely on vehicle manufacturers and component suppliers to varying extents for product training, marketing materials, and other items for our stores. Our business, results of operations, and financial condition could be materially adversely affected as a result of any event that has a material adverse effect on the vehicle manufacturers or component suppliers we represent.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manufacturers we represent may be adversely impacted by economic downturns, significant declines in the sales of their new vehicles, the ability to manufacture or supply vehicles that comply with applicable emissions requirements, labor strikes or similar disruptions (including within their major suppliers), rising raw materials costs, rising employee benefit costs, adverse publicity that may reduce consumer demand for their products (including due to bankruptcy), product defects, vehicle recall campaigns, litigation, poor product mix or unappealing vehicle design, governmental laws and regulations, or other adverse events. Our results of operations, financial condition or cash flows could be adversely affected if one or more of the manufacturers we represent are impacted by any of the foregoing adverse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Actions taken in response to continued operational losses by manufacturers we represent, including bankruptcy or reorganizations, could have a material adverse effect on our sales volumes and profitability. In addition, such actions could lead to the impairment of one or more of our franchise rights, inventories, fixed assets and other related assets, which in turn could have a material adverse effect on our financial condition and results of operations. Actions taken in response to continued operational losses by manufacturers we represent, including bankruptcy or reorganizations, could also eliminate or reduce such manufacturers’ indemnification obligations to our dealerships, which could increase our risk in products liability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Legal and Regulatory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If state dealer laws are repealed or weakened, our dealerships will be more susceptible to termination, nonrenewal or renegotiation of their dealership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depend on our vehicle dealership agreements for a substantial portion of our revenues and profitability. State dealer laws generally provide that a manufacturer may not terminate or refuse to renew a dealership agreement unless it has first provided the dealer with written notice setting forth good cause and stating the grounds for termination or nonrenewal. Vehicle manufacturers’ lobbying efforts may lead to the repeal or revision of state motor vehicle dealer laws. If motor vehicle dealer laws are repealed or amended in the states in which we operate dealerships, the manufacturers we represent may be able to terminate our vehicle dealership agreements without providing advance notice, an opportunity to cure or a showing of good cause. Without the protection of state dealer laws, or if such laws are weakened, we will be subject to higher risk of termination or nonrenewal of our vehicle dealership agreements. Termination or nonrenewal of our vehicle dealership agreements would have a material adverse effect on our operations, revenues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We are subject to risks associated with commercial vehicles and parts manufactured outside of the United States, and the Commercial Vehicle Tariffs may impact demand for certain of the commercial vehicles and parts that we sell.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involves the sale of commercial vehicles, parts and commercial vehicles composed of parts that are manufactured outside of the United States, including Canada, Mexico and China. As a result, our operations are subject to certain risks of doing business outside of the United States, including import duties, exchange rates, trade restrictions and general political and socio-economic conditions in other countries. The United States or the countries where certain of the commercial vehicles and parts that we sell are manufactured may, from time to time, impose new quotas, duties, tariffs or other restrictions or limitations, or adjust presently prevailing quotas, duties or tariffs. The imposition of new, or adjustments to prevailing, quotas, duties, tariffs or other restrictions or limitations could have a material adverse effect on our business, financial condition, results of operations and cash flows.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recently enacted Commercial Vehicle Tariffs may impact demand for certain of the commercial vehicles and parts that we sell. However, the practical implementation and effects of these tariffs, including the amount that such tariffs will increase prices of the products we sell, remain fluid, as the manufacturers we represent continue to work to reduce the impact of such tariffs in numerous ways, including by modifying the location of where certain assembly and manufacturing operations occur. While we cannot predict how the Commercial Vehicle Tariffs will impact demand, we are confident that any price increases will be well below the 25% tariff rate on all the products that we sell.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commercial vehicles that we sell are subject to federal and state regulations focused on reducing engine emissions, and we are dependent on the manufacturers that we represent to produce or supply engines that comply with such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Laws and regulations intended to achieve the goal of significantly reducing engine emissions associated with the operation of commercial vehicles are complex and subject to change. Currently, the commercial vehicle industry is subject to the EPA 2027 Low NOx rule, which is scheduled to become effective starting in model year 2027. While the EPA 2027 Low NOx rule is expected to maintain the current emission limits, it is expected to be modified with respect to certain other provisions, such as reducing the required duration of manufacturers’ engine warranties. In addition, owners and commercial fleets that register or operate commercial vehicles in the State of California were subject to certain of CARB’s engine emissions rules that became effective in January 2024. However, Congress recently rescinded the federal preemption waivers that the EPA previously granted to CARB. These waivers were the basis of CARB’s ability to enact its own engine emissions rules, and a federal judge has temporarily enjoined CARB from enforcing such rules. Congress’ rescission of CARB’s federal preemption waivers is subject to multiple legal challenges, and it is unclear when such challenges will be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group of seventeen U.S. states and the District of Columbia entered into a joint memorandum of understanding that adopts at least a portion of CARB’s emissions regulations and commits each of them to work together to advance and accelerate the market for electric Class 3 through 8 commercial vehicles. Six of the states are states where we operate commercial vehicle dealerships: California, Colorado, Nevada, New Mexico, North Carolina and Virginia. The signatories to the memorandum all agreed on a goal of ensuring that 100% of new Class 3 through 8 commercial vehicles are zero emission by 2050, with an interim target of 30% zero emission vehicles by 2030, although multiple of these states have recently announced plans to delay various aspects of CARB’s regulations. If CARB were to prevail in its legal challenges against Congress’ recission of the EPA waivers, attaining the goals stated by CARB and the signers of the joint memorandum would likely require the adoption of new laws and regulations and we cannot predict at this time whether such laws and regulations would have an adverse impact on our business. Similarly, if the EPA’s policies change in the future, we believe the EPA could issue a new endangerment finding with respect to GHG emissions, which would allow the EPA to potentially create a new rule similar to the recently voided GHG rules, which would have required commercial vehicle engine manufacturers to manufacture an increasing percentage of “zero-emission” vehicles over time, which would likely have reduced the number of diesel ICE vehicles that would have been manufactured over that time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Engine emissions rules and regulations could result in increased compliance costs, additional operating restrictions and affect demand for the products that we sell and services that we offer. For example, we believe that certain of CARB’s engine emissions rules that became effective in January 2024, along with the uncertainty regarding CARB’s enforcement of the same, resulted in our California dealerships selling less new commercial vehicles in both 2024 and 2025 than they would have absent such rules. While the reduction in the number of new commercial vehicles that we were able to sell in 2024 and 2025 due to CARB’s rules was not material to our financial results, our success going forward depends on the ability of our manufacturers to successfully supply new commercial vehicles that comply with existing and future emissions rules and regulations in each of the markets in which we operate.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Disruptions to our information technology systems and breaches in data</w:t>
      </w:r>
      <w:r>
        <w:rPr>
          <w:rFonts w:ascii="Times New Roman" w:hAnsi="Times New Roman"/>
          <w:caps w:val="false"/>
          <w:smallCaps w:val="false"/>
          <w:sz w:val="20"/>
        </w:rPr>
        <w:t> </w:t>
      </w:r>
      <w:r>
        <w:rPr>
          <w:rFonts w:ascii="Times New Roman" w:hAnsi="Times New Roman"/>
          <w:i/>
          <w:caps w:val="false"/>
          <w:smallCaps w:val="false"/>
          <w:sz w:val="20"/>
        </w:rPr>
        <w:t>or system</w:t>
      </w:r>
      <w:r>
        <w:rPr>
          <w:rFonts w:ascii="Times New Roman" w:hAnsi="Times New Roman"/>
          <w:caps w:val="false"/>
          <w:smallCaps w:val="false"/>
          <w:sz w:val="20"/>
        </w:rPr>
        <w:t> </w:t>
      </w:r>
      <w:r>
        <w:rPr>
          <w:rFonts w:ascii="Times New Roman" w:hAnsi="Times New Roman"/>
          <w:i/>
          <w:caps w:val="false"/>
          <w:smallCaps w:val="false"/>
          <w:sz w:val="20"/>
        </w:rPr>
        <w:t>security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rely upon our information technology systems to manage all aspects of our business, including processing and recording sales to, and payments from, customers, managing inventory, communicating with manufacturers and vendors, processing employee payroll and benefits and financial reporting. Any inability to manage these systems, including with respect to matters related to system and data security, privacy, reliability, compliance, performance and access, as well as any inability of these systems to fulfill their intended purpose within our business, could have an adverse effect on our business. In addition, in the ordinary course of business, we collect and store sensitive data and information, including our proprietary business information and that of our customers, suppliers and business partners, as well as personally identifiable information about our employees and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take an enterprise-wide approach to cybersecurity, using established processes for assessing, identifying, and managing risks from cybersecurity threats. We have implemented various measures across our organization to manage our cybersecurity risks, including implementing systems to identify, prevent, detect, investigate, resolve, and recover from cyber security attacks. All employees participate in our security awareness training program, and additional training is required for various roles within the organization. Employees are trained and encouraged to identify and report security concerns, and cybersecurity is engrained in our culture. Our cybersecurity risk management program leverages the Center for Internet Security Critical Security Framework to provide a structured methodology to help ensure the confidentiality, integrity, and availability of our systems and data. We regularly assess cybersecurity risks and monitor our systems for vulnerabilities. We conduct regular reviews and tests of our systems and our cybersecurity program, both internally and using consultants and external auditors. These tests include, but are not limited to, vulnerability testing, penetration testing, tabletop exercises, systems recovery tests, assessments, and other activities to assess the readiness and effectiveness of our cybersecurity controls and protections. However, despite the security measures we have in place, our facilities and systems, and those of our third-party service providers, could be vulnerable to cyberattacks and other security breaches, computer viruses, lost or misplaced data, programming errors, human errors or other events, and such incidents can remain undetected for a period of time despite our best efforts to detect and respond to them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from time to time, experienced threats to our data and systems, including malware, ransomware, phishing and computer virus attacks. As discussed above, we are continuously developing and enhancing our controls, processes, and practices designed to protect our systems, computers, software, data, and networks from attack, damage, or unauthorized access. This continued development and enhancement requires us to expend significant additional resources. However, we may not anticipate or combat all types of future attacks until after they have been launched. In addition, the rapid evolution and increased availability of AI may intensify cybersecurity risks by making cyber-attacks more sophisticated and cybersecurity incidents more difficult to detect, contain, and mitigate. If any of these breaches of security occur, we will be required to expend additional capital and other resources, including costs to deploy additional personnel and protection technologies, train employees and engage third-party experts and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cyberattack, security breach or other event resulting in the misappropriation, loss, or other unauthorized disclosure of confidential information or personal identifiable information of employees or customers, whether by us directly or our third-party service providers, could adversely affect our business operations, sales, reputation with current and potential customers, associates or vendors and employees and result in litigation or regulatory actions, all of which could have a material adverse effect on our business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We are exposed to a variety of claims relating to our business and the liability associated with such claims may exceed the level of our</w:t>
      </w:r>
      <w:r>
        <w:rPr>
          <w:rFonts w:ascii="Times New Roman" w:hAnsi="Times New Roman"/>
          <w:caps w:val="false"/>
          <w:smallCaps w:val="false"/>
          <w:sz w:val="20"/>
        </w:rPr>
        <w:t> </w:t>
      </w:r>
      <w:r>
        <w:rPr>
          <w:rFonts w:ascii="Times New Roman" w:hAnsi="Times New Roman"/>
          <w:i/>
          <w:caps w:val="false"/>
          <w:smallCaps w:val="false"/>
          <w:sz w:val="20"/>
        </w:rPr>
        <w:t>insurance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course of our business, we are exposed to claims for personal injury, death or property damage resulting from: (i) our customers’ use of commercial vehicles that we sell, service, lease or rent; (ii) our customers’ purchase of other products that we design, manufacture, sell or install, such as commercial vehicle parts, custom vehicle modifications and CNG fuel systems through our joint venture with Cummins; and (iii) injuries caused by motor vehicle accidents that our service or delivery personnel are involved in. In addition, we have employees who work remotely from time to time at certain customers’ locations that are considered inherently dangerous, such as oil or gas well drilling sites, commercial construction sites and manufacturing facilities. We could also be subject to potential litigation associated with compliance with various laws and governmental regulations at the federal, state or local levels, such as those relating to vehicle and highway safety, health and workplace safety, security and employment-related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self-insure and utilize a captive insurance company to provide our auto and general commercial liability insurance, which we supplement with excess insurance coverage. We self-insure the real property that we own and our personal property (excluding our vehicle inventory, which is insured). We also maintain various insurance policies with third-party insurers, each of which are subject to deductibles with high dollar amounts. We may be exposed to claims for which coverage is not afforded or the damages exceed the limits of our insurance coverage or multiple claims causing us to incur significant out-of-pocket costs before reaching the deductible amount, all of which could adversely affect our financial condition and results of operations. In addition, the cost of third-party insurance policies may increase significantly upon renewal of those policies as a result of general rate increases for the type of insurance we carry as well as our historical experience and experience in our industry. Although we have not experienced any material losses that were not covered by insurance, our existing or future claims may exceed the coverage level of our insurance, and such insurance may not continue to be available on economically reasonable terms, or at all. If we are required to pay significantly higher premiums for insurance, are not able to maintain insurance coverage at affordable rates or if we must pay amounts in excess of claims covered by our insurance, we could experience higher costs that could adversely affect our financial condition and results of operations. In fact, due to the rising costs of premiums over the last couple of years, we have been generally increasing our use of self-insurance programs and increasing the amounts of our deductibles.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Our dealerships are subject to federal, state and local environmental regulations that may result in claims and liabilities, which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collision center operations in particular, our business involves the generation, use, storage, handling and contracting for recycling or disposal of hazardous materials or wastes and other environmentally sensitive materials. Any non-compliance with these laws and regulations could result in significant fines, penalties and remediation costs which could adversely affect our results of operations, financial condition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also have liability in connection with materials that were sent to third party recycling, treatment, or disposal facilities under federal and state statutes. Applicable laws may make us responsible for liability relating to the investigation and remediation of contamination without regard to fault or the legality of the conduct that contributed to the contamination. In connection with our acquisitions, it is possible that we will assume or become subject to new or unforeseen environmental costs or liabilities, some of which may be material. In connection with dispositions of businesses, or dispositions previously made by companies we acquire, we may retain exposure for environmental costs and liabilities, some of which may be material. In addition,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We have operations in Canada. As a result, we may incur losses from the impact of foreign currency fluctuations and have higher costs than we otherwise would have due to the need to comply with foreign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operations in Canada are subject to the risks normally associated with international operations. These include: (i) the need to convert currencies, which could result in a gain or loss depending on fluctuations in exchange rates; and (ii) the need to comply with Canadian laws and regulations, as well as U.S. laws and regulations, applicable to our operations in Canada. Changes in such laws or regulations, or any material failure to comply with any applicable laws or regulations, could increase our costs, affect our reputation, limit our business and otherwise impact our operations in adverse ways. In addition, laws or regulations or the interpretations thereof can conflict among jurisdictions, and compliance in one jurisdiction could result in legal or reputational risks in another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We are controlled by</w:t>
      </w:r>
      <w:r>
        <w:rPr>
          <w:rFonts w:ascii="Times New Roman" w:hAnsi="Times New Roman"/>
          <w:caps w:val="false"/>
          <w:smallCaps w:val="false"/>
          <w:sz w:val="20"/>
        </w:rPr>
        <w:t> </w:t>
      </w:r>
      <w:r>
        <w:rPr>
          <w:rFonts w:ascii="Times New Roman" w:hAnsi="Times New Roman"/>
          <w:i/>
          <w:caps w:val="false"/>
          <w:smallCaps w:val="false"/>
          <w:sz w:val="20"/>
        </w:rPr>
        <w:t>one shareholder</w:t>
      </w:r>
      <w:r>
        <w:rPr>
          <w:rFonts w:ascii="Times New Roman" w:hAnsi="Times New Roman"/>
          <w:caps w:val="false"/>
          <w:smallCaps w:val="false"/>
          <w:sz w:val="20"/>
        </w:rPr>
        <w:t> </w:t>
      </w:r>
      <w:r>
        <w:rPr>
          <w:rFonts w:ascii="Times New Roman" w:hAnsi="Times New Roman"/>
          <w:i/>
          <w:caps w:val="false"/>
          <w:smallCaps w:val="false"/>
          <w:sz w:val="20"/>
        </w:rPr>
        <w:t>and</w:t>
      </w:r>
      <w:r>
        <w:rPr>
          <w:rFonts w:ascii="Times New Roman" w:hAnsi="Times New Roman"/>
          <w:caps w:val="false"/>
          <w:smallCaps w:val="false"/>
          <w:sz w:val="20"/>
        </w:rPr>
        <w:t> </w:t>
      </w:r>
      <w:r>
        <w:rPr>
          <w:rFonts w:ascii="Times New Roman" w:hAnsi="Times New Roman"/>
          <w:i/>
          <w:caps w:val="false"/>
          <w:smallCaps w:val="false"/>
          <w:sz w:val="20"/>
        </w:rPr>
        <w:t>his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Collectively, Mr. Rush and his affiliate own approximately 0.3% of our issued and outstanding shares of Class A common stock and 43.0% of our issued and outstanding Class B common stock. Mr. Rush collectively controls approximately 36.5% of the aggregate voting power of our outstanding shares, which is substantially more than any other person or group. The interests of Mr. Rush may not be consistent with the interests of all shareholders. As a result of such ownership, Mr. Rush has the ability to exercise substantial control over the Company, including with respect to the election of directors, the determination of matters requiring shareholder approval and other matters pertaining to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Our dealership agreements could discourage another company from acquiring</w:t>
      </w:r>
      <w:r>
        <w:rPr>
          <w:rFonts w:ascii="Times New Roman" w:hAnsi="Times New Roman"/>
          <w:caps w:val="false"/>
          <w:smallCaps w:val="false"/>
          <w:sz w:val="20"/>
        </w:rPr>
        <w:t> </w:t>
      </w:r>
      <w:r>
        <w:rPr>
          <w:rFonts w:ascii="Times New Roman" w:hAnsi="Times New Roman"/>
          <w:i/>
          <w:caps w:val="false"/>
          <w:smallCaps w:val="false"/>
          <w:sz w:val="20"/>
        </w:rPr>
        <w: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dealership agreements with Peterbilt impose ownership requirements on certain officers of the Company. All of our dealership agreements include restrictions on the sale or transfer of the underlying franchises. These ownership requirements and restrictions may prevent or deter prospective acquirers from acquiring control of us and, therefore, may adversely impact the value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the number of shares owned by Mr. Rush and his affiliate, the requirement in our dealership agreements that the Dealer Principals retain a controlling interest in us, the restrictions on who may serve as Chairman of the Board and President or Chief Executive Officer of the Company, and the restrictions on the sale or transfer of our franchises contained in our dealer agreements,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Actions by our shareholders or prospective shareholders that would violate any of the above restrictions on our dealership agreements are generally outside of our control. If we are unable to renegotiate these restrictions, we may be forced to terminate or sell one or more of our dealerships, which could have a material adverse effect on us. These restrictions may also inhibit our ability to raise required capital or to issue our stock as consideration for future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Our Class</w:t>
      </w:r>
      <w:r>
        <w:rPr>
          <w:rFonts w:ascii="Times New Roman" w:hAnsi="Times New Roman"/>
          <w:caps w:val="false"/>
          <w:smallCaps w:val="false"/>
          <w:sz w:val="20"/>
        </w:rPr>
        <w:t> </w:t>
      </w:r>
      <w:r>
        <w:rPr>
          <w:rFonts w:ascii="Times New Roman" w:hAnsi="Times New Roman"/>
          <w:i/>
          <w:caps w:val="false"/>
          <w:smallCaps w:val="false"/>
          <w:sz w:val="20"/>
        </w:rPr>
        <w:t>A</w:t>
      </w:r>
      <w:r>
        <w:rPr>
          <w:rFonts w:ascii="Times New Roman" w:hAnsi="Times New Roman"/>
          <w:caps w:val="false"/>
          <w:smallCaps w:val="false"/>
          <w:sz w:val="20"/>
        </w:rPr>
        <w:t> </w:t>
      </w:r>
      <w:r>
        <w:rPr>
          <w:rFonts w:ascii="Times New Roman" w:hAnsi="Times New Roman"/>
          <w:i/>
          <w:caps w:val="false"/>
          <w:smallCaps w:val="false"/>
          <w:sz w:val="20"/>
        </w:rPr>
        <w:t>common stock</w:t>
      </w:r>
      <w:r>
        <w:rPr>
          <w:rFonts w:ascii="Times New Roman" w:hAnsi="Times New Roman"/>
          <w:caps w:val="false"/>
          <w:smallCaps w:val="false"/>
          <w:sz w:val="20"/>
        </w:rPr>
        <w:t> </w:t>
      </w:r>
      <w:r>
        <w:rPr>
          <w:rFonts w:ascii="Times New Roman" w:hAnsi="Times New Roman"/>
          <w:i/>
          <w:caps w:val="false"/>
          <w:smallCaps w:val="false"/>
          <w:sz w:val="20"/>
        </w:rPr>
        <w:t>has limited voting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share of Class A common stock ranks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Our Class B</w:t>
      </w:r>
      <w:r>
        <w:rPr>
          <w:rFonts w:ascii="Times New Roman" w:hAnsi="Times New Roman"/>
          <w:caps w:val="false"/>
          <w:smallCaps w:val="false"/>
          <w:sz w:val="20"/>
        </w:rPr>
        <w:t> </w:t>
      </w:r>
      <w:r>
        <w:rPr>
          <w:rFonts w:ascii="Times New Roman" w:hAnsi="Times New Roman"/>
          <w:i/>
          <w:caps w:val="false"/>
          <w:smallCaps w:val="false"/>
          <w:sz w:val="20"/>
        </w:rPr>
        <w:t>common stock</w:t>
      </w:r>
      <w:r>
        <w:rPr>
          <w:rFonts w:ascii="Times New Roman" w:hAnsi="Times New Roman"/>
          <w:caps w:val="false"/>
          <w:smallCaps w:val="false"/>
          <w:sz w:val="20"/>
        </w:rPr>
        <w:t> </w:t>
      </w:r>
      <w:r>
        <w:rPr>
          <w:rFonts w:ascii="Times New Roman" w:hAnsi="Times New Roman"/>
          <w:i/>
          <w:caps w:val="false"/>
          <w:smallCaps w:val="false"/>
          <w:sz w:val="20"/>
        </w:rPr>
        <w:t>has a low average daily trading volume. As a result, sales of our Class B</w:t>
      </w:r>
      <w:r>
        <w:rPr>
          <w:rFonts w:ascii="Times New Roman" w:hAnsi="Times New Roman"/>
          <w:caps w:val="false"/>
          <w:smallCaps w:val="false"/>
          <w:sz w:val="20"/>
        </w:rPr>
        <w:t> </w:t>
      </w:r>
      <w:r>
        <w:rPr>
          <w:rFonts w:ascii="Times New Roman" w:hAnsi="Times New Roman"/>
          <w:i/>
          <w:caps w:val="false"/>
          <w:smallCaps w:val="false"/>
          <w:sz w:val="20"/>
        </w:rPr>
        <w:t>common stock</w:t>
      </w:r>
      <w:r>
        <w:rPr>
          <w:rFonts w:ascii="Times New Roman" w:hAnsi="Times New Roman"/>
          <w:caps w:val="false"/>
          <w:smallCaps w:val="false"/>
          <w:sz w:val="20"/>
        </w:rPr>
        <w:t> </w:t>
      </w:r>
      <w:r>
        <w:rPr>
          <w:rFonts w:ascii="Times New Roman" w:hAnsi="Times New Roman"/>
          <w:i/>
          <w:caps w:val="false"/>
          <w:smallCaps w:val="false"/>
          <w:sz w:val="20"/>
        </w:rPr>
        <w:t>could cause the market price of our Class B</w:t>
      </w:r>
      <w:r>
        <w:rPr>
          <w:rFonts w:ascii="Times New Roman" w:hAnsi="Times New Roman"/>
          <w:caps w:val="false"/>
          <w:smallCaps w:val="false"/>
          <w:sz w:val="20"/>
        </w:rPr>
        <w:t> </w:t>
      </w:r>
      <w:r>
        <w:rPr>
          <w:rFonts w:ascii="Times New Roman" w:hAnsi="Times New Roman"/>
          <w:i/>
          <w:caps w:val="false"/>
          <w:smallCaps w:val="false"/>
          <w:sz w:val="20"/>
        </w:rPr>
        <w:t>common stock</w:t>
      </w:r>
      <w:r>
        <w:rPr>
          <w:rFonts w:ascii="Times New Roman" w:hAnsi="Times New Roman"/>
          <w:caps w:val="false"/>
          <w:smallCaps w:val="false"/>
          <w:sz w:val="20"/>
        </w:rPr>
        <w:t> </w:t>
      </w:r>
      <w:r>
        <w:rPr>
          <w:rFonts w:ascii="Times New Roman" w:hAnsi="Times New Roman"/>
          <w:i/>
          <w:caps w:val="false"/>
          <w:smallCaps w:val="false"/>
          <w:sz w:val="20"/>
        </w:rPr>
        <w:t>to drop, and it may be difficult for a stockholder to liquidate its position in our Class B</w:t>
      </w:r>
      <w:r>
        <w:rPr>
          <w:rFonts w:ascii="Times New Roman" w:hAnsi="Times New Roman"/>
          <w:caps w:val="false"/>
          <w:smallCaps w:val="false"/>
          <w:sz w:val="20"/>
        </w:rPr>
        <w:t> </w:t>
      </w:r>
      <w:r>
        <w:rPr>
          <w:rFonts w:ascii="Times New Roman" w:hAnsi="Times New Roman"/>
          <w:i/>
          <w:caps w:val="false"/>
          <w:smallCaps w:val="false"/>
          <w:sz w:val="20"/>
        </w:rPr>
        <w:t>common stock</w:t>
      </w:r>
      <w:r>
        <w:rPr>
          <w:rFonts w:ascii="Times New Roman" w:hAnsi="Times New Roman"/>
          <w:caps w:val="false"/>
          <w:smallCaps w:val="false"/>
          <w:sz w:val="20"/>
        </w:rPr>
        <w:t> </w:t>
      </w:r>
      <w:r>
        <w:rPr>
          <w:rFonts w:ascii="Times New Roman" w:hAnsi="Times New Roman"/>
          <w:i/>
          <w:caps w:val="false"/>
          <w:smallCaps w:val="false"/>
          <w:sz w:val="20"/>
        </w:rPr>
        <w:t>quickly without adversely affecting the market price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volume of trading in our Class B common stock varies greatly and may often be light. As of December 31, 2025, the three-month average daily trading volume of our Class B common stock was approximately 36,000 shares, with eleven days having a trading volume below 10,000 shares. If any large shareholder were to begin selling shares in the market, the added available supply of shares could cause the market price of our Class B common stock to drop. In addition, the lack of a robust resale market may require a shareholder to sell a large number of shares of our Class B common stock in increments over time to mitigate any adverse impact of the sales on the market price of our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6" w:name="unres"/>
      <w:bookmarkEnd w:id="6"/>
      <w:r>
        <w:rPr>
          <w:rFonts w:ascii="Times New Roman" w:hAnsi="Times New Roman"/>
          <w:b/>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7" w:name="cyber"/>
      <w:bookmarkEnd w:id="7"/>
      <w:r>
        <w:rPr>
          <w:rFonts w:ascii="Times New Roman" w:hAnsi="Times New Roman"/>
          <w:b/>
          <w:caps w:val="false"/>
          <w:smallCaps w:val="false"/>
          <w:sz w:val="20"/>
        </w:rPr>
        <w:t>Item 1C. Cybersecurity</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take an enterprise-wide approach to cybersecurity, using established processes for assessing, identifying and managing risks from cybersecurity threats. We have implemented various measures across our organization to manage our cybersecurity risks, including implementing systems to identify, prevent, detect, investigate, resolve and recover from cyber security attacks. All employees participate in our role-based security awareness training program, which includes both coursework and attack simulations. Employees are trained and encouraged to identify and report security concerns, and cybersecurity is engrained in our culture.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cybersecurity risk management program leverages the Center for Internet Security Critical Security Framework to provide a structured methodology to help ensure the confidentiality, integrity and availability of our systems and data. We regularly assess cybersecurity risks and monitor our systems for vulnerabilities. We conduct regular reviews and tests of our systems and our cybersecurity program, both internally and using consultants and external auditors. These tests include, but are not limited to, vulnerability testing, penetration testing, tabletop exercises, systems recovery tests, assessments, security risk reviews and other activities to assess the readiness and effectiveness of our cybersecurity controls and protections.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Information Security program is led by our Chief Information Officer (“CIO”), who reports to our Chief Operating Officer (“COO”). Our CIO works with our Chief Privacy Officer (“CPO”) to address cybersecurity and data privacy risks and concerns. The Information Security Governance Committee (“ISGC”), composed of executives from various corporate functions, oversees our cybersecurity policy and strategy. Members of the ISGC, including the CIO and CPO, meet with the COO on a regular basis to review and monitor our cybersecurity risks and mitigation efforts. Our Board of Directors (the “Board”) oversees our enterprise risk management activities in general, including cybersecurity risks. The Audit Committee of the Board has been designated with specific oversight responsibility with respect to cybersecurity and data privacy risk management. The Board receives a comprehensive update on the status of risks related to cybersecurity annually and periodic updates on particular matters. We engage external assessors, consultants, and auditors to assist us in evaluating and enhancing our cybersecurity risk management processes. We also have processes to oversee and identify such risks from cybersecurity threats associated with our use of third-party service providers. We utilize a combination of internal resources and external managed security service providers to monitor and protect our systems and networks. We also leverage third-party incident response capabilities to support our team in the event of a significant cybersecurity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we have not experienced a material breach, our systems and employees are frequently the target of cyber security attacks intending to steal, misuse, or destroy data, to disrupt our ability to do business, or otherwise negatively impact us. These threats are evolving and growing more sophisticated and targeted as improvements in AI technology continuously transforms the threat environment. If we did experience a significant disruption in service, theft of data, or other significant attack, it could result in legal claims or proceedings, liability under federal and state laws that protect the privacy of personal information, regulatory penalties, remediation costs, increased cybersecurity costs, loss of revenue or customers, damage to our reputation or competitive position, or other harm to our business. For more information regarding the risks we face from cybersecurity threats, please see “Risk Factors.”</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8" w:name="props"/>
      <w:bookmarkEnd w:id="8"/>
      <w:r>
        <w:rPr>
          <w:rFonts w:ascii="Times New Roman" w:hAnsi="Times New Roman"/>
          <w:b/>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corporate headquarters are owned by us and located in New Braunfels, Texas. As of December 2025, we also own or lease numerous facilities used in our operations in the following locations: Alabama, Arizona, Arkansas, California, Colorado, Florida, Georgia, Idaho, Illinois, Indiana, Kansas, Kentucky, Missouri, Nebraska, Nevada, New Mexico, North Carolina, Ohio, Oklahoma, Tennessee, Texas, Utah, Virginia, Ontario and Quebec, Canada. For information regarding the number of locations that we have in each state or province, the number of locations that we own or lease and the number of franchises that we represent in each state or province, please see “Business” in “Item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lease a hangar in New Braunfels, Texas for our corporate aircraft. We also own and operate a guest ranch of approximately 10,950 acres near Cotulla, Texas, which is used for client development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9" w:name="legal"/>
      <w:bookmarkEnd w:id="9"/>
      <w:r>
        <w:rPr>
          <w:rFonts w:ascii="Times New Roman" w:hAnsi="Times New Roman"/>
          <w:b/>
          <w:caps w:val="false"/>
          <w:smallCaps w:val="false"/>
          <w:sz w:val="20"/>
        </w:rPr>
        <w:t xml:space="preserve">Item 3. 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we are involved in litigation arising out of our operations in the ordinary course of business. We maintain liability insurance through self-insurance, a captive insurer and third-party excess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December 31, 2025, we believe that there are no pending claims or litigation, individually or in the aggregate, that are reasonably possible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0" w:name="mine"/>
      <w:bookmarkEnd w:id="10"/>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1" w:name="ptwo"/>
      <w:bookmarkEnd w:id="11"/>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caps w:val="false"/>
          <w:smallCaps w:val="false"/>
          <w:sz w:val="20"/>
        </w:rPr>
      </w:pPr>
      <w:bookmarkStart w:id="12" w:name="market"/>
      <w:bookmarkEnd w:id="12"/>
      <w:r>
        <w:rPr>
          <w:rFonts w:ascii="Times New Roman" w:hAnsi="Times New Roman"/>
          <w:b/>
          <w:caps w:val="false"/>
          <w:smallCaps w:val="false"/>
          <w:sz w:val="20"/>
        </w:rPr>
        <w:t>Item 5. Market for Registrant</w:t>
      </w:r>
      <w:r>
        <w:rPr>
          <w:rFonts w:ascii="Times New Roman" w:hAnsi="Times New Roman"/>
          <w:caps w:val="false"/>
          <w:smallCaps w:val="false"/>
          <w:sz w:val="20"/>
        </w:rPr>
        <w:t>’</w:t>
      </w:r>
      <w:r>
        <w:rPr>
          <w:rFonts w:ascii="Times New Roman" w:hAnsi="Times New Roman"/>
          <w:b/>
          <w:caps w:val="false"/>
          <w:smallCaps w:val="false"/>
          <w:sz w:val="20"/>
        </w:rPr>
        <w:t>s Common Equity, Related Shareholder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common stock trades on The NASDAQ Global Select Market SM under the symbols RUSHA and RUSHB. During 2025, our Board approved four quarterly cash dividends on all outstanding shares of common stock totaling $0.74 per share. We expect to continue paying cash dividends on a quarterly basis. However, there is no assurance as to the payment of future dividends because the declaration and payment of such dividends is subject to the business judgment of our Board and will depend on historic and projected earnings, capital requirements, covenant compliance, financial conditions and such other factors as the Board deems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high and low sales prices for our Class A common stock and Class B common stock for the fiscal periods indicated and as quoted on The NASDAQ Global Select MarketSM and dividends declared.</w:t>
      </w:r>
    </w:p>
    <w:p>
      <w:pPr>
        <w:pStyle w:val="TextBody"/>
        <w:bidi w:val="0"/>
        <w:spacing w:before="0" w:after="0"/>
        <w:ind w:left="0" w:right="0" w:hanging="0"/>
        <w:jc w:val="left"/>
        <w:rPr>
          <w:caps w:val="false"/>
          <w:smallCaps w:val="false"/>
        </w:rPr>
      </w:pPr>
      <w:r>
        <w:rPr>
          <w:caps w:val="false"/>
          <w:smallCaps w:val="false"/>
        </w:rPr>
        <w:t> </w:t>
      </w:r>
    </w:p>
    <w:tbl>
      <w:tblPr>
        <w:tblW w:w="6923" w:type="dxa"/>
        <w:jc w:val="left"/>
        <w:tblInd w:w="0" w:type="dxa"/>
        <w:tblLayout w:type="fixed"/>
        <w:tblCellMar>
          <w:top w:w="0" w:type="dxa"/>
          <w:left w:w="0" w:type="dxa"/>
          <w:bottom w:w="0" w:type="dxa"/>
          <w:right w:w="0" w:type="dxa"/>
        </w:tblCellMar>
      </w:tblPr>
      <w:tblGrid>
        <w:gridCol w:w="1955"/>
        <w:gridCol w:w="60"/>
        <w:gridCol w:w="223"/>
        <w:gridCol w:w="681"/>
        <w:gridCol w:w="60"/>
        <w:gridCol w:w="60"/>
        <w:gridCol w:w="125"/>
        <w:gridCol w:w="485"/>
        <w:gridCol w:w="60"/>
        <w:gridCol w:w="60"/>
        <w:gridCol w:w="125"/>
        <w:gridCol w:w="485"/>
        <w:gridCol w:w="60"/>
        <w:gridCol w:w="60"/>
        <w:gridCol w:w="223"/>
        <w:gridCol w:w="681"/>
        <w:gridCol w:w="60"/>
        <w:gridCol w:w="60"/>
        <w:gridCol w:w="125"/>
        <w:gridCol w:w="485"/>
        <w:gridCol w:w="60"/>
        <w:gridCol w:w="60"/>
        <w:gridCol w:w="125"/>
        <w:gridCol w:w="485"/>
        <w:gridCol w:w="60"/>
      </w:tblGrid>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2364" w:type="dxa"/>
            <w:gridSpan w:val="10"/>
            <w:tcBorders>
              <w:bottom w:val="single" w:sz="2" w:space="0" w:color="000000"/>
            </w:tcBorders>
            <w:tcMar>
              <w:bottom w:w="28" w:type="dxa"/>
            </w:tcMar>
            <w:vAlign w:val="center"/>
          </w:tcPr>
          <w:p>
            <w:pPr>
              <w:pStyle w:val="TableContents"/>
              <w:bidi w:val="0"/>
              <w:spacing w:before="0" w:after="0"/>
              <w:ind w:left="320" w:right="0" w:hanging="16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60" w:right="0" w:hanging="0"/>
              <w:jc w:val="left"/>
              <w:rPr/>
            </w:pPr>
            <w:r>
              <w:rPr/>
              <w:t> </w:t>
            </w:r>
          </w:p>
        </w:tc>
        <w:tc>
          <w:tcPr>
            <w:tcW w:w="2364" w:type="dxa"/>
            <w:gridSpan w:val="10"/>
            <w:tcBorders>
              <w:bottom w:val="single" w:sz="2" w:space="0" w:color="000000"/>
            </w:tcBorders>
            <w:tcMar>
              <w:bottom w:w="28" w:type="dxa"/>
            </w:tcMar>
            <w:vAlign w:val="center"/>
          </w:tcPr>
          <w:p>
            <w:pPr>
              <w:pStyle w:val="TableContents"/>
              <w:bidi w:val="0"/>
              <w:spacing w:before="0" w:after="0"/>
              <w:ind w:left="320" w:right="0" w:hanging="16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Dividends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Declared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Dividends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Declared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Low</w:t>
            </w:r>
          </w:p>
        </w:tc>
        <w:tc>
          <w:tcPr>
            <w:tcW w:w="60" w:type="dxa"/>
            <w:tcBorders/>
            <w:vAlign w:val="center"/>
          </w:tcPr>
          <w:p>
            <w:pPr>
              <w:pStyle w:val="TableContents"/>
              <w:bidi w:val="0"/>
              <w:spacing w:before="0" w:after="283"/>
              <w:jc w:val="left"/>
              <w:rPr/>
            </w:pPr>
            <w:r>
              <w:rPr/>
              <w:t> </w:t>
            </w:r>
          </w:p>
        </w:tc>
      </w:tr>
      <w:tr>
        <w:trPr/>
        <w:tc>
          <w:tcPr>
            <w:tcW w:w="19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Common Stock</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Quarter</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42.77</w:t>
            </w:r>
          </w:p>
        </w:tc>
        <w:tc>
          <w:tcPr>
            <w:tcW w:w="60" w:type="dxa"/>
            <w:tcBorders/>
            <w:shd w:fill="CCEE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Second Quarter</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41.51</w:t>
            </w:r>
          </w:p>
        </w:tc>
        <w:tc>
          <w:tcPr>
            <w:tcW w:w="60"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Third Quarter</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40.99</w:t>
            </w:r>
          </w:p>
        </w:tc>
        <w:tc>
          <w:tcPr>
            <w:tcW w:w="60" w:type="dxa"/>
            <w:tcBorders/>
            <w:shd w:fill="CCEE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Fourth Quarter</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49.52</w:t>
            </w:r>
          </w:p>
        </w:tc>
        <w:tc>
          <w:tcPr>
            <w:tcW w:w="60"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B Common Stock</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Quarter</w:t>
            </w:r>
          </w:p>
        </w:tc>
        <w:tc>
          <w:tcPr>
            <w:tcW w:w="60" w:type="dxa"/>
            <w:tcBorders/>
            <w:shd w:fill="FFFFFF" w:val="clear"/>
            <w:vAlign w:val="center"/>
          </w:tcPr>
          <w:p>
            <w:pPr>
              <w:pStyle w:val="TableContents"/>
              <w:bidi w:val="0"/>
              <w:spacing w:before="0" w:after="283"/>
              <w:ind w:left="0" w:right="0" w:hanging="0"/>
              <w:jc w:val="left"/>
              <w:rPr/>
            </w:pPr>
            <w:r>
              <w:rPr/>
              <w:t> </w:t>
            </w:r>
          </w:p>
        </w:tc>
        <w:tc>
          <w:tcPr>
            <w:tcW w:w="22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w:t>
            </w:r>
          </w:p>
        </w:tc>
        <w:tc>
          <w:tcPr>
            <w:tcW w:w="60"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Second Quarter</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37.85</w:t>
            </w:r>
          </w:p>
        </w:tc>
        <w:tc>
          <w:tcPr>
            <w:tcW w:w="60" w:type="dxa"/>
            <w:tcBorders/>
            <w:shd w:fill="CCEEFF" w:val="clear"/>
            <w:vAlign w:val="center"/>
          </w:tcPr>
          <w:p>
            <w:pPr>
              <w:pStyle w:val="TableContents"/>
              <w:bidi w:val="0"/>
              <w:spacing w:before="0" w:after="283"/>
              <w:jc w:val="left"/>
              <w:rPr/>
            </w:pPr>
            <w:r>
              <w:rPr/>
              <w:t> </w:t>
            </w:r>
          </w:p>
        </w:tc>
      </w:tr>
      <w:tr>
        <w:trPr/>
        <w:tc>
          <w:tcPr>
            <w:tcW w:w="1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Third Quarter</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37.92</w:t>
            </w:r>
          </w:p>
        </w:tc>
        <w:tc>
          <w:tcPr>
            <w:tcW w:w="60" w:type="dxa"/>
            <w:tcBorders/>
            <w:shd w:fill="FFFFFF" w:val="cle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Fourth Quarter</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February 17, 2026, there were nineteen record holders of Class A common stock and twenty-one record holders of Class B common stock. On August 28, 2023, we effected a three-for-two stock split with respect to both our Class A and Class B common stock in the form of a stock dividend. The foregoing stock prices and the following share amounts have been adjusted to give retroactive effect to the stock split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not sold any securities in the last three years that were not registered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summary of our stock repurchase activity for the fourth quarter of 2025 is as follows:</w:t>
      </w:r>
    </w:p>
    <w:p>
      <w:pPr>
        <w:pStyle w:val="TextBody"/>
        <w:bidi w:val="0"/>
        <w:spacing w:before="0" w:after="0"/>
        <w:ind w:left="0" w:right="0" w:hanging="0"/>
        <w:jc w:val="left"/>
        <w:rPr>
          <w:caps w:val="false"/>
          <w:smallCaps w:val="false"/>
        </w:rPr>
      </w:pPr>
      <w:r>
        <w:rPr>
          <w:caps w:val="false"/>
          <w:smallCaps w:val="false"/>
        </w:rPr>
        <w:t> </w:t>
      </w:r>
    </w:p>
    <w:tbl>
      <w:tblPr>
        <w:tblW w:w="8216" w:type="dxa"/>
        <w:jc w:val="left"/>
        <w:tblInd w:w="0" w:type="dxa"/>
        <w:tblLayout w:type="fixed"/>
        <w:tblCellMar>
          <w:top w:w="0" w:type="dxa"/>
          <w:left w:w="0" w:type="dxa"/>
          <w:bottom w:w="28" w:type="dxa"/>
          <w:right w:w="0" w:type="dxa"/>
        </w:tblCellMar>
      </w:tblPr>
      <w:tblGrid>
        <w:gridCol w:w="2810"/>
        <w:gridCol w:w="60"/>
        <w:gridCol w:w="63"/>
        <w:gridCol w:w="901"/>
        <w:gridCol w:w="60"/>
        <w:gridCol w:w="60"/>
        <w:gridCol w:w="184"/>
        <w:gridCol w:w="720"/>
        <w:gridCol w:w="245"/>
        <w:gridCol w:w="60"/>
        <w:gridCol w:w="91"/>
        <w:gridCol w:w="1308"/>
        <w:gridCol w:w="60"/>
        <w:gridCol w:w="60"/>
        <w:gridCol w:w="156"/>
        <w:gridCol w:w="1318"/>
        <w:gridCol w:w="60"/>
      </w:tblGrid>
      <w:tr>
        <w:trPr/>
        <w:tc>
          <w:tcPr>
            <w:tcW w:w="28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Purchased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(1)(2)(3)(4)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Paid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Number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Purchased as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Part of Publicly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Announced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Plans or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Programs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Approximate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 Value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that May</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Yet be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 Under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 Plans 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Programs (3)(4)</w:t>
            </w:r>
          </w:p>
        </w:tc>
        <w:tc>
          <w:tcPr>
            <w:tcW w:w="60"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 – October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ind w:left="0" w:right="0" w:hanging="0"/>
              <w:jc w:val="left"/>
              <w:rPr/>
            </w:pPr>
            <w:r>
              <w:rPr/>
              <w:t> </w:t>
            </w:r>
          </w:p>
        </w:tc>
        <w:tc>
          <w:tcPr>
            <w:tcW w:w="90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770,752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ind w:left="0" w:right="0" w:hanging="0"/>
              <w:jc w:val="left"/>
              <w:rPr/>
            </w:pPr>
            <w:r>
              <w:rPr/>
              <w:t> </w:t>
            </w:r>
          </w:p>
        </w:tc>
        <w:tc>
          <w:tcPr>
            <w:tcW w:w="13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770,752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28,219,573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 – November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ind w:left="0" w:right="0" w:hanging="0"/>
              <w:jc w:val="left"/>
              <w:rPr/>
            </w:pPr>
            <w:r>
              <w:rPr/>
              <w:t> </w:t>
            </w:r>
          </w:p>
        </w:tc>
        <w:tc>
          <w:tcPr>
            <w:tcW w:w="90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585,606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ind w:left="0" w:right="0" w:hanging="0"/>
              <w:jc w:val="left"/>
              <w:rPr/>
            </w:pPr>
            <w:r>
              <w:rPr/>
              <w:t> </w:t>
            </w:r>
          </w:p>
        </w:tc>
        <w:tc>
          <w:tcPr>
            <w:tcW w:w="72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48.16</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ind w:left="0" w:right="0" w:hanging="0"/>
              <w:jc w:val="left"/>
              <w:rPr/>
            </w:pPr>
            <w:r>
              <w:rPr/>
              <w:t> </w:t>
            </w:r>
          </w:p>
        </w:tc>
        <w:tc>
          <w:tcPr>
            <w:tcW w:w="13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585,606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ind w:left="0" w:right="0" w:hanging="0"/>
              <w:jc w:val="left"/>
              <w:rPr/>
            </w:pPr>
            <w:r>
              <w:rPr/>
              <w:t> </w:t>
            </w:r>
          </w:p>
        </w:tc>
        <w:tc>
          <w:tcPr>
            <w:tcW w:w="13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1 –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ind w:left="0" w:right="0" w:hanging="0"/>
              <w:jc w:val="left"/>
              <w:rPr/>
            </w:pPr>
            <w:r>
              <w:rPr/>
              <w:t> </w:t>
            </w:r>
          </w:p>
        </w:tc>
        <w:tc>
          <w:tcPr>
            <w:tcW w:w="72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0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ind w:left="0" w:right="0" w:hanging="0"/>
              <w:jc w:val="left"/>
              <w:rPr/>
            </w:pPr>
            <w:r>
              <w:rPr/>
              <w:t> </w:t>
            </w:r>
          </w:p>
        </w:tc>
        <w:tc>
          <w:tcPr>
            <w:tcW w:w="13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150,000,000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1,356,358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20"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0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1,356,358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calculation of the average price paid per share does not give effect to any fees, commissions or other costs associated with the repurchase of such shares.</w:t>
            </w:r>
          </w:p>
        </w:tc>
      </w:tr>
      <w:tr>
        <w:trPr/>
        <w:tc>
          <w:tcPr>
            <w:tcW w:w="19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shares represent Class A and Class B common stock repurchased.</w:t>
            </w:r>
          </w:p>
        </w:tc>
      </w:tr>
      <w:tr>
        <w:trPr/>
        <w:tc>
          <w:tcPr>
            <w:tcW w:w="19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repurchased shares in 2025 under a stock repurchase program announced on December 3, 2024, which authorized the repurchase of up to $150.0 million of our shares of Class A common stock and/or Class B common stock.</w:t>
            </w:r>
          </w:p>
        </w:tc>
      </w:tr>
      <w:tr>
        <w:trPr/>
        <w:tc>
          <w:tcPr>
            <w:tcW w:w="19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May 29, 2025, we announced the approval of a $50.0 million increase to the stock repurchase program, effective May 29, 2025, authorizing management to repurchase, from time to time, up to an aggregate of $200.0 million of our shares of Class A common stock and/or Class B common stock. This plan was terminated effective December 2, 2025; we repurchased $199.9 million shares of our Class A and Class B common stock under the plan prior to its termination. On December 3, 2025, we announced the approval of a new stock repurchase program, effective December 3, 2025, authorizing management to repurchase, from time to time, up to an aggregate of $150.0 million of our shares of Class A common stock and/or Class B common stock.</w:t>
            </w:r>
          </w:p>
        </w:tc>
      </w:tr>
      <w:tr>
        <w:trPr/>
        <w:tc>
          <w:tcPr>
            <w:tcW w:w="1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642,401 shares of Class A Common Stock at an average price paid per share of $50.68 and 128,351 shares of Class B Common Stock at an average price paid per share of $56.20.</w:t>
            </w:r>
          </w:p>
        </w:tc>
      </w:tr>
      <w:tr>
        <w:trPr/>
        <w:tc>
          <w:tcPr>
            <w:tcW w:w="1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100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585,606 shares of Class A common stock at an average price paid per share of $48.16.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Information regarding our equity compensation plans is incorporated by reference from Item 12, “Security Ownership of Certain Beneficial Owners and Management and Related Shareholder Matters,” of this annual report on Form 10-K and should be considered an integral part of this Item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Performance Graph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graph below matches the cumulative 5-Year total return of holders of Rush Enterprises, Inc.'s common stock with the cumulative total returns of the S&amp;P 500 index and a customized peer group of four companies that includes: Lithia Motors Inc, Paccar Inc, Penske Automotive Group Inc and Werner Enterprises Inc. The graph assumes that the value of the investment in our common stock, in each index, and in the peer group (including reinvestment of dividends) was $100 on December 31, 2020 and tracks it through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5353050" cy="515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53050" cy="51530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6395" w:type="dxa"/>
        <w:jc w:val="left"/>
        <w:tblInd w:w="0" w:type="dxa"/>
        <w:tblLayout w:type="fixed"/>
        <w:tblCellMar>
          <w:top w:w="28" w:type="dxa"/>
          <w:left w:w="0" w:type="dxa"/>
          <w:bottom w:w="28" w:type="dxa"/>
          <w:right w:w="0" w:type="dxa"/>
        </w:tblCellMar>
      </w:tblPr>
      <w:tblGrid>
        <w:gridCol w:w="1775"/>
        <w:gridCol w:w="60"/>
        <w:gridCol w:w="60"/>
        <w:gridCol w:w="590"/>
        <w:gridCol w:w="60"/>
        <w:gridCol w:w="60"/>
        <w:gridCol w:w="60"/>
        <w:gridCol w:w="590"/>
        <w:gridCol w:w="60"/>
        <w:gridCol w:w="60"/>
        <w:gridCol w:w="60"/>
        <w:gridCol w:w="590"/>
        <w:gridCol w:w="60"/>
        <w:gridCol w:w="60"/>
        <w:gridCol w:w="60"/>
        <w:gridCol w:w="590"/>
        <w:gridCol w:w="60"/>
        <w:gridCol w:w="60"/>
        <w:gridCol w:w="60"/>
        <w:gridCol w:w="590"/>
        <w:gridCol w:w="60"/>
        <w:gridCol w:w="60"/>
        <w:gridCol w:w="60"/>
        <w:gridCol w:w="590"/>
        <w:gridCol w:w="60"/>
      </w:tblGrid>
      <w:tr>
        <w:trPr/>
        <w:tc>
          <w:tcPr>
            <w:tcW w:w="1775" w:type="dxa"/>
            <w:tcBorders>
              <w:top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12/20</w:t>
            </w:r>
          </w:p>
        </w:tc>
        <w:tc>
          <w:tcPr>
            <w:tcW w:w="60" w:type="dxa"/>
            <w:tcBorders>
              <w:top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12/21</w:t>
            </w:r>
          </w:p>
        </w:tc>
        <w:tc>
          <w:tcPr>
            <w:tcW w:w="60" w:type="dxa"/>
            <w:tcBorders>
              <w:top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12/22</w:t>
            </w:r>
          </w:p>
        </w:tc>
        <w:tc>
          <w:tcPr>
            <w:tcW w:w="60" w:type="dxa"/>
            <w:tcBorders>
              <w:top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12/23</w:t>
            </w:r>
          </w:p>
        </w:tc>
        <w:tc>
          <w:tcPr>
            <w:tcW w:w="60" w:type="dxa"/>
            <w:tcBorders>
              <w:top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12/24</w:t>
            </w:r>
          </w:p>
        </w:tc>
        <w:tc>
          <w:tcPr>
            <w:tcW w:w="60" w:type="dxa"/>
            <w:tcBorders>
              <w:top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650" w:type="dxa"/>
            <w:gridSpan w:val="2"/>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12/25</w:t>
            </w:r>
          </w:p>
        </w:tc>
        <w:tc>
          <w:tcPr>
            <w:tcW w:w="60" w:type="dxa"/>
            <w:tcBorders/>
            <w:tcMar>
              <w:top w:w="0" w:type="dxa"/>
              <w:bottom w:w="0" w:type="dxa"/>
            </w:tcMar>
            <w:vAlign w:val="center"/>
          </w:tcPr>
          <w:p>
            <w:pPr>
              <w:pStyle w:val="TableContents"/>
              <w:bidi w:val="0"/>
              <w:spacing w:before="0" w:after="283"/>
              <w:jc w:val="left"/>
              <w:rPr/>
            </w:pPr>
            <w:r>
              <w:rPr/>
              <w:t> </w:t>
            </w:r>
          </w:p>
        </w:tc>
      </w:tr>
      <w:tr>
        <w:trPr/>
        <w:tc>
          <w:tcPr>
            <w:tcW w:w="1775" w:type="dxa"/>
            <w:tcBorders/>
            <w:shd w:fill="CCEE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Rush Enterprises, Inc.</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140.42</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141.30</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204.89</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219.80</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224.79</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1775" w:type="dxa"/>
            <w:tcBorders/>
            <w:shd w:fill="FFFF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S&amp;P 500</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128.71</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105.40</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133.10</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166.40</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196.16</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1775" w:type="dxa"/>
            <w:tcBorders/>
            <w:shd w:fill="CCEEFF" w:val="clear"/>
            <w:tcMar>
              <w:top w:w="0" w:type="dxa"/>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Peer Group</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114.33</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120.58</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182.41</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196.50</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top w:w="0" w:type="dxa"/>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207.21</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stock price performance included in this graph is not necessarily indicative of future stock price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3" w:name="res"/>
      <w:bookmarkEnd w:id="13"/>
      <w:r>
        <w:rPr>
          <w:rFonts w:ascii="Times New Roman" w:hAnsi="Times New Roman"/>
          <w:b/>
          <w:caps w:val="false"/>
          <w:smallCaps w:val="false"/>
          <w:sz w:val="20"/>
        </w:rPr>
        <w:t>Item 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4" w:name="mgmt"/>
      <w:bookmarkEnd w:id="14"/>
      <w:r>
        <w:rPr>
          <w:rFonts w:ascii="Times New Roman" w:hAnsi="Times New Roman"/>
          <w:b/>
          <w:caps w:val="false"/>
          <w:smallCaps w:val="false"/>
          <w:sz w:val="20"/>
        </w:rPr>
        <w:t>Item 7.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full-service, integrated retailer of commercial vehicles and related services. We operate one segment - the Truck Segment. The Truck Segment operates a network of commercial vehicle dealerships primarily under the name “Rush Truck Centers.” Most Rush Truck Centers are a franchised dealer for commercial vehicles manufactured by Peterbilt, International, Hino, Ford, Isuzu, Blue Arc, Battle Motors, IC Bus or Blue Bird. Through our strategically located network of Rush Truck Centers, we provide one-stop service for the needs of our commercial vehicle customers. We offer an integrated approach to meeting customer needs by providing service, parts and collision repairs in addition to new and used commercial vehicle sales, leasing, insurance and financial services, vehicle upfitting, CNG fuel systems through our joint venture with Cummins and vehicle telematics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goal is to continue to serve as the premier service solutions provider to the end-users of commercial vehicles. Our strategic efforts to achieve this goal include continuously expanding our portfolio of Aftermarket Products and Services, broadening the diversity of our commercial vehicle product offerings and extending our network of Rush Truck Centers. Our commitment to provide innovative solutions to service our customers’ needs continues to drive our strong Aftermarket Products and Services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Aftermarket Products and Services include a wide range of capabilities and products such as providing parts, service and collision repairs at certain of our Rush Truck Centers, a fleet of mobile service units, technicians who work in our customers’ facilities, a proprietary line of commercial vehicle parts and accessories, vehicle upfitting, a broad range of diagnostic and analysis capabilities, a suite of telematics products and assembly services for specialized bodies and equipment. Aftermarket Products and Services accounted for 63.7% of our total gross profits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25, 2023, the Board declared a 3-for-2 stock split of the Company’s Class A common stock and Class B common stock, which was effected in the form of a stock dividend. On August 28, 2023, the Company distributed one additional share of stock for every two shares of Class A common stock, par value $0.01 per share, and Class B common stock, par value $0.01 per share, held by shareholders of record as of August 7, 2023. All share and per share data in this Form 10-K have been adjusted and restated to reflect the stock split as if it occurred on the first day of the earliest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Summary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results of operations for the year ended December 31, 2025, are summarized below as follows:</w:t>
      </w:r>
    </w:p>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60"/>
        <w:gridCol w:w="170"/>
        <w:gridCol w:w="89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gross revenues totaled $7,434.2 million, a 4.7% decrease from gross revenues of $7,804.7 million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decreased $70.8 million, or 4.6%, compared to 2024. Gross profit as a percentage of sales remained at 19.6% in 2025, compared to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new Class 8 heavy-duty unit sales decreased 17.4%, compared to 2024, and accounted for 5.8% of the total U.S. market and 1.4% of the total Canadian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new Class 4 through 7 medium-duty unit sales (including buses) decreased 4.8%, compared to 2024, and accounted for 5.7% of the total U.S. market and 6.3% of the total Canadian market.</w:t>
            </w:r>
          </w:p>
        </w:tc>
      </w:tr>
    </w:tbl>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60"/>
        <w:gridCol w:w="170"/>
        <w:gridCol w:w="6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light-duty truck unit sales increased 42.9% in 2025, compared to 2024.</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170"/>
        <w:gridCol w:w="52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truck unit sales decreased 1.9% in 2025, compared to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revenues increased $7.2 million, or 0.3%, to $2,523.2 million, compared to $2,516.0 million in 2024.</w:t>
            </w:r>
          </w:p>
        </w:tc>
      </w:tr>
    </w:tbl>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60"/>
        <w:gridCol w:w="170"/>
        <w:gridCol w:w="9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revenues increased $14.6 million, or 4.1%, to $369.6 million, compared to $354.9 million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(“SG&amp;A”) expenses increased $0.6 million, or 0.1%, to $996.2 million, compared to $995.6 million in 2024.</w:t>
            </w:r>
          </w:p>
        </w:tc>
      </w:tr>
    </w:tbl>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60"/>
        <w:gridCol w:w="170"/>
        <w:gridCol w:w="8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expense decreased $24.6 million, or 34.7%, in 2025, compared to $70.9 million in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2026 Outlook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According to A.C.T. Research Co., LLC (“A.C.T. Research”), a commercial vehicle industry data and forecasting service provider, new U. S. Class 8 truck retail sales are estimated to total 211,300 units in 2026, a 0.6% decrease compared to 212,707 units sold in 2025. We expect our U.S. market share of new Class 8 truck sales to range between 5.8% and 6.3% in 2026. This market share percentage would result in the sale of 12,200 to 13,300 new Class 8 trucks in 2026. We expect to sell approximately 500 additional new Class 8 trucks in Canada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According to A.C.T. Research, new U. S. Class 4 through 7 commercial vehicle retail sales are estimated to total 218,225 units in 2026, a 0.3% increase compared to 217,412 units sold in 2025. We expect our U.S. market share of new Class 4 through 7 commercial vehicle sales to range between 5.8% and 6.3% in 2026. This market share percentage would result in the sale of 12,600 to 13,700 new Class 4 through 7 commercial vehicles in 2026. We expect to sell approximately 900 additional new Class 5 through 7 commercial vehicles in Canada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sell approximately 2,500 to 3,000 light-duty vehicles and 6,500 to 7,500 used commercial vehicles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lease and rental revenue to increase approximately 3.0% during 2026, compared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2026, we expect demand for Aftermarket Products and Services to remain relatively weak through the first quarter. However, we are optimistic that freight markets will improve in 2026 and that demand will pick up as the year progresses. We believe that an improved freight market, along with our continued focus on growing our national account customer base and our focus on other aftermarket strategic initiatives, will result in aftermarket revenue growth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Key Performance Indicator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Absorption Ratio. </w:t>
      </w:r>
      <w:r>
        <w:rPr>
          <w:rFonts w:ascii="Times New Roman" w:hAnsi="Times New Roman"/>
          <w:caps w:val="false"/>
          <w:smallCaps w:val="false"/>
          <w:sz w:val="20"/>
        </w:rPr>
        <w:t>Management uses several performance metrics to evaluate the performance of our commercial vehicle dealerships and considers Rush Truck Centers’ “absorption ratio” to be of critical importance.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130.7% absorption ratio for the year ended December 31, 2025, and 132.2% absorption ratio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significant accounting policies are disclosed in Note 2 of the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Inventory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Inventories are stated at the lower of cost or net realizable value. Cost is determined by specific identification of new and used commercial vehicle inventory. The estimated net realizable value of new and used commercial inventory is determined based on an analysis of historical sales trends, the impact of market trends and economic conditions, and forecasts of future demand. Our historical estimates of these costs and the related provisions have not differed materially from actual results. However, unforeseen adverse future economic and market conditions could result in our actual results differing materially from our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Purchase Price Allocation, Intangible Assets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Purchase price allocation for business combinations and asset acquisitions requires the use of accounting estimates and judgments to allocate the purchase price to the identifiable tangible and intangible assets acquired and liabilities assumed based on their respective fair values. We determine whether substantially all the fair value of the gross assets acquired is concentrated in a single identifiable asset or a group of similar identifiable assets. If so, the single asset or group of assets, as applicable, is not a business. If not, we determine whether the single asset or group of assets, as applicable, meets the definition of a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our business combinations, we record certain intangible assets, including franchise rights. We periodically review the estimated useful lives and fair values of our identifiable intangible assets, taking into consideration any events or circumstances that might result in a diminished fair value or revised useful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excess purchase price over the fair value of assets acquired is recorded as goodwill. We assess goodwill for impairment annually in the fourth quarter, or whenever events or changes in circumstances indicate an impairment may have occurred. If impaired, the carrying values of the assets are written down to fair value using Level 3 inputs. See Note 2 – Significant Accounting Policies for further discussion of Level 3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Accounting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Tax authorities periodically audit our income tax returns.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require use of our cash and result in an increase in our effective income tax rate in the period of resolution. A favorable tax settlement would generally be recognized as a reduction in our effective income tax rate in the period of resolution. Our income tax expense includes the impact of reserve provisions and changes to reserves that we consider appropriate, as well as related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discussion and analysis includes our historical results of operations for 2025, 2024 and 2023. The following table sets forth for the years indicated certain financial data as a percentage of total revenues:</w:t>
      </w:r>
    </w:p>
    <w:p>
      <w:pPr>
        <w:pStyle w:val="TextBody"/>
        <w:bidi w:val="0"/>
        <w:spacing w:before="0" w:after="0"/>
        <w:ind w:left="0" w:right="0" w:hanging="0"/>
        <w:jc w:val="left"/>
        <w:rPr>
          <w:caps w:val="false"/>
          <w:smallCaps w:val="false"/>
        </w:rPr>
      </w:pPr>
      <w:r>
        <w:rPr>
          <w:caps w:val="false"/>
          <w:smallCaps w:val="false"/>
        </w:rPr>
        <w:t> </w:t>
      </w:r>
    </w:p>
    <w:tbl>
      <w:tblPr>
        <w:tblW w:w="7012" w:type="dxa"/>
        <w:jc w:val="left"/>
        <w:tblInd w:w="0" w:type="dxa"/>
        <w:tblLayout w:type="fixed"/>
        <w:tblCellMar>
          <w:top w:w="0" w:type="dxa"/>
          <w:left w:w="0" w:type="dxa"/>
          <w:bottom w:w="0" w:type="dxa"/>
          <w:right w:w="0" w:type="dxa"/>
        </w:tblCellMar>
      </w:tblPr>
      <w:tblGrid>
        <w:gridCol w:w="4550"/>
        <w:gridCol w:w="60"/>
        <w:gridCol w:w="62"/>
        <w:gridCol w:w="507"/>
        <w:gridCol w:w="193"/>
        <w:gridCol w:w="62"/>
        <w:gridCol w:w="62"/>
        <w:gridCol w:w="507"/>
        <w:gridCol w:w="193"/>
        <w:gridCol w:w="62"/>
        <w:gridCol w:w="62"/>
        <w:gridCol w:w="507"/>
        <w:gridCol w:w="185"/>
      </w:tblGrid>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1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18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5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9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5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both"/>
              <w:rPr/>
            </w:pPr>
            <w:r>
              <w:rPr/>
              <w:t> </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both"/>
              <w:rPr/>
            </w:pPr>
            <w:r>
              <w:rPr/>
              <w:t> </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w:t>
            </w:r>
          </w:p>
        </w:tc>
        <w:tc>
          <w:tcPr>
            <w:tcW w:w="1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w:t>
            </w:r>
          </w:p>
        </w:tc>
        <w:tc>
          <w:tcPr>
            <w:tcW w:w="1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18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9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9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9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9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w:t>
            </w:r>
          </w:p>
        </w:tc>
        <w:tc>
          <w:tcPr>
            <w:tcW w:w="19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w:t>
            </w:r>
          </w:p>
        </w:tc>
        <w:tc>
          <w:tcPr>
            <w:tcW w:w="19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w:t>
            </w:r>
          </w:p>
        </w:tc>
        <w:tc>
          <w:tcPr>
            <w:tcW w:w="18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569"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19.6</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69"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19.6</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69"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20.1</w:t>
            </w:r>
          </w:p>
        </w:tc>
        <w:tc>
          <w:tcPr>
            <w:tcW w:w="18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19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19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18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sale of assets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9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9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Operating income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8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9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9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9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9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18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9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9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8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9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unit sales and revenue for new heavy-duty, new medium-duty, new light-duty and used commercial vehicles and the absorption ratio for the years indicated (revenue in millions):</w:t>
      </w:r>
    </w:p>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2420"/>
        <w:gridCol w:w="60"/>
        <w:gridCol w:w="125"/>
        <w:gridCol w:w="740"/>
        <w:gridCol w:w="185"/>
        <w:gridCol w:w="60"/>
        <w:gridCol w:w="125"/>
        <w:gridCol w:w="740"/>
        <w:gridCol w:w="185"/>
        <w:gridCol w:w="60"/>
        <w:gridCol w:w="125"/>
        <w:gridCol w:w="740"/>
        <w:gridCol w:w="185"/>
        <w:gridCol w:w="60"/>
        <w:gridCol w:w="60"/>
        <w:gridCol w:w="440"/>
        <w:gridCol w:w="185"/>
        <w:gridCol w:w="60"/>
        <w:gridCol w:w="60"/>
        <w:gridCol w:w="440"/>
        <w:gridCol w:w="185"/>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5"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5"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5"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vs</w:t>
            </w:r>
          </w:p>
        </w:tc>
        <w:tc>
          <w:tcPr>
            <w:tcW w:w="18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Vehicle unit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heavy-duty vehicles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17,457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medium-duty vehicles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8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light-duty vehicles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18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new vehicle unit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29,055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32,569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vehicle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both"/>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both"/>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both"/>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both"/>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both"/>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Vehicle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heavy-duty vehicles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2,425.50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2,906.80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3,083.10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medium-duty vehicles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1,510.50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1485.2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18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light-duty vehicles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18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new vehicle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4,115.10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4,518.00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4,503.90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vehicle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vehicle revenue(1)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Dealership absorption ratio: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55" w:type="dxa"/>
            <w:gridSpan w:val="20"/>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     Includes sales of truck bodies, trailers and other new equipment.</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for the periods indicated the percent of gross profit by revenue source:</w:t>
      </w:r>
    </w:p>
    <w:p>
      <w:pPr>
        <w:pStyle w:val="TextBody"/>
        <w:bidi w:val="0"/>
        <w:spacing w:before="0" w:after="0"/>
        <w:ind w:left="0" w:right="0" w:hanging="0"/>
        <w:jc w:val="left"/>
        <w:rPr>
          <w:caps w:val="false"/>
          <w:smallCaps w:val="false"/>
        </w:rPr>
      </w:pPr>
      <w:r>
        <w:rPr>
          <w:caps w:val="false"/>
          <w:smallCaps w:val="false"/>
        </w:rPr>
        <w:t> </w:t>
      </w:r>
    </w:p>
    <w:tbl>
      <w:tblPr>
        <w:tblW w:w="5585" w:type="dxa"/>
        <w:jc w:val="left"/>
        <w:tblInd w:w="0" w:type="dxa"/>
        <w:tblLayout w:type="fixed"/>
        <w:tblCellMar>
          <w:top w:w="0" w:type="dxa"/>
          <w:left w:w="0" w:type="dxa"/>
          <w:bottom w:w="0" w:type="dxa"/>
          <w:right w:w="0" w:type="dxa"/>
        </w:tblCellMar>
      </w:tblPr>
      <w:tblGrid>
        <w:gridCol w:w="3215"/>
        <w:gridCol w:w="60"/>
        <w:gridCol w:w="60"/>
        <w:gridCol w:w="485"/>
        <w:gridCol w:w="185"/>
        <w:gridCol w:w="60"/>
        <w:gridCol w:w="60"/>
        <w:gridCol w:w="485"/>
        <w:gridCol w:w="185"/>
        <w:gridCol w:w="60"/>
        <w:gridCol w:w="60"/>
        <w:gridCol w:w="485"/>
        <w:gridCol w:w="18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w:t>
            </w:r>
          </w:p>
        </w:tc>
        <w:tc>
          <w:tcPr>
            <w:tcW w:w="18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8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Industry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operate in the commercial vehicle market. There has historically been a high correlation between new product sales in the commercial vehicle market and the rate of change in U.S. industrial production and the U.S. gross domestic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Heavy-Duty Truck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Many of our Rush Truck Centers sell heavy-duty trucks manufactured by Peterbilt, International, Hino or Battle Motors, and provide parts and service for heavy-duty trucks. The U.S. retail heavy-duty truck market is affected by a number of factors, including general economic conditions, fuel prices, other methods of transportation, environmental and other government regulations, interest rate fluctuations and customer business cycles. According to data published by A.C.T. Research, total U.S. retail sales of new Class 8 trucks in the last ten years have ranged from a low of approximately 195,687 in 2020 to a high of approximately 281,440 in 2019. Class 8 trucks are defined by the American Automobile Association as trucks with a minimum gross vehicle weight rating above 33,000 pounds.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Typically, Class 8 trucks are assembled by manufacturers utilizing certain components that may be manufactured by other companies including engines, transmissions, axles, wheels and other components. As commercial vehicles and certain commercial vehicle components have become increasingly complex, the ability to provide service for commercial vehicles has become an increasingly competitive factor in the industry. The ability to provide such service requires a significant capital investment in diagnostic and other equipment, parts inventory and highly trained service personnel. EPA and Department of Transportation regulatory guidelines for service processes, including collision center, paint work and waste disposal, require sophisticated equipment to ensure compliance with environmental and safety standards. Differentiation between commercial vehicle dealers has become less dependent on price competition and is increasingly based on a dealer’s ability to offer a wide variety of services to their clients in a timely manner to minimize vehicle downtime. Such services include the following: efficient, conveniently located and easily accessible commercial vehicle service centers with an adequate supply of replacement parts and other aftermarket products and services; financing for commercial vehicle purchases; leasing and rental programs; and the ability to accept multiple unit trade-ins related to large fleet purchases. We believe our one-stop center concept and the size and geographic diversity of our dealership network gives us a competitive advantage in providing these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A.C.T. Research currently estimates 211,300 new Class 8 commercial vehicles will be sold in the United States in 2026, compared to approximately 212,707 new Class 8 trucks sold in 2025. A.C.T. Research currently forecasts sales of new Class 8 trucks in the U.S. to be approximately 205,900 in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Medium-Duty Truck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Many of our Rush Truck Centers sell medium-duty commercial vehicles manufactured by Peterbilt, International, Hino, Ford or Isuzu, and provide parts and service for medium-duty commercial vehicles. Medium-duty commercial vehicles are principally used in short</w:t>
        <w:noBreakHyphen/>
        <w:t>haul markets as delivery vehicles; they typically operate locally and generally do not leave their service areas overnight. We also sell light-duty vehicles (Class 3 and under) at several of our Ford dealerships.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A.C.T. Research currently estimates 218,225 new Class 4 through 7 commercial vehicles will be sold in the United States in 2026, compared to approximately 217,412 new Class 4 through 7 trucks sold in 2025. A.C.T. Research currently forecasts sales of new Class 4 through 7 trucks in the U.S. to be approximately 240,700 in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Year Ended December</w:t>
      </w:r>
      <w:r>
        <w:rPr>
          <w:rFonts w:ascii="Times New Roman" w:hAnsi="Times New Roman"/>
          <w:caps w:val="false"/>
          <w:smallCaps w:val="false"/>
          <w:sz w:val="20"/>
        </w:rPr>
        <w:t> </w:t>
      </w:r>
      <w:r>
        <w:rPr>
          <w:rFonts w:ascii="Times New Roman" w:hAnsi="Times New Roman"/>
          <w:b/>
          <w:caps w:val="false"/>
          <w:smallCaps w:val="false"/>
          <w:sz w:val="20"/>
        </w:rPr>
        <w:t>31, 2025, Compared to Year Ended December</w:t>
      </w:r>
      <w:r>
        <w:rPr>
          <w:rFonts w:ascii="Times New Roman" w:hAnsi="Times New Roman"/>
          <w:caps w:val="false"/>
          <w:smallCaps w:val="false"/>
          <w:sz w:val="20"/>
        </w:rPr>
        <w:t> </w:t>
      </w:r>
      <w:r>
        <w:rPr>
          <w:rFonts w:ascii="Times New Roman" w:hAnsi="Times New Roman"/>
          <w:b/>
          <w:caps w:val="false"/>
          <w:smallCaps w:val="false"/>
          <w:sz w:val="20"/>
        </w:rPr>
        <w:t>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Total revenues decreased $370.6 million, or 4.7%, in 2025, compared to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Aftermarket Products and Services revenues increased $7.2 million, or 0.3%, in 2025, compared to 2024. The slight increase in Aftermarket Parts and Services revenues was primarily related to increased parts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revenues from sales of new and used commercial vehicles decreased $385.3 million, or 7.9%, in 2025, compared to 2024. The decrease in new and used commercial vehicle revenues was primarily a result of weak demand for Class 8 trucks caused by the freight recession and uncertainty with respect to U.S. trade policy and engine emissions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12,770 new Class 8 trucks in 2025, a 17.4% decrease compared to 15,465 new heavy-duty trucks in 2024. Our share of the new U.S. Class 8 commercial vehicle sales market decreased to approximately 5.8% in 2025, from 6.1% in 2024. Our share of the new Canada Class 8 truck market was approximately 1.4% in 2025. The decrease in new commercial vehicle revenues was primarily a result of the freight recession and uncertainty with respect to U.S. trade policy and engine emissions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13,278 new medium-duty commercial vehicles, including 1,681 buses, in 2025, a 4.7% decrease compared to 13,935 new medium-duty commercial vehicles, including 1,230 buses, in 2024. The decrease in our Class 4 through 7 commercial vehicle sales in 2025 was primarily a result of challenging market conditions and regulatory uncertainty. In 2025, we achieved a 5.7% share of the Class 4 through 7 commercial vehicle market in the U.S., compared to 5.3% in 2024. Our share of the Canada medium-duty commercial vehicles market was approximately 6.3%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3,007 new light-duty vehicles in 2025, a 42.9% increase compared to 2,105 new light-duty vehicles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6,977 used commercial vehicles in 2025, a 1.9% decrease compared to 7,110 used commercial vehicles in 2024. The decrease was primarily a result of the freight recession.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Commercial vehicle lease and rental revenues increased $14.6 million, or 4.1%, in 2025, compared to 2024. This increase in commercial vehicle lease and rental revenues was primarily a result of growth in our full-service lease portfolio, supported by strong customer demand and a modernized fleet, which was partially offset by decreased rental utilization.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Finance and insurance revenues decreased $0.8 million, or 3.9%, in 2025, compared to 2024. This decrease was primarily due to decreased new and used vehicle sales. Finance and insurance revenues have limited direct costs and, therefore, contribute a disproportionate share of our operating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revenues decreased $6.2 million, or 27.0% in 2025, compared to 2024. Other revenues consist primarily of the gains related to the disposition of our lease and rental fleet and document fees related to commercial vehicle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decreased $70.8 million, or 4.6%, compared to 2024. Gross profit as a percentage of sales remained flat at 19.6% in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our Aftermarket Products and Services operations increased to 36.9% in 2025, from 36.7% in 2024. Gross profit for Aftermarket Products and Services increased to $930.5 million in 2025, from $924.5 million in 2024. This increase was primarily related to increased parts pricing and rebates received from manufacturers. Historically, parts operations’ gross margins range from 28% to 30% and service and collision center operations range from 66% to 68%. Gross profits from parts sales represented 58.8% of total gross profit for Aftermarket Products and Services operations in 2025 and 59.5% in 2024. Service and collision center operations represented 41.2% of total gross profit for Aftermarket Products and Services operations in 2025 and 40.5% 2024. We expect blended gross margins on Aftermarket Products and Services operations to range from 36.0% to 38.0%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8 truck sales decreased to 8.6% in 2025, from 9.7% in 2024. The decrease in gross margins was primarily due to the freight recession and a more competitive sales environment. In 2026, we expect overall gross margins from new heavy-duty truck sales of approximately 8.5% to 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4 through 7 commercial vehicle sales decreased to 7.8% in 2025, from 9.7% in 2024. This decrease was primarily due to challenging industry conditions and a shift in the mix of customers during 2025. For 2026, we expect overall gross margins from new medium-duty commercial vehicle sales of approximately 7.0% to 9.0%, but this will largely depend upon the mix of purchasers and types of vehicles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used commercial vehicle sales decreased to 13.6% in 2025, from 18.9% in 2024. This decrease was primarily due to a shift in customer mix between wholesale and retail. We expect margins on used commercial vehicles to range between 11.0% and 16.0%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commercial vehicle lease and rental sales decreased to 27.8% in 2025, from 28.0% in 2024. This decrease is primarily related to a decrease in rental utilization rates. We expect gross margins from lease and rental sales of approximately 27.0% to 29.0% during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Finance and insurance revenues and other revenues, as described above, have limited direct costs and, therefore, contribute a disproportionate share of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SG&amp;A expenses increased $0.6 million, or 0.1%, in 2025, compared to 2024. SG&amp;A expenses as a percentage of total revenues increased to 13.4% in 2025, from 12.8% in 2024. Annual SG&amp;A expenses as a percentage of total revenues have ranged from 12.4% to 14.4% over the last five years. In general, when new and used commercial vehicle revenues increase as a percentage of total revenues, SG&amp;A expenses as a percentage of total revenues will be at the lower end of this range. For 2026, we expect SG&amp;A expenses as a percentage of total revenues to range from 12.5% to 13.5%. For 2026, we expect the selling portion of SG&amp;A expenses to be 25.0% to 30.0% of new and used commercial vehicle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Depreciation and Amortization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Depreciation and amortization expense increased $2.6 million, or 3.8%, in 2025, compared to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interest expense decreased $24.6 million, or 34.7%, in 2025, compared to 2024. This decrease in interest expense was primarily the result of decreased inventory levels and lower interest rates on our variable rate debt compared to 2024. We expect net interest expense to decrease in 2026 compared to 2025 due to decreased commercial vehicle inventory levels, lower interest rates and how we choose to finance our vehicle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Income before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before income taxes decreased $52.0 million, or 13.1%, in 2025, compared to 2024, as a result of the factors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tax expense decreased $13.0 million, or 14.0%, in 2025, compared to 2024, as a result of the factors described above. We provided for taxes at a 23.1% effective rate in 2025 and 23.3% in 2024. We expect our effective tax rate to be approximately 23.0% to 24.0% of pretax income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Year Ended December</w:t>
      </w:r>
      <w:r>
        <w:rPr>
          <w:rFonts w:ascii="Times New Roman" w:hAnsi="Times New Roman"/>
          <w:caps w:val="false"/>
          <w:smallCaps w:val="false"/>
          <w:sz w:val="20"/>
        </w:rPr>
        <w:t> </w:t>
      </w:r>
      <w:r>
        <w:rPr>
          <w:rFonts w:ascii="Times New Roman" w:hAnsi="Times New Roman"/>
          <w:b/>
          <w:caps w:val="false"/>
          <w:smallCaps w:val="false"/>
          <w:sz w:val="20"/>
        </w:rPr>
        <w:t>31, 2024, Compared to Year Ended December</w:t>
      </w:r>
      <w:r>
        <w:rPr>
          <w:rFonts w:ascii="Times New Roman" w:hAnsi="Times New Roman"/>
          <w:caps w:val="false"/>
          <w:smallCaps w:val="false"/>
          <w:sz w:val="20"/>
        </w:rPr>
        <w:t> </w:t>
      </w:r>
      <w:r>
        <w:rPr>
          <w:rFonts w:ascii="Times New Roman" w:hAnsi="Times New Roman"/>
          <w:b/>
          <w:caps w:val="false"/>
          <w:smallCaps w:val="false"/>
          <w:sz w:val="20"/>
        </w:rPr>
        <w:t>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For a discussion of information on the year ended December 31, 2024, refer to Part II Item 7 in the 2024 Annual Report on Form 10-K. </w:t>
      </w:r>
      <w:r>
        <w:rPr>
          <w:rFonts w:ascii="Times New Roman" w:hAnsi="Times New Roman"/>
          <w:caps w:val="false"/>
          <w:smallCaps w:val="false"/>
          <w:sz w:val="20"/>
          <w:u w:val="single"/>
        </w:rPr>
        <w:t>Inline XBRL Viewer (sec.gov)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and borrowings under our floor plan arrangements and other credit agreements. As of December 31, 2025, we had working capital of approximately $569.4 million, including $212.6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various credit agreements. The resulting interest earned is recognized as an offset to our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continually evaluate our liquidity and capital resources based upon: (i) our cash and cash equivalents on hand; (ii) the funds that we expect to generate through future operations; (iii) current and expected borrowing availability under our secured line of credit, working capital lines of credit available under certain of our credit agreements and our RTC Canada, PFC and BMO Floor Plan Credit Agreements;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 line of credit that provides for a maximum borrowing of $25.0 million. There were no advances outstanding under this secured line of credit as of December 31, 2025, however, $18.7 million was pledged to secure various letters of credit related to self-insurance products, leaving $6.3 million available for future borrowings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BMO Floor Plan Credit Agreement and the WF Credit Agreement require us to satisfy various financial ratios such as the leverage ratio, the asset coverage ratio and the fixed charge coverage ratio. As of December 31, 2025, we were in compliance with all debt covenants related to debt secured by the BMO Floor Plan Credit Agreement and the WF Credit Agreement. We do not anticipate any breach of the covenants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purchase or lease commercial vehicles worth approximately $300.0 million to $350.0 million for our leasing operations during 2026, depending on customer demand. We also expect to make capital expenditures for the purchase of recurring items such as computers, shop tools and equipment and company vehicles of approximately $37.0 million to $42.0 million during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fourth quarter of 2025, we paid a cash dividend of $14.6 million. Additionally, on February 17, 2026, our Board of Directors declared a cash dividend of $0.19 per share of Class A and Class B common stock, to be paid on March 18, 2026, to all shareholders of record as of March 3, 2026. The total dividend disbursement is estimated to be approximately $14.6 million. We expect to continue paying cash dividends on a quarterly basis. However, there is no assurance as to future dividends because the declaration and payment of such dividends is subject to the business judgment of our Board and will depend on historic and projected earnings, capital requirements, covenant compliance and financial conditions and such other factors as our Board deems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3, 2025, we announced that our Board approved a new stock repurchase program authorizing management to repurchase, from time to time, up to an aggregate of $150.0 million of our shares of Class A common stock and/or Class B common stock. In connection with the adoption of the new stock repurchase plan, we terminated the prior stock repurchase plan, which was scheduled to expire on December 31, 2025. Repurchases, if any, will be made at times and in amounts as we deem appropriate and may be made through open-market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December 31, 2025, we have not repurchased any of our shares of common stock under the current stock repurchase program. The current stock repurchase program expires on December 31, 2026, and may be suspended or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anticipate funding capital expenditures for the improvement and expansion of existing facilities and recurring expenses through our operating cash flows. We have the ability to fund the construction or purchase of new facilities through our operating cash flows or by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currently under contract to build a new facility on the land adjacent to our current location in Huntley, Illinois with a current budget of $23.6 million and a new facility in Conroe, Texas with a budget of $20.0 million. We will continue to purchase vehicles for our lease and rental operations and authorize capital expenditures for the improvement or expansion of our existing dealership facilities and construction or purchase of new facilities based on market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accordance with U.S. GAAP, we report floorplan borrowings financed with lenders affiliated with our vehicle manufacturers within Cash Flows from Operating Activities in the Consolidated Statements of Cash Flows. We report floorplan borrowings financed with lenders that are not affiliated with our vehicle manufacturers within Cash Flows from Financing Activities in the Consolidated Statements of Cash Flows. Refer to Note 7 - Floorplan Notes Payable and Line of Credit and Note 8 - Long-Term Debt within our Notes to Consolidated Financial Statements for additional discussion of our floorplan financing agreements and other debt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periods indicated (in thousands):</w:t>
      </w:r>
    </w:p>
    <w:p>
      <w:pPr>
        <w:pStyle w:val="TextBody"/>
        <w:bidi w:val="0"/>
        <w:spacing w:before="0" w:after="0"/>
        <w:ind w:left="0" w:right="0" w:hanging="0"/>
        <w:jc w:val="left"/>
        <w:rPr>
          <w:caps w:val="false"/>
          <w:smallCaps w:val="false"/>
        </w:rPr>
      </w:pPr>
      <w:r>
        <w:rPr>
          <w:caps w:val="false"/>
          <w:smallCaps w:val="false"/>
        </w:rPr>
        <w:t> </w:t>
      </w:r>
    </w:p>
    <w:tbl>
      <w:tblPr>
        <w:tblW w:w="6305" w:type="dxa"/>
        <w:jc w:val="left"/>
        <w:tblInd w:w="0" w:type="dxa"/>
        <w:tblLayout w:type="fixed"/>
        <w:tblCellMar>
          <w:top w:w="0" w:type="dxa"/>
          <w:left w:w="0" w:type="dxa"/>
          <w:bottom w:w="0" w:type="dxa"/>
          <w:right w:w="0" w:type="dxa"/>
        </w:tblCellMar>
      </w:tblPr>
      <w:tblGrid>
        <w:gridCol w:w="3245"/>
        <w:gridCol w:w="60"/>
        <w:gridCol w:w="125"/>
        <w:gridCol w:w="755"/>
        <w:gridCol w:w="80"/>
        <w:gridCol w:w="60"/>
        <w:gridCol w:w="125"/>
        <w:gridCol w:w="755"/>
        <w:gridCol w:w="80"/>
        <w:gridCol w:w="60"/>
        <w:gridCol w:w="125"/>
        <w:gridCol w:w="755"/>
        <w:gridCol w:w="80"/>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0"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 December 31,</w:t>
            </w:r>
          </w:p>
        </w:tc>
        <w:tc>
          <w:tcPr>
            <w:tcW w:w="8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861,839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619,550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295,713</w:t>
            </w:r>
          </w:p>
        </w:tc>
        <w:tc>
          <w:tcPr>
            <w:tcW w:w="8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(417,110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(387,030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(460,356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73,962</w:t>
            </w:r>
          </w:p>
        </w:tc>
        <w:tc>
          <w:tcPr>
            <w:tcW w:w="8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increase in cash</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44,652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Cash Flows from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flows from operating activities include net income adjusted for non-cash items and the effects of changes in working capital. During 2025, operating activities resulted in net cash provided by operations of $861.8 million. Net cash provided by operating activities primarily consisted of $266.0 million in net income, as well as non-cash adjustments related to depreciation and amortization of $252.8 million, provision for deferred income tax of $28.8 million and stock-based compensation of $31.7 million. Cash provided by operating activities included an aggregate of $397.5 million net change in operating assets and liabilities. Net change in operating assets and liabilities were primarily the result of $1.8 million from the decrease in customer deposits, $15.8 million from the decrease in accrued liabilities, $73.2 from the decrease in accounts receivable and $354.9 from the decrease in inventory which were offset primarily by cash outflows of $112.6 million from the decrease in floor plan financing from our manufacturers, $13.7 million from the decrease in accounts payable and $34.8 million from the decrease in current assets. The majority of our commercial vehicle inventory is financed through our floor plan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2024, operating activities resulted in net cash provided by operations of $619.6 million. Net cash provided by operating activities primarily consisted of $305.0 million in net income, as well as non-cash adjustments related to depreciation and amortization of $236.1 million, provision for deferred income tax of $19.8 million and stock-based compensation of $30.4 million. Cash used in operating activities included an aggregate of $23.5 million net change in operating assets and liabilities. Net change in operating assets and liabilities were primarily the result of $34.8 million from the decrease in customer deposits and $12.2 million from the decrease in accrued liabilities, which were offset primarily by cash outflows of $91.7 million from the increase in accounts receivable, $81.9 million from the decrease in accounts payable and $85.1 million from the increase in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2025, cash used in investing activities totaled $417.1 million. Cash flows used in investing activities consist primarily of cash used for capital expenditures, business acquisitions and notes receivable from an affiliate. Cash used for business acquisitions was $24.3 million and cash used for a notes receivable from an affiliate was $2.0 million during the year ended December 31, 2025. See Note 15 of the Notes to Consolidated Financial Statements for a detailed discussion of the business acquisitions. Capital expenditures totaled $399.8 million during 2025 and consisted primarily of purchases of property and equipment, improvements to our existing dealership facilities and $289.6 million for purchases of commercial vehicles for our rental and leasing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2024, cash used in investing activities totaled $445.6 million. Cash flows used in investing activities consist primarily of cash used for capital expenditures, business acquisitions and notes receivable from an affiliate. Cash used for business acquisitions was $16.4 million and cash used for a notes receivable from an affiliate was $9.5 million during the year ended December 31, 2024. See Note 15 of the Notes to Consolidated Financial Statements for a detailed discussion of the business acquisitions. Capital expenditures totaled $433.0 million during 2024 and consisted primarily of purchases of property and equipment, improvements to our existing dealership facilities and $368.5 million for purchases of commercial vehicles for our rental and leasing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flows used in financing activities include borrowings and repayments of long-term debt and net payments of non-trade floor plan notes payable. During 2025, our financing activities resulted in net cash used of $460.4 million. The cash outflows consisted primarily of $1,270.5 million used for principal repayments of long-term debt and finance lease obligations, $1.4 million for taxes paid related to net share settlement of equity awards and $69.0 million from net draws on floor plan note payable (non-trade). Additionally, during 2025, we paid cash dividends of $58.3 million and used $194.9 million to repurchase shares of our Class A and Class B common stock. These cash outflows were partially offset by borrowings of $1,117.5 million of long-term debt and $16.3 million from the issuance of shares related to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2024, our financing activities resulted in net cash used of $129.3 million. The cash outflows consisted primarily of $1,846.8 million used for principal repayments of long-term debt and finance lease obligations and $10.1 million for taxes paid related to net share settlement of equity awards. Additionally, during 2024, we paid cash dividends of $55.5 million and used $15.7 million to repurchase shares of our Class A and Class B common stock. These cash outflows were partially offset by $54.3 million from net draws on floor plan notes payable (non-trade), borrowings of $1,844.5 million of long-term debt and $25.4 million from the issuance of shares related to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14, 2021, we entered into the WF Credit Agreement. Pursuant to the terms of the WF Credit Agreement (as amended), the WF Lenders agreed to make up to $175.0 million of revolving credit loans for certain of our capital expenditures, including commercial vehicle purchases for our Idealease leasing and rental fleet, and general working capital needs. We use the revolving credit loans primarily for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SOFR plus (i) 1.25% or (ii) 1.5%, depending on our consolidated leverage ratio or (B) on or after the SOFR transition date, SOFR plus (i) 1.25% or (ii) 1.5%, depending on our consolidated leverage ratio. Effective September 30, 2025, the WF Credit Agreement was amended to, amongst other things, extend the expiration date to September 30, 2028, although, upon the occurrence and during the continuance of an event of default, the agent has the right to, or upon the request of the required lenders must, terminate the commitments and declare all outstanding principal and interest due and payable. We may terminate the commitments at any time. On December 31, 2025, we had approximately $22.3 million outstanding under the WF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1, 2023, we entered into the PLC Agreement. Pursuant to the terms of the PLC Agreement (as amended), PLC agreed to make up to $500.0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In addition, we must maintain a minimum balance of $220.0 million or we are subject to an unused commitment fee 0.20% of the amount by which the average daily outstanding principal balance of the loan during such quarter is less than $220.0 million. Advances under the PLC Agreement bear interest per annum, payable on the fifth day of the following month, at our option, at either (A) the prime rate, minus 2.10%, provided that the floating rate of interest is subject to a floor of 0%, or (B) a fixed rate, to be determined between us and PLC in each instance of borrowing at a fixed rate. The PLC Agreement expires on December 16, 2029, although either party has the right to terminate the PLC Agreement at any time upon 360 days written notice. On December 31, 2025, we had approximately $220.0 million outstanding under the PLC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31, 2022, RTC Canada entered into RTC Canada Revolving Credit Agreement with BMO. Pursuant to the terms of the RTC Canada Revolving Credit Agreement (as amended), BMO agreed to make up to $120.0 million CAD of revolving credit loans to finance certain of RTC Canada’s capital expenditures, including commercial vehicle purchases and other equipment to be leased or rented through RTC Canada’s Idealease franchise, with an additional $20.0 million CAD available upon the request of RTC Canada and consent of BMO. Borrowings under the RTC Canada Revolving Credit Agreement bear interest per annum payable monthly at CORRA, plus 1.72%. The RTC Canada Revolving Credit Agreement expires on September 14, 2026. On September 30, 2025, we had approximately $40.4 million CAD outstanding under the RTC Canada Revolving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Most of our commercial vehicle purchases are made on terms requiring payment to the manufacturer within 15 to 90 days or less from the date the commercial vehicles are invoiced from the factory. Navistar Financial Corporation and Peterbilt offer trade terms that provide an interest-free inventory stocking period for certain new commercial vehicles. This interest-free period is 15 to 180 days. If the commercial vehicle is not sold within the interest-free period, we finance the commercial vehicle under the PFC Floor Plan Credit Agreement or the BMO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16, 2024, we entered into the PFC Floor Plan Credit Agreement with PFC. The PFC Floor Plan Credit Agreement includes an aggregate loan commitment of $800.0 million for the financing of new Peterbilt trucks, tractors, chassis and other related equipment manufactured by Peterbilt. Borrowings under the PFC Floor Plan Credit Agreement bear interest per annum, payable on the fifth day of the following month, at our option, at either (A) the prime rate, minus 2.10%, provided that the floating rate of interest is subject to a floor of 0%, or (B) a fixed rate, to be determined between us and PFC in each instance of borrowing at a fixed rate. The PFC Floor Plan Credit Agreement expires on December 16, 2029, although either party has the right to terminate the PFC Floor Plan Credit Agreement at any time upon 360 days written notice. On December 31, 2025, we had approximately $380.0 million outstanding under the PFC Floor Plan Credit Agreement. Pursuant to a written agreement with Peterbilt, we pay Peterbilt directly for inventory financed pursuant to the PFC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14, 2021, we entered into the BMO Floor Plan Credit Agreement (as amended) with BMO Bank and the lenders signatory thereto. This agreement previously had an aggregate loan commitment of $1.0 billion, which we utilized to finance all of our new and used commercial vehicle inventory in the United States until we entered into the PFC Floor Plan Credit Agreement. On December 12, 2024, we entered into an amendment of the BMO Floor Plan Credit Agreement. Pursuant to the terms of the amendment, the aggregate loan commitment was reduced from $1.0 billion to $675.0 million and the definition of “Inventory” was amended to remove trucks, tractors and chassis manufactured by Peterbilt. We utilize the BMO Floor Plan Credit Agreement to finance all of our new commercial vehicle inventory, except for equipment manufactured by Peterbilt, and all of our used commercial vehicle inventory and for working capital purposes. Borrowings under the BMO Floor Plan Credit Agreement bear interest per annum, payable monthly, at (A) the greater of (i) zero and (ii) Term SOFR (as defined in the agreement), plus (B) 1.20%. Borrowings under the BMO Floor Plan Credit Agreement for the purchase of used inventory are limited to $150.0 million and loans for working capital purposes are limited to $200.0 million. The BMO Floor Plan Credit Agreement expires on December 31, 2029, although BMO Bank has the right to terminate at any time upon 360 days written notice and we may terminate at any time, subject to specified limited exceptions. On December 31, 2025, we had approximately $263.7 million outstanding under the BMO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15, 2022, RTC Canada entered into the RTC Canada Floor Plan Credit Agreement with BMO. Pursuant to the terms of the RTC Canada Floor Plan Credit Agreement (as amended), BMO originally agreed to make up to $116.7 million CAD of revolving credit loans to finance RTC Canada’s purchase of new and used vehicle inventory. On June 13, 2025, the RTC Canada Floor Plan Credit Agreement was amended to increase the loan commitment to $171.7 million CAD.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required to be made in CAD dollars under the RTC Canada Floor Plan Credit Agreement bear interest per annum, payable monthly, at CORRA, plus 1.27%. Advances required to be made in USD dollars bear interest per annum, payable monthly, at SOFR, plus 1.20%. The RTC Canada Floor Plan Credit Agreement expires on September 14, 2026. On September 30, 2025, we had approximately $81.7 million CAD outstanding under the RTC Canada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Cyclicality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is dependent on a number of factors including general economic conditions, fuel prices, interest rate fluctuations, freight rates,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total U.S. retail sales of new Class 8 commercial vehicles have ranged from a low of approximately 195,687 in 2020,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quant"/>
      <w:bookmarkEnd w:id="15"/>
      <w:r>
        <w:rPr>
          <w:rFonts w:ascii="Times New Roman" w:hAnsi="Times New Roman"/>
          <w:b/>
          <w:caps w:val="false"/>
          <w:smallCaps w:val="false"/>
          <w:sz w:val="20"/>
        </w:rPr>
        <w:t>Item 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exposed to market risk through interest rates related to the PFC Floor Plan Credit Agreement, the BMO Floor Plan Credit Agreement, the WF Credit Agreement, the PLC Agreement, the RTC Canada Revolving Credit Agreement, the RTC Canada Floor Plan Credit Agreement and discount rates related to finance sales. The PFC Floor Plan Credit Agreement and the PLC Agreement are both based on the prime rate. The BMO Floor Plan Credit Agreement and the WF Credit Agreement are both based on SOFR. The RTC Canada Revolving Credit Agreement and RTC Canada Floor Plan Credit Agreement are both based on CORRA. As of December 31, 2025, we had outstanding floor plan borrowings and lease and rental fleet borrowings in the aggregate amount of $970.1 million. Assuming an increase or decrease in the prime rate, SOFR or CORRA of 100 basis points, annual interest expense could correspondingly increase or decrease by approximately $9.7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6" w:name="finstats"/>
      <w:bookmarkEnd w:id="16"/>
      <w:r>
        <w:rPr>
          <w:rFonts w:ascii="Times New Roman" w:hAnsi="Times New Roman"/>
          <w:b/>
          <w:caps w:val="false"/>
          <w:smallCaps w:val="false"/>
          <w:sz w:val="20"/>
        </w:rPr>
        <w:t>Item 8. Financial Statements and Supplementary Data</w:t>
      </w:r>
    </w:p>
    <w:p>
      <w:pPr>
        <w:pStyle w:val="TextBody"/>
        <w:bidi w:val="0"/>
        <w:spacing w:before="0" w:after="0"/>
        <w:ind w:left="0" w:right="0" w:hanging="0"/>
        <w:jc w:val="left"/>
        <w:rPr/>
      </w:pPr>
      <w:r>
        <w:rPr/>
        <w:t> </w:t>
      </w:r>
    </w:p>
    <w:tbl>
      <w:tblPr>
        <w:tblW w:w="9025" w:type="dxa"/>
        <w:jc w:val="left"/>
        <w:tblInd w:w="0" w:type="dxa"/>
        <w:tblLayout w:type="fixed"/>
        <w:tblCellMar>
          <w:top w:w="0" w:type="dxa"/>
          <w:left w:w="0" w:type="dxa"/>
          <w:bottom w:w="0" w:type="dxa"/>
          <w:right w:w="0" w:type="dxa"/>
        </w:tblCellMar>
      </w:tblPr>
      <w:tblGrid>
        <w:gridCol w:w="8795"/>
        <w:gridCol w:w="230"/>
      </w:tblGrid>
      <w:tr>
        <w:trPr/>
        <w:tc>
          <w:tcPr>
            <w:tcW w:w="8795" w:type="dxa"/>
            <w:tcBorders/>
            <w:vAlign w:val="center"/>
          </w:tcPr>
          <w:p>
            <w:pPr>
              <w:pStyle w:val="TableContents"/>
              <w:bidi w:val="0"/>
              <w:spacing w:before="0" w:after="0"/>
              <w:ind w:left="0" w:right="0" w:hanging="0"/>
              <w:jc w:val="both"/>
              <w:rPr/>
            </w:pPr>
            <w:hyperlink w:anchor="report">
              <w:r>
                <w:rPr>
                  <w:rStyle w:val="InternetLink"/>
                  <w:rFonts w:ascii="Times New Roman" w:hAnsi="Times New Roman"/>
                  <w:caps w:val="false"/>
                  <w:smallCaps w:val="false"/>
                  <w:sz w:val="20"/>
                </w:rPr>
                <w:t>Report of Independent Registered Public Accounting Firm (PCAOB ID: 42)</w:t>
              </w:r>
            </w:hyperlink>
          </w:p>
        </w:tc>
        <w:tc>
          <w:tcPr>
            <w:tcW w:w="230" w:type="dxa"/>
            <w:tcBorders/>
            <w:vAlign w:val="center"/>
          </w:tcPr>
          <w:p>
            <w:pPr>
              <w:pStyle w:val="TableContents"/>
              <w:bidi w:val="0"/>
              <w:spacing w:before="0" w:after="0"/>
              <w:ind w:left="0" w:right="0" w:hanging="0"/>
              <w:jc w:val="right"/>
              <w:rPr/>
            </w:pPr>
            <w:hyperlink w:anchor="report">
              <w:r>
                <w:rPr>
                  <w:rStyle w:val="InternetLink"/>
                  <w:rFonts w:ascii="Times New Roman" w:hAnsi="Times New Roman"/>
                  <w:caps w:val="false"/>
                  <w:smallCaps w:val="false"/>
                  <w:sz w:val="20"/>
                </w:rPr>
                <w:t>44</w:t>
              </w:r>
            </w:hyperlink>
          </w:p>
        </w:tc>
      </w:tr>
      <w:tr>
        <w:trPr/>
        <w:tc>
          <w:tcPr>
            <w:tcW w:w="879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8795" w:type="dxa"/>
            <w:tcBorders/>
            <w:vAlign w:val="center"/>
          </w:tcPr>
          <w:p>
            <w:pPr>
              <w:pStyle w:val="TableContents"/>
              <w:bidi w:val="0"/>
              <w:spacing w:before="0" w:after="0"/>
              <w:ind w:left="0" w:right="0" w:hanging="0"/>
              <w:jc w:val="both"/>
              <w:rPr/>
            </w:pPr>
            <w:hyperlink w:anchor="bals">
              <w:r>
                <w:rPr>
                  <w:rStyle w:val="InternetLink"/>
                  <w:rFonts w:ascii="Times New Roman" w:hAnsi="Times New Roman"/>
                  <w:caps w:val="false"/>
                  <w:smallCaps w:val="false"/>
                  <w:sz w:val="20"/>
                </w:rPr>
                <w:t>Consolidated Balance Sheets as of December 31, 2025 and 2024</w:t>
              </w:r>
            </w:hyperlink>
          </w:p>
        </w:tc>
        <w:tc>
          <w:tcPr>
            <w:tcW w:w="230" w:type="dxa"/>
            <w:tcBorders/>
            <w:vAlign w:val="center"/>
          </w:tcPr>
          <w:p>
            <w:pPr>
              <w:pStyle w:val="TableContents"/>
              <w:bidi w:val="0"/>
              <w:spacing w:before="0" w:after="0"/>
              <w:ind w:left="0" w:right="0" w:hanging="0"/>
              <w:jc w:val="right"/>
              <w:rPr/>
            </w:pPr>
            <w:hyperlink w:anchor="bals">
              <w:r>
                <w:rPr>
                  <w:rStyle w:val="InternetLink"/>
                  <w:rFonts w:ascii="Times New Roman" w:hAnsi="Times New Roman"/>
                  <w:caps w:val="false"/>
                  <w:smallCaps w:val="false"/>
                  <w:sz w:val="20"/>
                </w:rPr>
                <w:t>46</w:t>
              </w:r>
            </w:hyperlink>
          </w:p>
        </w:tc>
      </w:tr>
      <w:tr>
        <w:trPr/>
        <w:tc>
          <w:tcPr>
            <w:tcW w:w="879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8795" w:type="dxa"/>
            <w:tcBorders/>
            <w:vAlign w:val="center"/>
          </w:tcPr>
          <w:p>
            <w:pPr>
              <w:pStyle w:val="TableContents"/>
              <w:bidi w:val="0"/>
              <w:spacing w:before="0" w:after="0"/>
              <w:ind w:left="0" w:right="0" w:hanging="0"/>
              <w:jc w:val="both"/>
              <w:rPr/>
            </w:pPr>
            <w:hyperlink w:anchor="income">
              <w:r>
                <w:rPr>
                  <w:rStyle w:val="InternetLink"/>
                  <w:rFonts w:ascii="Times New Roman" w:hAnsi="Times New Roman"/>
                  <w:caps w:val="false"/>
                  <w:smallCaps w:val="false"/>
                  <w:sz w:val="20"/>
                </w:rPr>
                <w:t>Consolidated Statements of Income for the Years Ended December 31, 2025, 2024 and 2023</w:t>
              </w:r>
            </w:hyperlink>
          </w:p>
        </w:tc>
        <w:tc>
          <w:tcPr>
            <w:tcW w:w="230"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47</w:t>
              </w:r>
            </w:hyperlink>
          </w:p>
        </w:tc>
      </w:tr>
      <w:tr>
        <w:trPr/>
        <w:tc>
          <w:tcPr>
            <w:tcW w:w="879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8795" w:type="dxa"/>
            <w:tcBorders/>
            <w:vAlign w:val="center"/>
          </w:tcPr>
          <w:p>
            <w:pPr>
              <w:pStyle w:val="TableContents"/>
              <w:bidi w:val="0"/>
              <w:spacing w:before="0" w:after="0"/>
              <w:ind w:left="0" w:right="0" w:hanging="0"/>
              <w:jc w:val="both"/>
              <w:rPr/>
            </w:pPr>
            <w:hyperlink w:anchor="cinc">
              <w:r>
                <w:rPr>
                  <w:rStyle w:val="InternetLink"/>
                  <w:rFonts w:ascii="Times New Roman" w:hAnsi="Times New Roman"/>
                  <w:caps w:val="false"/>
                  <w:smallCaps w:val="false"/>
                  <w:sz w:val="20"/>
                </w:rPr>
                <w:t>Consolidated Statements of Comprehensive Income for the Years Ended December 31, 2025, 2024 and 2023</w:t>
              </w:r>
            </w:hyperlink>
          </w:p>
        </w:tc>
        <w:tc>
          <w:tcPr>
            <w:tcW w:w="230" w:type="dxa"/>
            <w:tcBorders/>
            <w:vAlign w:val="center"/>
          </w:tcPr>
          <w:p>
            <w:pPr>
              <w:pStyle w:val="TableContents"/>
              <w:bidi w:val="0"/>
              <w:spacing w:before="0" w:after="0"/>
              <w:ind w:left="0" w:right="0" w:hanging="0"/>
              <w:jc w:val="right"/>
              <w:rPr/>
            </w:pPr>
            <w:hyperlink w:anchor="cinc">
              <w:r>
                <w:rPr>
                  <w:rStyle w:val="InternetLink"/>
                  <w:rFonts w:ascii="Times New Roman" w:hAnsi="Times New Roman"/>
                  <w:caps w:val="false"/>
                  <w:smallCaps w:val="false"/>
                  <w:sz w:val="20"/>
                </w:rPr>
                <w:t>48</w:t>
              </w:r>
            </w:hyperlink>
          </w:p>
        </w:tc>
      </w:tr>
      <w:tr>
        <w:trPr/>
        <w:tc>
          <w:tcPr>
            <w:tcW w:w="879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8795" w:type="dxa"/>
            <w:tcBorders/>
            <w:vAlign w:val="center"/>
          </w:tcPr>
          <w:p>
            <w:pPr>
              <w:pStyle w:val="TableContents"/>
              <w:bidi w:val="0"/>
              <w:spacing w:before="0" w:after="0"/>
              <w:ind w:left="0" w:right="0" w:hanging="0"/>
              <w:jc w:val="both"/>
              <w:rPr/>
            </w:pPr>
            <w:hyperlink w:anchor="equity">
              <w:r>
                <w:rPr>
                  <w:rStyle w:val="InternetLink"/>
                  <w:rFonts w:ascii="Times New Roman" w:hAnsi="Times New Roman"/>
                  <w:caps w:val="false"/>
                  <w:smallCaps w:val="false"/>
                  <w:sz w:val="20"/>
                </w:rPr>
                <w:t>Consolidated Statements of Shareholders’ Equity for the Years Ended December 31, 2025, 2024 and 2023</w:t>
              </w:r>
            </w:hyperlink>
          </w:p>
        </w:tc>
        <w:tc>
          <w:tcPr>
            <w:tcW w:w="23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49</w:t>
              </w:r>
            </w:hyperlink>
          </w:p>
        </w:tc>
      </w:tr>
      <w:tr>
        <w:trPr/>
        <w:tc>
          <w:tcPr>
            <w:tcW w:w="879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8795" w:type="dxa"/>
            <w:tcBorders/>
            <w:vAlign w:val="center"/>
          </w:tcPr>
          <w:p>
            <w:pPr>
              <w:pStyle w:val="TableContents"/>
              <w:bidi w:val="0"/>
              <w:spacing w:before="0" w:after="0"/>
              <w:ind w:left="0" w:right="0" w:hanging="0"/>
              <w:jc w:val="both"/>
              <w:rPr/>
            </w:pPr>
            <w:hyperlink w:anchor="cash">
              <w:r>
                <w:rPr>
                  <w:rStyle w:val="InternetLink"/>
                  <w:rFonts w:ascii="Times New Roman" w:hAnsi="Times New Roman"/>
                  <w:caps w:val="false"/>
                  <w:smallCaps w:val="false"/>
                  <w:sz w:val="20"/>
                </w:rPr>
                <w:t>Consolidated Statements of Cash Flows for the Years Ended December 31, 2025, 2024 and 2023</w:t>
              </w:r>
            </w:hyperlink>
          </w:p>
        </w:tc>
        <w:tc>
          <w:tcPr>
            <w:tcW w:w="230" w:type="dxa"/>
            <w:tcBorders/>
            <w:vAlign w:val="center"/>
          </w:tcPr>
          <w:p>
            <w:pPr>
              <w:pStyle w:val="TableContents"/>
              <w:bidi w:val="0"/>
              <w:spacing w:before="0" w:after="0"/>
              <w:ind w:left="0" w:right="0" w:hanging="0"/>
              <w:jc w:val="right"/>
              <w:rPr/>
            </w:pPr>
            <w:hyperlink w:anchor="cash">
              <w:r>
                <w:rPr>
                  <w:rStyle w:val="InternetLink"/>
                  <w:rFonts w:ascii="Times New Roman" w:hAnsi="Times New Roman"/>
                  <w:caps w:val="false"/>
                  <w:smallCaps w:val="false"/>
                  <w:sz w:val="20"/>
                </w:rPr>
                <w:t>50</w:t>
              </w:r>
            </w:hyperlink>
          </w:p>
        </w:tc>
      </w:tr>
      <w:tr>
        <w:trPr/>
        <w:tc>
          <w:tcPr>
            <w:tcW w:w="879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8795" w:type="dxa"/>
            <w:tcBorders/>
            <w:vAlign w:val="center"/>
          </w:tcPr>
          <w:p>
            <w:pPr>
              <w:pStyle w:val="TableContents"/>
              <w:bidi w:val="0"/>
              <w:spacing w:before="0" w:after="0"/>
              <w:ind w:left="0" w:right="0" w:hanging="0"/>
              <w:jc w:val="both"/>
              <w:rPr/>
            </w:pPr>
            <w:hyperlink w:anchor="notes">
              <w:r>
                <w:rPr>
                  <w:rStyle w:val="InternetLink"/>
                  <w:rFonts w:ascii="Times New Roman" w:hAnsi="Times New Roman"/>
                  <w:caps w:val="false"/>
                  <w:smallCaps w:val="false"/>
                  <w:sz w:val="20"/>
                </w:rPr>
                <w:t>Notes to Consolidated Financial Statements</w:t>
              </w:r>
            </w:hyperlink>
          </w:p>
        </w:tc>
        <w:tc>
          <w:tcPr>
            <w:tcW w:w="23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51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7" w:name="report"/>
      <w:bookmarkEnd w:id="17"/>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Shareholders and the Board of Directors of Rush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Opinion on the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Rush Enterprises, Inc. and subsidiaries (the Company) as of December 31, 2025 and 2024, the related consolidated statements of income, comprehensive income,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25, 2026 expressed an unqualified opinion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Audit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New Commercial Vehicle Inventory Reserves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7"/>
        <w:gridCol w:w="60"/>
        <w:gridCol w:w="8758"/>
      </w:tblGrid>
      <w:tr>
        <w:trPr/>
        <w:tc>
          <w:tcPr>
            <w:tcW w:w="1387"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Description of the Matter</w:t>
            </w:r>
          </w:p>
        </w:tc>
        <w:tc>
          <w:tcPr>
            <w:tcW w:w="60" w:type="dxa"/>
            <w:tcBorders/>
            <w:vAlign w:val="center"/>
          </w:tcPr>
          <w:p>
            <w:pPr>
              <w:pStyle w:val="TableContents"/>
              <w:bidi w:val="0"/>
              <w:spacing w:before="0" w:after="283"/>
              <w:jc w:val="left"/>
              <w:rPr/>
            </w:pPr>
            <w:r>
              <w:rPr/>
              <w:t> </w:t>
            </w:r>
          </w:p>
        </w:tc>
        <w:tc>
          <w:tcPr>
            <w:tcW w:w="87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December 31, 2025, the Company’s new commercial vehicle inventory balance was approximately $1.1 billion, which is net of management’s estimate of new commercial vehicle inventory reserves in the amount of approximately $11.8 million. As described in Notes 2 and 6 to the consolidated financial statements, management adjusts the value of its new commercial vehicle inventory to net realizable value to the extent it determines new commercial vehicle inventory cost cannot be recovered.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Auditing management’s estimate of the new commercial vehicle inventory reserves involved a higher degree of auditor judgment because the estimate is affected by significant assumptions of expected future demand, market trends and economic conditions, and historical sales.</w:t>
            </w:r>
          </w:p>
          <w:p>
            <w:pPr>
              <w:pStyle w:val="TableContents"/>
              <w:bidi w:val="0"/>
              <w:spacing w:before="0" w:after="0"/>
              <w:ind w:left="0" w:right="0" w:hanging="0"/>
              <w:jc w:val="both"/>
              <w:rPr>
                <w:caps w:val="false"/>
                <w:smallCaps w:val="false"/>
              </w:rPr>
            </w:pPr>
            <w:r>
              <w:rPr>
                <w:caps w:val="false"/>
                <w:smallCaps w:val="false"/>
              </w:rPr>
              <w:t> </w:t>
            </w:r>
          </w:p>
        </w:tc>
      </w:tr>
      <w:tr>
        <w:trPr/>
        <w:tc>
          <w:tcPr>
            <w:tcW w:w="1387"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How We Addressed the Matter in Our Audit</w:t>
            </w:r>
          </w:p>
        </w:tc>
        <w:tc>
          <w:tcPr>
            <w:tcW w:w="60" w:type="dxa"/>
            <w:tcBorders/>
            <w:vAlign w:val="center"/>
          </w:tcPr>
          <w:p>
            <w:pPr>
              <w:pStyle w:val="TableContents"/>
              <w:bidi w:val="0"/>
              <w:spacing w:before="0" w:after="283"/>
              <w:jc w:val="left"/>
              <w:rPr/>
            </w:pPr>
            <w:r>
              <w:rPr/>
              <w:t> </w:t>
            </w:r>
          </w:p>
        </w:tc>
        <w:tc>
          <w:tcPr>
            <w:tcW w:w="87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evaluated and tested the design and operating effectiveness of controls over the Company’s processes to estimate the new commercial vehicle inventory reserves, which included management’s review of the underlying significant assumptions.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substantive audit procedures included, among others, evaluating the significant assumptions described above, and we tested the completeness and accuracy of underlying data used in the estimation calculations. We also compared the cost of new commercial vehicle inventories on-hand to customer demand forecasts and historical sales. We assessed the historical accuracy of management’s estimates and performed sensitivity analyses of significant assumptions to evaluate the changes in the new commercial vehicle inventory reserves that would result from changes in the significant 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served as the Company’s auditor since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 Antonio,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bookmarkStart w:id="18" w:name="bals"/>
      <w:bookmarkEnd w:id="18"/>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BALANCE SHEETS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Shares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7"/>
        <w:gridCol w:w="60"/>
        <w:gridCol w:w="133"/>
        <w:gridCol w:w="900"/>
        <w:gridCol w:w="80"/>
        <w:gridCol w:w="60"/>
        <w:gridCol w:w="133"/>
        <w:gridCol w:w="900"/>
        <w:gridCol w:w="82"/>
      </w:tblGrid>
      <w:tr>
        <w:trPr/>
        <w:tc>
          <w:tcPr>
            <w:tcW w:w="7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2" w:type="dxa"/>
            <w:tcBorders/>
            <w:vAlign w:val="center"/>
          </w:tcPr>
          <w:p>
            <w:pPr>
              <w:pStyle w:val="TableContents"/>
              <w:bidi w:val="0"/>
              <w:spacing w:before="0" w:after="283"/>
              <w:jc w:val="left"/>
              <w:rPr/>
            </w:pPr>
            <w:r>
              <w:rPr/>
              <w:t> </w:t>
            </w:r>
          </w:p>
        </w:tc>
      </w:tr>
      <w:tr>
        <w:trPr/>
        <w:tc>
          <w:tcPr>
            <w:tcW w:w="7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2" w:type="dxa"/>
            <w:tcBorders/>
            <w:vAlign w:val="center"/>
          </w:tcPr>
          <w:p>
            <w:pPr>
              <w:pStyle w:val="TableContents"/>
              <w:bidi w:val="0"/>
              <w:spacing w:before="0" w:after="283"/>
              <w:jc w:val="left"/>
              <w:rPr/>
            </w:pPr>
            <w:r>
              <w:rPr/>
              <w:t> </w:t>
            </w:r>
          </w:p>
        </w:tc>
      </w:tr>
      <w:tr>
        <w:trPr/>
        <w:tc>
          <w:tcPr>
            <w:tcW w:w="7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r>
      <w:tr>
        <w:trPr/>
        <w:tc>
          <w:tcPr>
            <w:tcW w:w="785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both"/>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both"/>
              <w:rPr/>
            </w:pPr>
            <w:r>
              <w:rPr/>
              <w:t> </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57" w:type="dxa"/>
            <w:tcBorders/>
            <w:shd w:fill="CCEEFF" w:val="clear"/>
            <w:vAlign w:val="center"/>
          </w:tcPr>
          <w:p>
            <w:pPr>
              <w:pStyle w:val="TableContents"/>
              <w:bidi w:val="0"/>
              <w:spacing w:before="0" w:after="0"/>
              <w:ind w:left="36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228,131</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345,346</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57" w:type="dxa"/>
            <w:tcBorders/>
            <w:shd w:fill="CCEEFF" w:val="clear"/>
            <w:vAlign w:val="center"/>
          </w:tcPr>
          <w:p>
            <w:pPr>
              <w:pStyle w:val="TableContents"/>
              <w:bidi w:val="0"/>
              <w:spacing w:before="0" w:after="0"/>
              <w:ind w:left="36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Notes receivable from affiliate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9,536</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1,787,744</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57" w:type="dxa"/>
            <w:tcBorders/>
            <w:shd w:fill="CCEEFF" w:val="clear"/>
            <w:vAlign w:val="center"/>
          </w:tcPr>
          <w:p>
            <w:pPr>
              <w:pStyle w:val="TableContents"/>
              <w:bidi w:val="0"/>
              <w:spacing w:before="0" w:after="0"/>
              <w:ind w:left="36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18,958</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2,091,138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2,389,715</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7"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1,694,738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1,615,635</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111,408</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7"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net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427,493</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net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73,296</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7" w:type="dxa"/>
            <w:tcBorders/>
            <w:shd w:fill="CCEEFF" w:val="clear"/>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4,617,547</w:t>
            </w:r>
          </w:p>
        </w:tc>
        <w:tc>
          <w:tcPr>
            <w:tcW w:w="82" w:type="dxa"/>
            <w:tcBorders/>
            <w:shd w:fill="CCEEFF" w:val="clear"/>
            <w:vAlign w:val="center"/>
          </w:tcPr>
          <w:p>
            <w:pPr>
              <w:pStyle w:val="TableContents"/>
              <w:bidi w:val="0"/>
              <w:spacing w:before="0" w:after="283"/>
              <w:jc w:val="left"/>
              <w:rPr/>
            </w:pPr>
            <w:r>
              <w:rPr/>
              <w:t> </w:t>
            </w:r>
          </w:p>
        </w:tc>
      </w:tr>
      <w:tr>
        <w:trPr/>
        <w:tc>
          <w:tcPr>
            <w:tcW w:w="78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7"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both"/>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both"/>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7" w:type="dxa"/>
            <w:tcBorders/>
            <w:shd w:fill="CCEE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Floor plan notes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1,081,199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long-term debt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7" w:type="dxa"/>
            <w:tcBorders/>
            <w:shd w:fill="CCEE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finance lease obligations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38,476</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operating lease obligations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15,866</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7" w:type="dxa"/>
            <w:tcBorders/>
            <w:shd w:fill="CCEE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payable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230,763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244,018</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109,751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7" w:type="dxa"/>
            <w:tcBorders/>
            <w:shd w:fill="CCEE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177,292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160,809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1,492,090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1,650,119</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7"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 of current maturities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408,440</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obligations, net of current maturities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92,235</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7"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obligations, net of current maturities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97,874</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28,060</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7"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207,733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178,916</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both"/>
              <w:rPr/>
            </w:pPr>
            <w:r>
              <w:rPr/>
              <w:t> </w:t>
            </w:r>
          </w:p>
        </w:tc>
        <w:tc>
          <w:tcPr>
            <w:tcW w:w="82" w:type="dxa"/>
            <w:tcBorders/>
            <w:shd w:fill="FFFFFF" w:val="clear"/>
            <w:vAlign w:val="center"/>
          </w:tcPr>
          <w:p>
            <w:pPr>
              <w:pStyle w:val="TableContents"/>
              <w:bidi w:val="0"/>
              <w:spacing w:before="0" w:after="283"/>
              <w:ind w:left="360" w:right="0" w:hanging="0"/>
              <w:jc w:val="left"/>
              <w:rPr/>
            </w:pPr>
            <w:r>
              <w:rPr/>
              <w:t> </w:t>
            </w:r>
          </w:p>
        </w:tc>
      </w:tr>
      <w:tr>
        <w:trPr/>
        <w:tc>
          <w:tcPr>
            <w:tcW w:w="7857" w:type="dxa"/>
            <w:tcBorders/>
            <w:shd w:fill="CCEEFF" w:val="clear"/>
            <w:vAlign w:val="center"/>
          </w:tcPr>
          <w:p>
            <w:pPr>
              <w:pStyle w:val="TableContents"/>
              <w:bidi w:val="0"/>
              <w:spacing w:before="0" w:after="0"/>
              <w:ind w:left="72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par value $.01 per share; 1,000,000 shares authorized; 0 shares outstanding in 2024 and 2023</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36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$.01 per share; 105,000,000 Class A shares and 35,000,000 Class B shares authorized; 60,115,093 Class A shares and 16,437,909 Class B shares outstanding in 2025; and 62,604,986 Class A shares and 16,662,633 Class B shares outstanding in 2024</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7"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587,639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36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4,586,791 Class A shares and 2,352,163 Class B shares in 2025; and 1,387,013 Class A shares and 1,783,806 Class B shares in 2024</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(331,150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(136,235</w:t>
            </w:r>
          </w:p>
        </w:tc>
        <w:tc>
          <w:tcPr>
            <w:tcW w:w="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7"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1,904,091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1,698,614</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(9,293</w:t>
            </w:r>
          </w:p>
        </w:tc>
        <w:tc>
          <w:tcPr>
            <w:tcW w:w="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7"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Rush Enterprises, Inc. shareholders’ equity</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2,203,229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2,141,549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20,354</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7"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2,225,843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2,161,903</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7"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4,430,536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4,617,547</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bookmarkStart w:id="19" w:name="income"/>
      <w:bookmarkEnd w:id="19"/>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INCOME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9815" w:type="dxa"/>
        <w:jc w:val="left"/>
        <w:tblInd w:w="0" w:type="dxa"/>
        <w:tblLayout w:type="fixed"/>
        <w:tblCellMar>
          <w:top w:w="0" w:type="dxa"/>
          <w:left w:w="0" w:type="dxa"/>
          <w:bottom w:w="0" w:type="dxa"/>
          <w:right w:w="0" w:type="dxa"/>
        </w:tblCellMar>
      </w:tblPr>
      <w:tblGrid>
        <w:gridCol w:w="6485"/>
        <w:gridCol w:w="60"/>
        <w:gridCol w:w="125"/>
        <w:gridCol w:w="845"/>
        <w:gridCol w:w="80"/>
        <w:gridCol w:w="60"/>
        <w:gridCol w:w="125"/>
        <w:gridCol w:w="845"/>
        <w:gridCol w:w="80"/>
        <w:gridCol w:w="60"/>
        <w:gridCol w:w="125"/>
        <w:gridCol w:w="845"/>
        <w:gridCol w:w="80"/>
      </w:tblGrid>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3190" w:type="dxa"/>
            <w:gridSpan w:val="10"/>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8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6485" w:type="dxa"/>
            <w:tcBorders/>
            <w:shd w:fill="CCEEFF" w:val="clear"/>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485" w:type="dxa"/>
            <w:tcBorders/>
            <w:shd w:fill="FFFF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4,503,530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4,888,823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4,957,969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485" w:type="dxa"/>
            <w:tcBorders/>
            <w:shd w:fill="CCEE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2,523,222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2,516,020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2,562,141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485" w:type="dxa"/>
            <w:tcBorders/>
            <w:shd w:fill="FFFF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369,555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354,939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353,780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485" w:type="dxa"/>
            <w:tcBorders/>
            <w:shd w:fill="CCEE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24,271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485" w:type="dxa"/>
            <w:tcBorders/>
            <w:shd w:fill="FFFF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26,863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485"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7,434,195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7,804,746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7,925,024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485" w:type="dxa"/>
            <w:tcBorders/>
            <w:shd w:fill="FFFFFF" w:val="clear"/>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485" w:type="dxa"/>
            <w:tcBorders/>
            <w:shd w:fill="CCEE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4,114,012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4,426,292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4,474,616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485" w:type="dxa"/>
            <w:tcBorders/>
            <w:shd w:fill="FFFF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1,592,772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1,591,510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1,609,383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485" w:type="dxa"/>
            <w:tcBorders/>
            <w:shd w:fill="CCEE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266,747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247,935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485"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products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5,973,531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6,273,330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6,331,934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485" w:type="dxa"/>
            <w:tcBorders/>
            <w:shd w:fill="CCEEFF" w:val="clear"/>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1,460,664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1,531,416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1,593,090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48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996,184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995,586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1,021,722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48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59,830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48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485" w:type="dxa"/>
            <w:tcBorders/>
            <w:shd w:fill="CCEEFF" w:val="clear"/>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393,756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468,090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512,381</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6485" w:type="dxa"/>
            <w:tcBorders/>
            <w:shd w:fill="FFFFFF" w:val="clear"/>
            <w:vAlign w:val="center"/>
          </w:tcPr>
          <w:p>
            <w:pPr>
              <w:pStyle w:val="TableContents"/>
              <w:bidi w:val="0"/>
              <w:spacing w:before="0" w:after="0"/>
              <w:ind w:left="36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2,597</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6485" w:type="dxa"/>
            <w:tcBorders/>
            <w:shd w:fill="CCEEFF" w:val="clear"/>
            <w:vAlign w:val="center"/>
          </w:tcPr>
          <w:p>
            <w:pPr>
              <w:pStyle w:val="TableContents"/>
              <w:bidi w:val="0"/>
              <w:spacing w:before="0" w:after="0"/>
              <w:ind w:left="36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485" w:type="dxa"/>
            <w:tcBorders/>
            <w:shd w:fill="FFFF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485" w:type="dxa"/>
            <w:tcBorders/>
            <w:shd w:fill="CCEEFF" w:val="clear"/>
            <w:vAlign w:val="center"/>
          </w:tcPr>
          <w:p>
            <w:pPr>
              <w:pStyle w:val="TableContents"/>
              <w:bidi w:val="0"/>
              <w:spacing w:before="0" w:after="0"/>
              <w:ind w:left="0" w:right="0" w:firstLine="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(52,917</w:t>
            </w:r>
          </w:p>
        </w:tc>
        <w:tc>
          <w:tcPr>
            <w:tcW w:w="80"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CCEEFF" w:val="clear"/>
            <w:vAlign w:val="center"/>
          </w:tcPr>
          <w:p>
            <w:pPr>
              <w:pStyle w:val="TableContents"/>
              <w:bidi w:val="0"/>
              <w:spacing w:before="0" w:after="0"/>
              <w:ind w:left="360" w:right="0" w:hanging="18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before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345,866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397,815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462,061</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6485" w:type="dxa"/>
            <w:tcBorders/>
            <w:shd w:fill="FFFFFF" w:val="clear"/>
            <w:vAlign w:val="center"/>
          </w:tcPr>
          <w:p>
            <w:pPr>
              <w:pStyle w:val="TableContents"/>
              <w:bidi w:val="0"/>
              <w:spacing w:before="0" w:after="0"/>
              <w:ind w:left="36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114,000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485" w:type="dxa"/>
            <w:tcBorders/>
            <w:shd w:fill="CCEEFF" w:val="clear"/>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income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304,970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348,061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48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485" w:type="dxa"/>
            <w:tcBorders/>
            <w:shd w:fill="CCEEFF" w:val="clear"/>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263,778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347,055</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485" w:type="dxa"/>
            <w:tcBorders/>
            <w:shd w:fill="CCEEFF" w:val="clear"/>
            <w:vAlign w:val="center"/>
          </w:tcPr>
          <w:p>
            <w:pPr>
              <w:pStyle w:val="TableContents"/>
              <w:bidi w:val="0"/>
              <w:spacing w:before="0" w:after="0"/>
              <w:ind w:left="180" w:right="0" w:hanging="18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 per share of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48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48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485" w:type="dxa"/>
            <w:tcBorders/>
            <w:shd w:fill="CCEEFF" w:val="clear"/>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Dividends declared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bookmarkStart w:id="20" w:name="cinc"/>
      <w:bookmarkEnd w:id="20"/>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COMPREHENSIVE INCOME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5870"/>
        <w:gridCol w:w="60"/>
        <w:gridCol w:w="125"/>
        <w:gridCol w:w="695"/>
        <w:gridCol w:w="60"/>
        <w:gridCol w:w="60"/>
        <w:gridCol w:w="125"/>
        <w:gridCol w:w="695"/>
        <w:gridCol w:w="80"/>
        <w:gridCol w:w="60"/>
        <w:gridCol w:w="125"/>
        <w:gridCol w:w="695"/>
        <w:gridCol w:w="60"/>
      </w:tblGrid>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40" w:right="0" w:hanging="0"/>
              <w:jc w:val="left"/>
              <w:rPr/>
            </w:pPr>
            <w:r>
              <w:rPr/>
              <w:t> </w:t>
            </w:r>
          </w:p>
        </w:tc>
      </w:tr>
      <w:tr>
        <w:trPr/>
        <w:tc>
          <w:tcPr>
            <w:tcW w:w="5870" w:type="dxa"/>
            <w:tcBorders/>
            <w:shd w:fill="CCEEFF" w:val="clear"/>
            <w:vAlign w:val="center"/>
          </w:tcPr>
          <w:p>
            <w:pPr>
              <w:pStyle w:val="TableContents"/>
              <w:bidi w:val="0"/>
              <w:spacing w:before="0" w:after="0"/>
              <w:ind w:left="480" w:right="0" w:hanging="24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304,970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348,061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5870"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5870" w:type="dxa"/>
            <w:tcBorders/>
            <w:shd w:fill="CCEEFF" w:val="clear"/>
            <w:vAlign w:val="center"/>
          </w:tcPr>
          <w:p>
            <w:pPr>
              <w:pStyle w:val="TableContents"/>
              <w:bidi w:val="0"/>
              <w:spacing w:before="0" w:after="0"/>
              <w:ind w:left="36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1,967</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5870" w:type="dxa"/>
            <w:tcBorders/>
            <w:shd w:fill="FFFFFF" w:val="clear"/>
            <w:vAlign w:val="center"/>
          </w:tcPr>
          <w:p>
            <w:pPr>
              <w:pStyle w:val="TableContents"/>
              <w:bidi w:val="0"/>
              <w:spacing w:before="0" w:after="0"/>
              <w:ind w:left="36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attributable to Rush Enterprises, Inc.</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1,967</w:t>
            </w:r>
          </w:p>
        </w:tc>
        <w:tc>
          <w:tcPr>
            <w:tcW w:w="60" w:type="dxa"/>
            <w:tcBorders/>
            <w:shd w:fill="FFFFFF" w:val="clear"/>
            <w:vAlign w:val="center"/>
          </w:tcPr>
          <w:p>
            <w:pPr>
              <w:pStyle w:val="TableContents"/>
              <w:bidi w:val="0"/>
              <w:spacing w:before="0" w:after="283"/>
              <w:ind w:left="240" w:right="0" w:hanging="0"/>
              <w:jc w:val="left"/>
              <w:rPr/>
            </w:pPr>
            <w:r>
              <w:rPr/>
              <w:t> </w:t>
            </w:r>
          </w:p>
        </w:tc>
      </w:tr>
      <w:tr>
        <w:trPr/>
        <w:tc>
          <w:tcPr>
            <w:tcW w:w="5870" w:type="dxa"/>
            <w:tcBorders/>
            <w:shd w:fill="CCEEFF" w:val="clear"/>
            <w:vAlign w:val="center"/>
          </w:tcPr>
          <w:p>
            <w:pPr>
              <w:pStyle w:val="TableContents"/>
              <w:bidi w:val="0"/>
              <w:spacing w:before="0" w:after="0"/>
              <w:ind w:left="480" w:right="0" w:hanging="24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297,840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350,028</w:t>
            </w:r>
          </w:p>
        </w:tc>
        <w:tc>
          <w:tcPr>
            <w:tcW w:w="60" w:type="dxa"/>
            <w:tcBorders/>
            <w:shd w:fill="CCEEFF" w:val="clear"/>
            <w:vAlign w:val="center"/>
          </w:tcPr>
          <w:p>
            <w:pPr>
              <w:pStyle w:val="TableContents"/>
              <w:bidi w:val="0"/>
              <w:spacing w:before="0" w:after="283"/>
              <w:ind w:left="180" w:right="0" w:hanging="0"/>
              <w:jc w:val="left"/>
              <w:rPr/>
            </w:pPr>
            <w:r>
              <w:rPr/>
              <w:t> </w:t>
            </w:r>
          </w:p>
        </w:tc>
      </w:tr>
      <w:tr>
        <w:trPr/>
        <w:tc>
          <w:tcPr>
            <w:tcW w:w="5870" w:type="dxa"/>
            <w:tcBorders/>
            <w:shd w:fill="FFFFFF" w:val="clear"/>
            <w:vAlign w:val="center"/>
          </w:tcPr>
          <w:p>
            <w:pPr>
              <w:pStyle w:val="TableContents"/>
              <w:bidi w:val="0"/>
              <w:spacing w:before="0" w:after="0"/>
              <w:ind w:left="36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w:t>
            </w:r>
          </w:p>
        </w:tc>
        <w:tc>
          <w:tcPr>
            <w:tcW w:w="60" w:type="dxa"/>
            <w:tcBorders/>
            <w:shd w:fill="FFFFFF" w:val="clear"/>
            <w:vAlign w:val="center"/>
          </w:tcPr>
          <w:p>
            <w:pPr>
              <w:pStyle w:val="TableContents"/>
              <w:bidi w:val="0"/>
              <w:spacing w:before="0" w:after="283"/>
              <w:ind w:left="180" w:right="0" w:hanging="0"/>
              <w:jc w:val="left"/>
              <w:rPr/>
            </w:pPr>
            <w:r>
              <w:rPr/>
              <w:t> </w:t>
            </w:r>
          </w:p>
        </w:tc>
      </w:tr>
      <w:tr>
        <w:trPr/>
        <w:tc>
          <w:tcPr>
            <w:tcW w:w="5870" w:type="dxa"/>
            <w:tcBorders/>
            <w:shd w:fill="CCEEFF" w:val="clear"/>
            <w:vAlign w:val="center"/>
          </w:tcPr>
          <w:p>
            <w:pPr>
              <w:pStyle w:val="TableContents"/>
              <w:bidi w:val="0"/>
              <w:spacing w:before="0" w:after="0"/>
              <w:ind w:left="360" w:right="0" w:hanging="18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 attributable to Rush Enterprises, Inc.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349,022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bookmarkStart w:id="21" w:name="equity"/>
      <w:bookmarkEnd w:id="21"/>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SHAREHOLDERS’ EQUITY</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1"/>
        <w:gridCol w:w="60"/>
        <w:gridCol w:w="60"/>
        <w:gridCol w:w="515"/>
        <w:gridCol w:w="80"/>
        <w:gridCol w:w="60"/>
        <w:gridCol w:w="60"/>
        <w:gridCol w:w="515"/>
        <w:gridCol w:w="80"/>
        <w:gridCol w:w="60"/>
        <w:gridCol w:w="116"/>
        <w:gridCol w:w="309"/>
        <w:gridCol w:w="60"/>
        <w:gridCol w:w="60"/>
        <w:gridCol w:w="116"/>
        <w:gridCol w:w="639"/>
        <w:gridCol w:w="80"/>
        <w:gridCol w:w="60"/>
        <w:gridCol w:w="110"/>
        <w:gridCol w:w="665"/>
        <w:gridCol w:w="80"/>
        <w:gridCol w:w="60"/>
        <w:gridCol w:w="110"/>
        <w:gridCol w:w="740"/>
        <w:gridCol w:w="80"/>
        <w:gridCol w:w="60"/>
        <w:gridCol w:w="203"/>
        <w:gridCol w:w="897"/>
        <w:gridCol w:w="80"/>
        <w:gridCol w:w="60"/>
        <w:gridCol w:w="119"/>
        <w:gridCol w:w="803"/>
        <w:gridCol w:w="80"/>
        <w:gridCol w:w="60"/>
        <w:gridCol w:w="190"/>
        <w:gridCol w:w="895"/>
        <w:gridCol w:w="60"/>
        <w:gridCol w:w="60"/>
        <w:gridCol w:w="119"/>
        <w:gridCol w:w="801"/>
        <w:gridCol w:w="82"/>
      </w:tblGrid>
      <w:tr>
        <w:trPr/>
        <w:tc>
          <w:tcPr>
            <w:tcW w:w="8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Shares</w:t>
            </w:r>
          </w:p>
          <w:p>
            <w:pPr>
              <w:pStyle w:val="TableContents"/>
              <w:bidi w:val="0"/>
              <w:spacing w:before="0" w:after="0"/>
              <w:ind w:left="0" w:right="0" w:hanging="0"/>
              <w:jc w:val="center"/>
              <w:rPr>
                <w:rFonts w:ascii="Times New Roman;Times;serif" w:hAnsi="Times New Roman;Times;serif"/>
                <w:caps w:val="false"/>
                <w:smallCaps w:val="false"/>
                <w:sz w:val="16"/>
                <w:u w:val="single"/>
              </w:rPr>
            </w:pPr>
            <w:r>
              <w:rPr>
                <w:rFonts w:ascii="Times New Roman;Times;serif" w:hAnsi="Times New Roman;Times;serif"/>
                <w:caps w:val="false"/>
                <w:smallCaps w:val="false"/>
                <w:sz w:val="16"/>
                <w:u w:val="single"/>
              </w:rPr>
              <w:t>Outstanding</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Class A Class B</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$0.01</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Par</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Additional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Paid -In</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Treasury</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Stock</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Retained</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Accumulated</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Other</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Comprehensive</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Income (Loss)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Rush Enterprises,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Inc.</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Shareholders’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Noncontrolling</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Interest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Shareholders’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Equity</w:t>
            </w:r>
          </w:p>
        </w:tc>
        <w:tc>
          <w:tcPr>
            <w:tcW w:w="82" w:type="dxa"/>
            <w:tcBorders/>
            <w:vAlign w:val="center"/>
          </w:tcPr>
          <w:p>
            <w:pPr>
              <w:pStyle w:val="TableContents"/>
              <w:bidi w:val="0"/>
              <w:spacing w:before="0" w:after="283"/>
              <w:jc w:val="left"/>
              <w:rPr/>
            </w:pPr>
            <w:r>
              <w:rPr/>
              <w:t> </w:t>
            </w:r>
          </w:p>
        </w:tc>
      </w:tr>
      <w:tr>
        <w:trPr/>
        <w:tc>
          <w:tcPr>
            <w:tcW w:w="8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180" w:right="0" w:hanging="0"/>
              <w:jc w:val="left"/>
              <w:rPr/>
            </w:pPr>
            <w:r>
              <w:rPr/>
              <w:t> </w:t>
            </w:r>
          </w:p>
        </w:tc>
      </w:tr>
      <w:tr>
        <w:trPr/>
        <w:tc>
          <w:tcPr>
            <w:tcW w:w="861" w:type="dxa"/>
            <w:tcBorders/>
            <w:shd w:fill="CCEEFF" w:val="clear"/>
            <w:vAlign w:val="center"/>
          </w:tcPr>
          <w:p>
            <w:pPr>
              <w:pStyle w:val="TableContents"/>
              <w:bidi w:val="0"/>
              <w:spacing w:before="0" w:after="0"/>
              <w:ind w:left="360" w:right="0" w:hanging="180"/>
              <w:jc w:val="both"/>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63,518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500,642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(130,930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1,378,337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(4,130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1,744,491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1,763,022</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86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6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12,126</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86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6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30,354</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86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(7,018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(7,015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(7,015</w:t>
            </w:r>
          </w:p>
        </w:tc>
        <w:tc>
          <w:tcPr>
            <w:tcW w:w="82" w:type="dxa"/>
            <w:tcBorders/>
            <w:shd w:fill="FFFFFF" w:val="clear"/>
            <w:vAlign w:val="center"/>
          </w:tcPr>
          <w:p>
            <w:pPr>
              <w:pStyle w:val="TableContents"/>
              <w:bidi w:val="0"/>
              <w:spacing w:before="0" w:after="283"/>
              <w:ind w:left="180" w:right="0" w:hanging="0"/>
              <w:jc w:val="left"/>
              <w:rPr>
                <w:rFonts w:ascii="Times New Roman;Times;serif" w:hAnsi="Times New Roman;Times;serif"/>
                <w:sz w:val="16"/>
              </w:rPr>
            </w:pPr>
            <w:r>
              <w:rPr>
                <w:rFonts w:ascii="Times New Roman;Times;serif" w:hAnsi="Times New Roman;Times;serif"/>
                <w:sz w:val="16"/>
              </w:rPr>
              <w:t>)</w:t>
            </w:r>
          </w:p>
        </w:tc>
      </w:tr>
      <w:tr>
        <w:trPr/>
        <w:tc>
          <w:tcPr>
            <w:tcW w:w="86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6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6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5,952</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86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(3,088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(2,182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(213,425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6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(213,425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6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(213,425</w:t>
            </w:r>
          </w:p>
        </w:tc>
        <w:tc>
          <w:tcPr>
            <w:tcW w:w="82" w:type="dxa"/>
            <w:tcBorders/>
            <w:shd w:fill="FFFFFF" w:val="clear"/>
            <w:vAlign w:val="center"/>
          </w:tcPr>
          <w:p>
            <w:pPr>
              <w:pStyle w:val="TableContents"/>
              <w:bidi w:val="0"/>
              <w:spacing w:before="0" w:after="283"/>
              <w:ind w:left="180" w:right="0" w:hanging="0"/>
              <w:jc w:val="left"/>
              <w:rPr>
                <w:rFonts w:ascii="Times New Roman;Times;serif" w:hAnsi="Times New Roman;Times;serif"/>
                <w:sz w:val="16"/>
              </w:rPr>
            </w:pPr>
            <w:r>
              <w:rPr>
                <w:rFonts w:ascii="Times New Roman;Times;serif" w:hAnsi="Times New Roman;Times;serif"/>
                <w:sz w:val="16"/>
              </w:rPr>
              <w:t>)</w:t>
            </w:r>
          </w:p>
        </w:tc>
      </w:tr>
      <w:tr>
        <w:trPr/>
        <w:tc>
          <w:tcPr>
            <w:tcW w:w="86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Retirement of treasury shares and par value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224,520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6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(224,744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6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6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82" w:type="dxa"/>
            <w:tcBorders/>
            <w:shd w:fill="CCEEFF" w:val="clear"/>
            <w:vAlign w:val="center"/>
          </w:tcPr>
          <w:p>
            <w:pPr>
              <w:pStyle w:val="TableContents"/>
              <w:bidi w:val="0"/>
              <w:spacing w:before="0" w:after="283"/>
              <w:ind w:left="180" w:right="0" w:hanging="0"/>
              <w:jc w:val="left"/>
              <w:rPr>
                <w:rFonts w:ascii="Times New Roman;Times;serif" w:hAnsi="Times New Roman;Times;serif"/>
                <w:sz w:val="16"/>
              </w:rPr>
            </w:pPr>
            <w:r>
              <w:rPr>
                <w:rFonts w:ascii="Times New Roman;Times;serif" w:hAnsi="Times New Roman;Times;serif"/>
                <w:sz w:val="16"/>
              </w:rPr>
              <w:t>)</w:t>
            </w:r>
          </w:p>
        </w:tc>
      </w:tr>
      <w:tr>
        <w:trPr/>
        <w:tc>
          <w:tcPr>
            <w:tcW w:w="86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6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(38,727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6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(38,727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6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(38,727</w:t>
            </w:r>
          </w:p>
        </w:tc>
        <w:tc>
          <w:tcPr>
            <w:tcW w:w="82" w:type="dxa"/>
            <w:tcBorders/>
            <w:shd w:fill="FFFFFF" w:val="clear"/>
            <w:vAlign w:val="center"/>
          </w:tcPr>
          <w:p>
            <w:pPr>
              <w:pStyle w:val="TableContents"/>
              <w:bidi w:val="0"/>
              <w:spacing w:before="0" w:after="283"/>
              <w:ind w:left="180" w:right="0" w:hanging="0"/>
              <w:jc w:val="left"/>
              <w:rPr>
                <w:rFonts w:ascii="Times New Roman;Times;serif" w:hAnsi="Times New Roman;Times;serif"/>
                <w:sz w:val="16"/>
              </w:rPr>
            </w:pPr>
            <w:r>
              <w:rPr>
                <w:rFonts w:ascii="Times New Roman;Times;serif" w:hAnsi="Times New Roman;Times;serif"/>
                <w:sz w:val="16"/>
              </w:rPr>
              <w:t>)</w:t>
            </w:r>
          </w:p>
        </w:tc>
      </w:tr>
      <w:tr>
        <w:trPr/>
        <w:tc>
          <w:tcPr>
            <w:tcW w:w="86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6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6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6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(11,896</w:t>
            </w:r>
          </w:p>
        </w:tc>
        <w:tc>
          <w:tcPr>
            <w:tcW w:w="82" w:type="dxa"/>
            <w:tcBorders/>
            <w:shd w:fill="CCEEFF" w:val="clear"/>
            <w:vAlign w:val="center"/>
          </w:tcPr>
          <w:p>
            <w:pPr>
              <w:pStyle w:val="TableContents"/>
              <w:bidi w:val="0"/>
              <w:spacing w:before="0" w:after="283"/>
              <w:ind w:left="180" w:right="0" w:hanging="0"/>
              <w:jc w:val="left"/>
              <w:rPr>
                <w:rFonts w:ascii="Times New Roman;Times;serif" w:hAnsi="Times New Roman;Times;serif"/>
                <w:sz w:val="16"/>
              </w:rPr>
            </w:pPr>
            <w:r>
              <w:rPr>
                <w:rFonts w:ascii="Times New Roman;Times;serif" w:hAnsi="Times New Roman;Times;serif"/>
                <w:sz w:val="16"/>
              </w:rPr>
              <w:t>)</w:t>
            </w:r>
          </w:p>
        </w:tc>
      </w:tr>
      <w:tr>
        <w:trPr/>
        <w:tc>
          <w:tcPr>
            <w:tcW w:w="86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6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6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1,967</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86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6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347,055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6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347,055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6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6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348,061</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861" w:type="dxa"/>
            <w:tcBorders/>
            <w:shd w:fill="FFFFFF" w:val="clear"/>
            <w:vAlign w:val="center"/>
          </w:tcPr>
          <w:p>
            <w:pPr>
              <w:pStyle w:val="TableContents"/>
              <w:bidi w:val="0"/>
              <w:spacing w:before="0" w:after="0"/>
              <w:ind w:left="360" w:right="0" w:hanging="180"/>
              <w:jc w:val="both"/>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61,461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542,046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(119,835</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1,450,025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(2,163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9"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1,870,879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1,890,416</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86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18,506</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86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30,350</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86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(10,112</w:t>
            </w:r>
          </w:p>
        </w:tc>
        <w:tc>
          <w:tcPr>
            <w:tcW w:w="82" w:type="dxa"/>
            <w:tcBorders/>
            <w:shd w:fill="CCEEFF" w:val="clear"/>
            <w:vAlign w:val="center"/>
          </w:tcPr>
          <w:p>
            <w:pPr>
              <w:pStyle w:val="TableContents"/>
              <w:bidi w:val="0"/>
              <w:spacing w:before="0" w:after="283"/>
              <w:ind w:left="180" w:right="0" w:hanging="0"/>
              <w:jc w:val="left"/>
              <w:rPr>
                <w:rFonts w:ascii="Times New Roman;Times;serif" w:hAnsi="Times New Roman;Times;serif"/>
                <w:sz w:val="16"/>
              </w:rPr>
            </w:pPr>
            <w:r>
              <w:rPr>
                <w:rFonts w:ascii="Times New Roman;Times;serif" w:hAnsi="Times New Roman;Times;serif"/>
                <w:sz w:val="16"/>
              </w:rPr>
              <w:t>)</w:t>
            </w:r>
          </w:p>
        </w:tc>
      </w:tr>
      <w:tr>
        <w:trPr/>
        <w:tc>
          <w:tcPr>
            <w:tcW w:w="86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6,867</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86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(16,400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(16,400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(16,400</w:t>
            </w:r>
          </w:p>
        </w:tc>
        <w:tc>
          <w:tcPr>
            <w:tcW w:w="82" w:type="dxa"/>
            <w:tcBorders/>
            <w:shd w:fill="CCEEFF" w:val="clear"/>
            <w:vAlign w:val="center"/>
          </w:tcPr>
          <w:p>
            <w:pPr>
              <w:pStyle w:val="TableContents"/>
              <w:bidi w:val="0"/>
              <w:spacing w:before="0" w:after="283"/>
              <w:ind w:left="180" w:right="0" w:hanging="0"/>
              <w:jc w:val="left"/>
              <w:rPr>
                <w:rFonts w:ascii="Times New Roman;Times;serif" w:hAnsi="Times New Roman;Times;serif"/>
                <w:sz w:val="16"/>
              </w:rPr>
            </w:pPr>
            <w:r>
              <w:rPr>
                <w:rFonts w:ascii="Times New Roman;Times;serif" w:hAnsi="Times New Roman;Times;serif"/>
                <w:sz w:val="16"/>
              </w:rPr>
              <w:t>)</w:t>
            </w:r>
          </w:p>
        </w:tc>
      </w:tr>
      <w:tr>
        <w:trPr/>
        <w:tc>
          <w:tcPr>
            <w:tcW w:w="86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Retirement of treasury shares and par value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86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(43,449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(43,449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(43,449</w:t>
            </w:r>
          </w:p>
        </w:tc>
        <w:tc>
          <w:tcPr>
            <w:tcW w:w="82" w:type="dxa"/>
            <w:tcBorders/>
            <w:shd w:fill="CCEEFF" w:val="clear"/>
            <w:vAlign w:val="center"/>
          </w:tcPr>
          <w:p>
            <w:pPr>
              <w:pStyle w:val="TableContents"/>
              <w:bidi w:val="0"/>
              <w:spacing w:before="0" w:after="283"/>
              <w:ind w:left="180" w:right="0" w:hanging="0"/>
              <w:jc w:val="left"/>
              <w:rPr>
                <w:rFonts w:ascii="Times New Roman;Times;serif" w:hAnsi="Times New Roman;Times;serif"/>
                <w:sz w:val="16"/>
              </w:rPr>
            </w:pPr>
            <w:r>
              <w:rPr>
                <w:rFonts w:ascii="Times New Roman;Times;serif" w:hAnsi="Times New Roman;Times;serif"/>
                <w:sz w:val="16"/>
              </w:rPr>
              <w:t>)</w:t>
            </w:r>
          </w:p>
        </w:tc>
      </w:tr>
      <w:tr>
        <w:trPr/>
        <w:tc>
          <w:tcPr>
            <w:tcW w:w="86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(12,115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(12,115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(12,115</w:t>
            </w:r>
          </w:p>
        </w:tc>
        <w:tc>
          <w:tcPr>
            <w:tcW w:w="82" w:type="dxa"/>
            <w:tcBorders/>
            <w:shd w:fill="FFFFFF" w:val="clear"/>
            <w:vAlign w:val="center"/>
          </w:tcPr>
          <w:p>
            <w:pPr>
              <w:pStyle w:val="TableContents"/>
              <w:bidi w:val="0"/>
              <w:spacing w:before="0" w:after="283"/>
              <w:ind w:left="180" w:right="0" w:hanging="0"/>
              <w:jc w:val="left"/>
              <w:rPr>
                <w:rFonts w:ascii="Times New Roman;Times;serif" w:hAnsi="Times New Roman;Times;serif"/>
                <w:sz w:val="16"/>
              </w:rPr>
            </w:pPr>
            <w:r>
              <w:rPr>
                <w:rFonts w:ascii="Times New Roman;Times;serif" w:hAnsi="Times New Roman;Times;serif"/>
                <w:sz w:val="16"/>
              </w:rPr>
              <w:t>)</w:t>
            </w:r>
          </w:p>
        </w:tc>
      </w:tr>
      <w:tr>
        <w:trPr/>
        <w:tc>
          <w:tcPr>
            <w:tcW w:w="86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(7,130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(7,130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(7,130</w:t>
            </w:r>
          </w:p>
        </w:tc>
        <w:tc>
          <w:tcPr>
            <w:tcW w:w="82" w:type="dxa"/>
            <w:tcBorders/>
            <w:shd w:fill="CCEEFF" w:val="clear"/>
            <w:vAlign w:val="center"/>
          </w:tcPr>
          <w:p>
            <w:pPr>
              <w:pStyle w:val="TableContents"/>
              <w:bidi w:val="0"/>
              <w:spacing w:before="0" w:after="283"/>
              <w:ind w:left="180" w:right="0" w:hanging="0"/>
              <w:jc w:val="left"/>
              <w:rPr>
                <w:rFonts w:ascii="Times New Roman;Times;serif" w:hAnsi="Times New Roman;Times;serif"/>
                <w:sz w:val="16"/>
              </w:rPr>
            </w:pPr>
            <w:r>
              <w:rPr>
                <w:rFonts w:ascii="Times New Roman;Times;serif" w:hAnsi="Times New Roman;Times;serif"/>
                <w:sz w:val="16"/>
              </w:rPr>
              <w:t>)</w:t>
            </w:r>
          </w:p>
        </w:tc>
      </w:tr>
      <w:tr>
        <w:trPr/>
        <w:tc>
          <w:tcPr>
            <w:tcW w:w="86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304,153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304,153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304,970</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861" w:type="dxa"/>
            <w:tcBorders/>
            <w:shd w:fill="CCEEFF" w:val="clear"/>
            <w:vAlign w:val="center"/>
          </w:tcPr>
          <w:p>
            <w:pPr>
              <w:pStyle w:val="TableContents"/>
              <w:bidi w:val="0"/>
              <w:spacing w:before="0" w:after="0"/>
              <w:ind w:left="360" w:right="0" w:hanging="180"/>
              <w:jc w:val="both"/>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62,605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587,639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(136,235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1,698,614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(9,293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2,141,549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20,354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2,161,903</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86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9,067</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86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31,730</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86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(1,389</w:t>
            </w:r>
          </w:p>
        </w:tc>
        <w:tc>
          <w:tcPr>
            <w:tcW w:w="82" w:type="dxa"/>
            <w:tcBorders/>
            <w:shd w:fill="FFFFFF" w:val="clear"/>
            <w:vAlign w:val="center"/>
          </w:tcPr>
          <w:p>
            <w:pPr>
              <w:pStyle w:val="TableContents"/>
              <w:bidi w:val="0"/>
              <w:spacing w:before="0" w:after="283"/>
              <w:ind w:left="180" w:right="0" w:hanging="0"/>
              <w:jc w:val="left"/>
              <w:rPr>
                <w:rFonts w:ascii="Times New Roman;Times;serif" w:hAnsi="Times New Roman;Times;serif"/>
                <w:sz w:val="16"/>
              </w:rPr>
            </w:pPr>
            <w:r>
              <w:rPr>
                <w:rFonts w:ascii="Times New Roman;Times;serif" w:hAnsi="Times New Roman;Times;serif"/>
                <w:sz w:val="16"/>
              </w:rPr>
              <w:t>)</w:t>
            </w:r>
          </w:p>
        </w:tc>
      </w:tr>
      <w:tr>
        <w:trPr/>
        <w:tc>
          <w:tcPr>
            <w:tcW w:w="86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7,230</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86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(194,915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(194,915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(194,915</w:t>
            </w:r>
          </w:p>
        </w:tc>
        <w:tc>
          <w:tcPr>
            <w:tcW w:w="82" w:type="dxa"/>
            <w:tcBorders/>
            <w:shd w:fill="FFFFFF" w:val="clear"/>
            <w:vAlign w:val="center"/>
          </w:tcPr>
          <w:p>
            <w:pPr>
              <w:pStyle w:val="TableContents"/>
              <w:bidi w:val="0"/>
              <w:spacing w:before="0" w:after="283"/>
              <w:ind w:left="180" w:right="0" w:hanging="0"/>
              <w:jc w:val="left"/>
              <w:rPr>
                <w:rFonts w:ascii="Times New Roman;Times;serif" w:hAnsi="Times New Roman;Times;serif"/>
                <w:sz w:val="16"/>
              </w:rPr>
            </w:pPr>
            <w:r>
              <w:rPr>
                <w:rFonts w:ascii="Times New Roman;Times;serif" w:hAnsi="Times New Roman;Times;serif"/>
                <w:sz w:val="16"/>
              </w:rPr>
              <w:t>)</w:t>
            </w:r>
          </w:p>
        </w:tc>
      </w:tr>
      <w:tr>
        <w:trPr/>
        <w:tc>
          <w:tcPr>
            <w:tcW w:w="86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Retirement of treasury shares and par value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86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(45,351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(45,351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(45,351</w:t>
            </w:r>
          </w:p>
        </w:tc>
        <w:tc>
          <w:tcPr>
            <w:tcW w:w="82" w:type="dxa"/>
            <w:tcBorders/>
            <w:shd w:fill="FFFFFF" w:val="clear"/>
            <w:vAlign w:val="center"/>
          </w:tcPr>
          <w:p>
            <w:pPr>
              <w:pStyle w:val="TableContents"/>
              <w:bidi w:val="0"/>
              <w:spacing w:before="0" w:after="283"/>
              <w:ind w:left="180" w:right="0" w:hanging="0"/>
              <w:jc w:val="left"/>
              <w:rPr>
                <w:rFonts w:ascii="Times New Roman;Times;serif" w:hAnsi="Times New Roman;Times;serif"/>
                <w:sz w:val="16"/>
              </w:rPr>
            </w:pPr>
            <w:r>
              <w:rPr>
                <w:rFonts w:ascii="Times New Roman;Times;serif" w:hAnsi="Times New Roman;Times;serif"/>
                <w:sz w:val="16"/>
              </w:rPr>
              <w:t>)</w:t>
            </w:r>
          </w:p>
        </w:tc>
      </w:tr>
      <w:tr>
        <w:trPr/>
        <w:tc>
          <w:tcPr>
            <w:tcW w:w="86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(12,949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(12,949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(12,949</w:t>
            </w:r>
          </w:p>
        </w:tc>
        <w:tc>
          <w:tcPr>
            <w:tcW w:w="82" w:type="dxa"/>
            <w:tcBorders/>
            <w:shd w:fill="CCEEFF" w:val="clear"/>
            <w:vAlign w:val="center"/>
          </w:tcPr>
          <w:p>
            <w:pPr>
              <w:pStyle w:val="TableContents"/>
              <w:bidi w:val="0"/>
              <w:spacing w:before="0" w:after="283"/>
              <w:ind w:left="180" w:right="0" w:hanging="0"/>
              <w:jc w:val="left"/>
              <w:rPr>
                <w:rFonts w:ascii="Times New Roman;Times;serif" w:hAnsi="Times New Roman;Times;serif"/>
                <w:sz w:val="16"/>
              </w:rPr>
            </w:pPr>
            <w:r>
              <w:rPr>
                <w:rFonts w:ascii="Times New Roman;Times;serif" w:hAnsi="Times New Roman;Times;serif"/>
                <w:sz w:val="16"/>
              </w:rPr>
              <w:t>)</w:t>
            </w:r>
          </w:p>
        </w:tc>
      </w:tr>
      <w:tr>
        <w:trPr/>
        <w:tc>
          <w:tcPr>
            <w:tcW w:w="86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4,480</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86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263,778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263,778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266,038</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861" w:type="dxa"/>
            <w:tcBorders/>
            <w:shd w:fill="FFFFFF" w:val="clear"/>
            <w:vAlign w:val="center"/>
          </w:tcPr>
          <w:p>
            <w:pPr>
              <w:pStyle w:val="TableContents"/>
              <w:bidi w:val="0"/>
              <w:spacing w:before="0" w:after="0"/>
              <w:ind w:left="360" w:right="0" w:hanging="180"/>
              <w:jc w:val="both"/>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60,115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16,438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835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634,266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(331,150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1,904,091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(4,813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2,203,229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22,614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2,225,843</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bookmarkStart w:id="22" w:name="cash"/>
      <w:bookmarkEnd w:id="22"/>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CASH FLOWS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95"/>
        <w:gridCol w:w="60"/>
        <w:gridCol w:w="125"/>
        <w:gridCol w:w="905"/>
        <w:gridCol w:w="80"/>
        <w:gridCol w:w="60"/>
        <w:gridCol w:w="125"/>
        <w:gridCol w:w="905"/>
        <w:gridCol w:w="80"/>
        <w:gridCol w:w="60"/>
        <w:gridCol w:w="125"/>
        <w:gridCol w:w="905"/>
        <w:gridCol w:w="80"/>
      </w:tblGrid>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3370" w:type="dxa"/>
            <w:gridSpan w:val="10"/>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304,970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348,061</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252,843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221,141</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 related to employee stock options and employee stock purchases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30,354</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deferred 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7,601</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354,937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(297,678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prepaid expenses and other,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trade 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Draws (payments) in floor plan notes payable – trade,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customer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28,803</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7,198</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861,839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619,550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295,713</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(399,831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(433,047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(368,881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sale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2,212</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notes receivable from affiliate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acquisitions, net of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(417,110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(387,030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Draws (payments) on floor plan notes payable – non-trade,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205,487</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1,844,528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1,429,083</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(1,252,656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(1,846,752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(1,291,615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finance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shares relating to employee stock options and employee stock purchases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18,077</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cash dividends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(194,915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(460,356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73,962</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(decrease) increase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on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beginning of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183,725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201,044</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cash equivalents and restricted cash, end of year</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183,725</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during the year for: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56,427</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paid, net</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106,872</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acquired under finance leases</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43,330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bookmarkStart w:id="23" w:name="notes"/>
      <w:bookmarkEnd w:id="23"/>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170"/>
        <w:gridCol w:w="320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3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ORGANIZATION AND OPERATIONS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Enterprises, Inc. (the “Company”) was incorporated in 1965 under the laws of the State of Texas. The Company operates a network of commercial vehicle dealerships that primarily sell commercial vehicles manufactured by Peterbilt, International, Hino, Ford, Isuzu, IC Bus, Blue Bird, Collins Bus, Blue Arc or Battle Motors. Through its strategically located network of Rush Truck Centers, the Company provides one-stop service for the needs of its commercial vehicle customers, including retail sales of new and used commercial vehicles, aftermarket parts sales, service and repair facilities, financing, leasing and rental, and insurance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Restricted cash consists of deposits for the statutory restriction on cash related to the Company’s captive insurance company of $6.3 million as of December 31, 2025 and $5.1 million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25, 2023, the Board of Directors of the Company declared a 3-for-2 stock split of the Company’s Class A common stock and Class B common stock, which was effected in the form of a stock dividend. On August 28, 2023, the Company distributed one additional share of stock for every two shares of Class A common stock, par value $0.01 per share, and Class B common stock, par value $0.01 per share, held by shareholders of record as of August 7, 2023. All share and per share data in this Form 10-K have been adjusted and restated to reflect the stock split as if it occurred on the first day of the earliest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16, 2023, the Company’s shareholders approved the Certificate of Amendment to the Restated Articles of Incorporation of the Company to increase the number of authorized shares of Class A Common Stock from 60,000,000 to 105,000,000 and Class B Common Stock from 20,000,000 to 35,000,000.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Treasury Stock 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third quarter of 2023, the Company retired 3,052,899 shares of Class A common stock and 1,445,515 shares of Class B common stock. The Company recorded the retirement directly against retained earnings based on the Company’s policy election. The Company accounts for treasury stock using the cost method. There was no effect on the Company’s overall equity position due to the retirement of the treasury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Foreign Currency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functional currency of the Company’s foreign subsidiary, Rush Truck Centres of Canada Limited (“RTC Canada”), is the local currency, the Canadian dollar. Results of operations for RTC Canada are translated to USD using the average exchange rate monthly during each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170"/>
        <w:gridCol w:w="345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34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SIGNIFICANT ACCOUNTING POLICIES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presented herein include the accounts of Rush Enterprises, Inc. together with its consolidated subsidiaries. All significant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Estimates in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the Company’s financial statements in conformity with U.S. generally accepted accounting principles (“GAAP”) requires management to make certain estimates and assumptions. These estimates and assumptions affect the reported amounts of assets and liabilities, the disclosures of contingent assets and liabilities at the balance sheet date and the amounts of revenues and expenses recognized during the reporting period. Management analyzes the Company’s estimates based on historical experience and other assumptions that are believed to be reasonable under the circumstances, however, actual results could differ materially from such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and cash equivalents generally consist of cash and other money market instruments. The Company considers all highly liquid investments with an original maturity of ninety days or less to be cash equivalents. Restricted cash consists of deposits for the statutory restriction on cash related to the Company’s captive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Allowance for Credit Losses and Repossession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maintains an allowance for credit losses based on the probability of default, its historical rate of losses, aging and current economic conditions. Accounts receivables consist primarily of commercial vehicle sales receivables, manufacturers’ receivables, leasing and parts and service receivables and other trade receivables. The Company writes off account balances when it has exhausted reasonable collection efforts and determined that the likelihood of collection is remote. These write-offs are charged against the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provides an allowance for repossession losses after considering historical loss experience and other factors that might affect the ability of customers to meet their obligations on finance contracts sold by the Company when the Company has a potential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Inventories are stated at the lower of cost or net realizable value. Cost is determined by specific identification of new and used commercial vehicle inventory and by the first-in, first-out method for tires, parts and accessories. As the market value of the Company’s inventory typically declines over time, reserves are established based on historical experience and market trends. These reserves are charged to cost of sales and reduce the carrying value of the Company’s inventory on hand. An allowance is provided when it is anticipated that cost will exceed net realizable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the underlying assets and is amortized over the estimated useful life of such assets. The cost, accumulated depreciation and amortization and estimated useful lives of the Company’s property and equipment are summarized as follows (in thousands):</w:t>
      </w:r>
    </w:p>
    <w:p>
      <w:pPr>
        <w:pStyle w:val="TextBody"/>
        <w:bidi w:val="0"/>
        <w:spacing w:before="0" w:after="0"/>
        <w:ind w:left="0" w:right="0" w:hanging="0"/>
        <w:jc w:val="left"/>
        <w:rPr>
          <w:caps w:val="false"/>
          <w:smallCaps w:val="false"/>
        </w:rPr>
      </w:pPr>
      <w:r>
        <w:rPr>
          <w:caps w:val="false"/>
          <w:smallCaps w:val="false"/>
        </w:rPr>
        <w:t> </w:t>
      </w:r>
    </w:p>
    <w:tbl>
      <w:tblPr>
        <w:tblW w:w="7749" w:type="dxa"/>
        <w:jc w:val="left"/>
        <w:tblInd w:w="0" w:type="dxa"/>
        <w:tblLayout w:type="fixed"/>
        <w:tblCellMar>
          <w:top w:w="0" w:type="dxa"/>
          <w:left w:w="0" w:type="dxa"/>
          <w:bottom w:w="0" w:type="dxa"/>
          <w:right w:w="0" w:type="dxa"/>
        </w:tblCellMar>
      </w:tblPr>
      <w:tblGrid>
        <w:gridCol w:w="3590"/>
        <w:gridCol w:w="60"/>
        <w:gridCol w:w="125"/>
        <w:gridCol w:w="845"/>
        <w:gridCol w:w="80"/>
        <w:gridCol w:w="60"/>
        <w:gridCol w:w="125"/>
        <w:gridCol w:w="845"/>
        <w:gridCol w:w="80"/>
        <w:gridCol w:w="60"/>
        <w:gridCol w:w="697"/>
        <w:gridCol w:w="423"/>
        <w:gridCol w:w="699"/>
        <w:gridCol w:w="6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1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 Life (Years)</w:t>
            </w:r>
          </w:p>
        </w:tc>
        <w:tc>
          <w:tcPr>
            <w:tcW w:w="6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172,770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ind w:left="0" w:right="0" w:hanging="0"/>
              <w:jc w:val="center"/>
              <w:rPr/>
            </w:pPr>
            <w:r>
              <w:rPr/>
              <w:t>–</w:t>
            </w:r>
          </w:p>
        </w:tc>
        <w:tc>
          <w:tcPr>
            <w:tcW w:w="699"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645,484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616,521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423" w:type="dxa"/>
            <w:tcBorders/>
            <w:shd w:fill="FFFFFF" w:val="clear"/>
            <w:vAlign w:val="center"/>
          </w:tcPr>
          <w:p>
            <w:pPr>
              <w:pStyle w:val="TableContents"/>
              <w:bidi w:val="0"/>
              <w:spacing w:before="0" w:after="283"/>
              <w:ind w:left="0" w:right="0" w:hanging="0"/>
              <w:jc w:val="center"/>
              <w:rPr/>
            </w:pPr>
            <w:r>
              <w:rPr/>
              <w:t>–</w:t>
            </w:r>
          </w:p>
        </w:tc>
        <w:tc>
          <w:tcPr>
            <w:tcW w:w="6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39</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423" w:type="dxa"/>
            <w:tcBorders/>
            <w:shd w:fill="CCEEFF" w:val="clear"/>
            <w:vAlign w:val="center"/>
          </w:tcPr>
          <w:p>
            <w:pPr>
              <w:pStyle w:val="TableContents"/>
              <w:bidi w:val="0"/>
              <w:spacing w:before="0" w:after="283"/>
              <w:ind w:left="0" w:right="0" w:hanging="0"/>
              <w:jc w:val="center"/>
              <w:rPr/>
            </w:pPr>
            <w:r>
              <w:rPr/>
              <w:t>–</w:t>
            </w:r>
          </w:p>
        </w:tc>
        <w:tc>
          <w:tcPr>
            <w:tcW w:w="6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shop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423" w:type="dxa"/>
            <w:tcBorders/>
            <w:shd w:fill="FFFFFF" w:val="clear"/>
            <w:vAlign w:val="center"/>
          </w:tcPr>
          <w:p>
            <w:pPr>
              <w:pStyle w:val="TableContents"/>
              <w:bidi w:val="0"/>
              <w:spacing w:before="0" w:after="283"/>
              <w:ind w:left="0" w:right="0" w:hanging="0"/>
              <w:jc w:val="center"/>
              <w:rPr/>
            </w:pPr>
            <w:r>
              <w:rPr/>
              <w:t>–</w:t>
            </w:r>
          </w:p>
        </w:tc>
        <w:tc>
          <w:tcPr>
            <w:tcW w:w="6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20</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fixtures and computers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127,165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423" w:type="dxa"/>
            <w:tcBorders/>
            <w:shd w:fill="CCEEFF" w:val="clear"/>
            <w:vAlign w:val="center"/>
          </w:tcPr>
          <w:p>
            <w:pPr>
              <w:pStyle w:val="TableContents"/>
              <w:bidi w:val="0"/>
              <w:spacing w:before="0" w:after="283"/>
              <w:ind w:left="0" w:right="0" w:hanging="0"/>
              <w:jc w:val="center"/>
              <w:rPr/>
            </w:pPr>
            <w:r>
              <w:rPr/>
              <w:t>–</w:t>
            </w:r>
          </w:p>
        </w:tc>
        <w:tc>
          <w:tcPr>
            <w:tcW w:w="6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156,896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423" w:type="dxa"/>
            <w:tcBorders/>
            <w:shd w:fill="FFFFFF" w:val="clear"/>
            <w:vAlign w:val="center"/>
          </w:tcPr>
          <w:p>
            <w:pPr>
              <w:pStyle w:val="TableContents"/>
              <w:bidi w:val="0"/>
              <w:spacing w:before="0" w:after="283"/>
              <w:ind w:left="0" w:right="0" w:hanging="0"/>
              <w:jc w:val="center"/>
              <w:rPr/>
            </w:pPr>
            <w:r>
              <w:rPr/>
              <w:t>–</w:t>
            </w:r>
          </w:p>
        </w:tc>
        <w:tc>
          <w:tcPr>
            <w:tcW w:w="6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vehicles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1,319,768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1,259,918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423" w:type="dxa"/>
            <w:tcBorders/>
            <w:shd w:fill="CCEEFF" w:val="clear"/>
            <w:vAlign w:val="center"/>
          </w:tcPr>
          <w:p>
            <w:pPr>
              <w:pStyle w:val="TableContents"/>
              <w:bidi w:val="0"/>
              <w:spacing w:before="0" w:after="283"/>
              <w:ind w:left="0" w:right="0" w:hanging="0"/>
              <w:jc w:val="center"/>
              <w:rPr/>
            </w:pPr>
            <w:r>
              <w:rPr/>
              <w:t>–</w:t>
            </w:r>
          </w:p>
        </w:tc>
        <w:tc>
          <w:tcPr>
            <w:tcW w:w="6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16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(969,265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(902,031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1,694,738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1,615,635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recorded depreciation expense of $224.9 million and amortization expense of $28.0 million for the year ended December 31, 2025, depreciation expense of $207.3 million and amortization expense of $28.8 million for the year ended December 31, 2024, and depreciation expense of $194.1 million and amortization expense of $27.0 million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the Company had $111.9 million in lease and rental vehicles under various finance leases included in property and equipment, net of accumulated amortization of $65.2 million. The Company recorded depreciation and amortization expense of $181.8 million related to lease and rental vehicles in lease and rental cost of products sold for the year ended December 31, 2025, $167.6 million for the year ended December 31, 2024, and $161.3 million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Purchase Price Allocation, Intangible Assets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uses the acquisition method of accounting for the recognition of assets acquired and liabilities assumed through acquisitions at their estimated fair values as of the date of acquisition. The purchase price allocation for business combinations and asset acquisitions requires the use of accounting estimates and judgments to allocate the purchase price to the identifiable tangible and intangible assets acquired and liabilities assumed based on their respective fair values. As a result, during the measurement period, which is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any subsequent adjustments are recorded in the Consolidated Statements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determines whether substantially all the fair value of the gross assets acquired are concentrated in a single identifiable asset or a group of similar identifiable assets. If so, the single asset or group of assets, as applicable, is not a business. If not, the Company determines whether the single asset or group of assets, as applicable, meets the definition of a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Company’s business combinations, it records certain intangible assets, including franchise rights. The Company periodically reviews the estimated useful lives and fair values of its identifiable intangible assets, taking into consideration any events or circumstances that might result in a diminished fair value or revised useful life. See Note 15 – Acquisitions in the Notes to the Financial Statements for further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Goodwill represents the excess, at the date of acquisition, of the purchase price of an acquired business over the fair value of the net tangible and intangible assets acquired. In addition to goodwill, the Company recognizes separately identifiable intangible assets for rights under franchise agreements with manufacturers.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the intangible franchise right is determined at the acquisition date by discounting the projected cash flows specific to each acquisition. The carrying value of the Company’s manufacturer franchise rights was $12.0 million as of December 31, 2025 and December 31, 2024, and is included in Other Assets on the accompanying Consolidated Balance Sheet.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Due to the fact that manufacturer franchise rights are specific to a geographic region, the Company has determined that evaluating and including all locations acquired in the geographic region is the appropriate level for purposes of testing franchise rights for impairment. The Company is subject to financial statement risk to the extent that manufacturer franchise rights become impaired due to decreases in the fair market value of its individual franchises.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assesses goodwill and intangible franchise rights for impairment annually in the fourth quarter, or whenever events or changes in circumstances indicate an impairment may have occurred. If impaired, the carrying values of the assets are written down to fair value using Level 3 inputs. See Fair Value Measurements below for further discussion of Level 3 fair value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annual goodwill and intangible franchise rights impairment assessment conducted in the fourth quarter of 2025, the Company elected to perform a qualitative assessment and determined that it was not more-likely-than-not that the fair values of the Company’s reporting units were less than their carrying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impairments of goodwill or intangible franchise rights were recorded during the years ended December 31, 2025, 2024 and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change in the carrying amount of goodwill for the Company for the year ended 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3240" w:type="dxa"/>
        <w:jc w:val="left"/>
        <w:tblInd w:w="0" w:type="dxa"/>
        <w:tblLayout w:type="fixed"/>
        <w:tblCellMar>
          <w:top w:w="0" w:type="dxa"/>
          <w:left w:w="0" w:type="dxa"/>
          <w:bottom w:w="0" w:type="dxa"/>
          <w:right w:w="0" w:type="dxa"/>
        </w:tblCellMar>
      </w:tblPr>
      <w:tblGrid>
        <w:gridCol w:w="2300"/>
        <w:gridCol w:w="60"/>
        <w:gridCol w:w="125"/>
        <w:gridCol w:w="695"/>
        <w:gridCol w:w="60"/>
      </w:tblGrid>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427,493</w:t>
            </w:r>
          </w:p>
        </w:tc>
        <w:tc>
          <w:tcPr>
            <w:tcW w:w="60"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Acquisitions during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11,895</w:t>
            </w:r>
          </w:p>
        </w:tc>
        <w:tc>
          <w:tcPr>
            <w:tcW w:w="60"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translation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2,227</w:t>
            </w:r>
          </w:p>
        </w:tc>
        <w:tc>
          <w:tcPr>
            <w:tcW w:w="60"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441,615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Equity Method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recognizes the investment for its 50% equity interest in Natural Gas Fuel Systems, LLC (“NGFS”) with a subsidiary of Cummins, Inc. using the equity method. The Company’s equity income in NGFS is included in the line-item Other income on the Consolidated Statements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determining its provision for income taxes, the Company uses an annual effective income tax rate based on annual income, permanent differences between book and tax income, and statutory income tax rates. The effective income tax rate also reflects its assessment of the ultimate outcome of tax audits. The Company adjusts its annual effective income tax rate as additional information on outcomes or events becomes available. Discrete events such as audit settlements or changes in tax laws are recognized in the period in which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income tax returns are periodically audited by tax authorities. These audits include questions regarding the Company’s tax filing positions, including the timing and amount of deductions. In evaluating the exposures associated with its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Revenue Recognition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ASU 2014-09,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w:t>
      </w:r>
      <w:r>
        <w:rPr>
          <w:rFonts w:ascii="Times New Roman" w:hAnsi="Times New Roman"/>
          <w:i/>
          <w:caps w:val="false"/>
          <w:smallCaps w:val="false"/>
          <w:sz w:val="20"/>
        </w:rPr>
        <w:t>(</w:t>
      </w:r>
      <w:r>
        <w:rPr>
          <w:rFonts w:ascii="Times New Roman" w:hAnsi="Times New Roman"/>
          <w:caps w:val="false"/>
          <w:smallCaps w:val="false"/>
          <w:sz w:val="20"/>
        </w:rPr>
        <w:t>“</w:t>
      </w:r>
      <w:r>
        <w:rPr>
          <w:rFonts w:ascii="Times New Roman" w:hAnsi="Times New Roman"/>
          <w:i/>
          <w:caps w:val="false"/>
          <w:smallCaps w:val="false"/>
          <w:sz w:val="20"/>
        </w:rPr>
        <w:t>Topic 606</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the Company performs the following five steps: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The Company then assesses whether each promised good or service is distinct and recognize as revenue the amount of the transaction price that is allocated to the respective performance obligation when (or as) the performance obligation is satisfied. For a complete discussion of accounting for revenue, see Note 17 – Revenue of the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Rental and Lease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leases commercial vehicles that the Company owns to customers. Lease and rental revenues are recognized over the period of the related lease or rental agreement. Variable rental revenue is recognized when it is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Company’s new and used commercial vehicle operations, cost of sales consists primarily of the Company’s actual purchase price, plus make-ready expenses, less any applicable manufacturers’ incentives. For the Company’s parts operations, cost of sales consists primarily of the Company’s actual purchase price, less any applicable manufacturers’ incentives. For the Company’s service and collision center operations, technician labor cost is the primary component of cost of sales. For the Company’s rental and leasing operations, cost of sales consists primarily of depreciation and amortization, rent, maintenance costs, license costs and interest expense on finance leases. There are no costs of sales associated with the Company’s finance and insurance revenue or other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leases commercial vehicles and real estate under finance and operating leases. The Company determines whether an arrangement is a lease at its inception. For leases with terms greater than twelve months, the Company records a lease asset and liability at the present value of lease payments over the term. Many of the Company’s leases include renewal options and termination options that are factored into its determination of lease payments when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 xml:space="preserve">Taxes Assessed by a Governmental Authority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sales taxes assessed by a governmental authority that are directly imposed on a revenue-producing transaction on a net (excluded from revenues)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consist primarily of incentive-based compensation for sales, finance and general management personnel, salaries for administrative personnel, legal reserves and expenses for rent, marketing, insurance, utilities and other general operating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applies the provisions of Accounting Standards Codification (“ASC”) topic 718-10, “</w:t>
      </w:r>
      <w:r>
        <w:rPr>
          <w:rFonts w:ascii="Times New Roman" w:hAnsi="Times New Roman"/>
          <w:i/>
          <w:caps w:val="false"/>
          <w:smallCaps w:val="false"/>
          <w:sz w:val="20"/>
        </w:rPr>
        <w:t xml:space="preserve">Compensation </w:t>
      </w:r>
      <w:r>
        <w:rPr>
          <w:rFonts w:ascii="Times New Roman" w:hAnsi="Times New Roman"/>
          <w:caps w:val="false"/>
          <w:smallCaps w:val="false"/>
          <w:sz w:val="20"/>
        </w:rPr>
        <w:t xml:space="preserve">– </w:t>
      </w:r>
      <w:r>
        <w:rPr>
          <w:rFonts w:ascii="Times New Roman" w:hAnsi="Times New Roman"/>
          <w:i/>
          <w:caps w:val="false"/>
          <w:smallCaps w:val="false"/>
          <w:sz w:val="20"/>
        </w:rPr>
        <w:t>Stock Compensation,</w:t>
      </w:r>
      <w:r>
        <w:rPr>
          <w:rFonts w:ascii="Times New Roman" w:hAnsi="Times New Roman"/>
          <w:caps w:val="false"/>
          <w:smallCaps w:val="false"/>
          <w:sz w:val="20"/>
        </w:rPr>
        <w:t>” which requires the measurement and recognition of compensation expense for all share-based payment awards made to employees and directors, including grants of employee stock options, restricted stock awards and employee stock purchases under the Employee Stock Purchase Plan, based on estimated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uses the Black-Scholes option-pricing model to estimate the fair value of share-based payment awards on the date of grant. The value of the portion of the award that is expected to vest is recognized as an expense over the requisite service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Compensation expense for all share-based payment awards is recognized using the straight-line single-option method. Stock-based compensation expense is recognized based on awards expected to vest. Accordingly, stock-based compensation expense has been reduced for estimated forfeitures. Forfeitures are estimated at the time of grant and revised, if necessary, in subsequent periods if actual forfeitures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determines the fair value of share-based payment awards on the date of grant using an option-pricing model that is affected by the Company’s stock price, as well as assumptions regarding a number of subjective variables. These variables include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characteristics that are significantly different from traded options and because changes in the subjective assumptions can materially affect the estimated value, in management’s opinion, the existing valuation models may not provide an accurate measure of fair value and it may not be indicative of the fair value observed in a market transaction between a willing buyer and a willing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reflects the weighted-average fair value of stock options granted during each period using the Black-Scholes option valuation model with the following weighted-average assumptions used:</w:t>
      </w:r>
    </w:p>
    <w:p>
      <w:pPr>
        <w:pStyle w:val="TextBody"/>
        <w:bidi w:val="0"/>
        <w:spacing w:before="0" w:after="0"/>
        <w:ind w:left="0" w:right="0" w:hanging="0"/>
        <w:jc w:val="left"/>
        <w:rPr>
          <w:caps w:val="false"/>
          <w:smallCaps w:val="false"/>
        </w:rPr>
      </w:pPr>
      <w:r>
        <w:rPr>
          <w:caps w:val="false"/>
          <w:smallCaps w:val="false"/>
        </w:rPr>
        <w:t> </w:t>
      </w:r>
    </w:p>
    <w:tbl>
      <w:tblPr>
        <w:tblW w:w="6920" w:type="dxa"/>
        <w:jc w:val="left"/>
        <w:tblInd w:w="0" w:type="dxa"/>
        <w:tblLayout w:type="fixed"/>
        <w:tblCellMar>
          <w:top w:w="0" w:type="dxa"/>
          <w:left w:w="0" w:type="dxa"/>
          <w:bottom w:w="0" w:type="dxa"/>
          <w:right w:w="0" w:type="dxa"/>
        </w:tblCellMar>
      </w:tblPr>
      <w:tblGrid>
        <w:gridCol w:w="4340"/>
        <w:gridCol w:w="60"/>
        <w:gridCol w:w="125"/>
        <w:gridCol w:w="485"/>
        <w:gridCol w:w="185"/>
        <w:gridCol w:w="60"/>
        <w:gridCol w:w="125"/>
        <w:gridCol w:w="485"/>
        <w:gridCol w:w="185"/>
        <w:gridCol w:w="60"/>
        <w:gridCol w:w="125"/>
        <w:gridCol w:w="485"/>
        <w:gridCol w:w="200"/>
      </w:tblGrid>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20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stock volatility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(years)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20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fair value of stock options granted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w:t>
            </w:r>
          </w:p>
        </w:tc>
        <w:tc>
          <w:tcPr>
            <w:tcW w:w="2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computes its historical stock price volatility in accordance with ASC Topic 718-10.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Advertising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Advertising costs are expensed as incurred. Advertising and marketing expenses were $10.8 million for 2025, $11.3 million for 2024 and $10.0 million for 2023. Advertising and marketing expenses are included in selling, 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Accounting for Internal Use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Company’s accounting policy with respect to accounting for computer software developed or obtained for internal use is consistent with ASC topic 350-40 </w:t>
      </w:r>
      <w:r>
        <w:rPr>
          <w:rFonts w:ascii="Times New Roman" w:hAnsi="Times New Roman"/>
          <w:i/>
          <w:caps w:val="false"/>
          <w:smallCaps w:val="false"/>
          <w:sz w:val="20"/>
        </w:rPr>
        <w:t>(Internal Use Software)</w:t>
      </w:r>
      <w:r>
        <w:rPr>
          <w:rFonts w:ascii="Times New Roman" w:hAnsi="Times New Roman"/>
          <w:caps w:val="false"/>
          <w:smallCaps w:val="false"/>
          <w:sz w:val="20"/>
        </w:rPr>
        <w:t>, which provides guidance on accounting for the costs of computer software developed or obtained for internal use and identifies characteristics of internal-use software. The Company has capitalized software costs, including capitalized interest, of approximately $1.1 million as of December 31, 2025, net of accumulated amortization of $21.1 million, and had $1.8 million as of December 31, 2024, net of accumulated amortization of $17.2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self-insures and utilizes a captive insurance company to manage its auto and general commercial liability insurance, which the Company supplements with excess insurance coverage at a level management believes is sufficient to cover potential losses. The Company is partially self-insured related to its worker’s compensation and medical insurance. The Company uses actuarial information provided from third-party administrators to calculate an accrual for claims incurred, but not reported, and for the remaining portion of claims that have been reported. The Company is fully self-insured for claims related to its real and personal property, except for its vehicle inventory, which is fully insured.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various financial instruments that it must measure at fair value on a recurring basis. See Note 9 – Financial Instruments and Fair Value of the Notes to Consolidated Financial Statements, for further information. The Company also applies the provisions of fair value measurement to various nonrecurring measurements for its financial and nonfinancial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Level 1 inputs are unadjusted quoted prices in active markets for identical assets or liabilities that the Company has the ability to access at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2023, the Financial Accounting Standards Board (“FASB”) issued Accounting Standards Update (“ASU”) 2023-09, which requires disclosure of disaggregated income taxes paid, prescribes standard categories for the components of the effective tax rate reconciliation, and modifies other income tax-related disclosures. We adopted this ASU on a retrospective basis effective January 1, 2025. Refer to Note 13, </w:t>
      </w:r>
      <w:r>
        <w:rPr>
          <w:rFonts w:ascii="Times New Roman" w:hAnsi="Times New Roman"/>
          <w:i/>
          <w:caps w:val="false"/>
          <w:smallCaps w:val="false"/>
          <w:sz w:val="20"/>
        </w:rPr>
        <w:t>Income Taxes</w:t>
      </w:r>
      <w:r>
        <w:rPr>
          <w:rFonts w:ascii="Times New Roman" w:hAnsi="Times New Roman"/>
          <w:caps w:val="false"/>
          <w:smallCaps w:val="false"/>
          <w:sz w:val="20"/>
        </w:rPr>
        <w:t> for the inclusion of new disclosures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New Accounting Pronouncements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November 2024, the FASB issued ASU 2024-03, </w:t>
      </w:r>
      <w:r>
        <w:rPr>
          <w:rFonts w:ascii="Times New Roman" w:hAnsi="Times New Roman"/>
          <w:i/>
          <w:caps w:val="false"/>
          <w:smallCaps w:val="false"/>
          <w:sz w:val="20"/>
        </w:rPr>
        <w:t>Disaggregation of Income Statement Expenses,</w:t>
      </w:r>
      <w:r>
        <w:rPr>
          <w:rFonts w:ascii="Times New Roman" w:hAnsi="Times New Roman"/>
          <w:caps w:val="false"/>
          <w:smallCaps w:val="false"/>
          <w:sz w:val="20"/>
        </w:rPr>
        <w:t> requiring more detailed disclosure about specified categories of expenses such as inventory purchases, employee compensation, depreciation and amortization in their financial statements. ASU 2024-03 is effective for fiscal years beginning after December 15, 2026, and interim periods within fiscal years beginning after December 15, 2027, may be applied prospectively or retrospectively, and allows for early adoption. The Company is currently evaluating the impact, if any, that the adoption of ASU 2024-03 will have on its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January 2025, the FASB issued </w:t>
      </w:r>
      <w:r>
        <w:rPr>
          <w:rFonts w:ascii="Times New Roman" w:hAnsi="Times New Roman"/>
          <w:i/>
          <w:caps w:val="false"/>
          <w:smallCaps w:val="false"/>
          <w:sz w:val="20"/>
        </w:rPr>
        <w:t xml:space="preserve">ASU 2025-01, Income Statement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Reporting Comprehensive Income </w:t>
      </w:r>
      <w:r>
        <w:rPr>
          <w:rFonts w:ascii="Times New Roman" w:hAnsi="Times New Roman"/>
          <w:caps w:val="false"/>
          <w:smallCaps w:val="false"/>
          <w:sz w:val="20"/>
        </w:rPr>
        <w:t xml:space="preserve">— </w:t>
      </w:r>
      <w:r>
        <w:rPr>
          <w:rFonts w:ascii="Times New Roman" w:hAnsi="Times New Roman"/>
          <w:i/>
          <w:caps w:val="false"/>
          <w:smallCaps w:val="false"/>
          <w:sz w:val="20"/>
        </w:rPr>
        <w:t>Expense Disaggregation Disclosures (Subtopic 220-40): Clarifying the Effective Date (</w:t>
      </w:r>
      <w:r>
        <w:rPr>
          <w:rFonts w:ascii="Times New Roman" w:hAnsi="Times New Roman"/>
          <w:caps w:val="false"/>
          <w:smallCaps w:val="false"/>
          <w:sz w:val="20"/>
        </w:rPr>
        <w:t>“</w:t>
      </w:r>
      <w:r>
        <w:rPr>
          <w:rFonts w:ascii="Times New Roman" w:hAnsi="Times New Roman"/>
          <w:i/>
          <w:caps w:val="false"/>
          <w:smallCaps w:val="false"/>
          <w:sz w:val="20"/>
        </w:rPr>
        <w:t>ASU 2025-01</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which clarifies the effective date of ASU 2024-03 to require all public business entities to adopt the guidance for annual reporting periods beginning after December 15, 2026, and interim reporting periods within those annual reporting periods beginning after December 15, 2027. Early adoption is permitted. The amendments may be applied either prospectively or retrospectively to prior periods presented. Management is currently evaluating the impact that the adoption of ASU 2024-03, as clarified by ASU 2025-01, will have on its financial statements and related disclosures. At this time, it is not practicable to estimate the effect of the standard on the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September 2025, the FASB issued ASU 2025-06, </w:t>
      </w:r>
      <w:r>
        <w:rPr>
          <w:rFonts w:ascii="Times New Roman" w:hAnsi="Times New Roman"/>
          <w:i/>
          <w:caps w:val="false"/>
          <w:smallCaps w:val="false"/>
          <w:sz w:val="20"/>
        </w:rPr>
        <w:t xml:space="preserve">Intangibles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Goodwill and Other </w:t>
      </w:r>
      <w:r>
        <w:rPr>
          <w:rFonts w:ascii="Times New Roman" w:hAnsi="Times New Roman"/>
          <w:caps w:val="false"/>
          <w:smallCaps w:val="false"/>
          <w:sz w:val="20"/>
        </w:rPr>
        <w:t xml:space="preserve">— </w:t>
      </w:r>
      <w:r>
        <w:rPr>
          <w:rFonts w:ascii="Times New Roman" w:hAnsi="Times New Roman"/>
          <w:i/>
          <w:caps w:val="false"/>
          <w:smallCaps w:val="false"/>
          <w:sz w:val="20"/>
        </w:rPr>
        <w:t>Internal-Use Software (Subtopic 350-40): Targeted Improvements to the Accounting for Internal-Use Software.</w:t>
      </w:r>
      <w:r>
        <w:rPr>
          <w:rFonts w:ascii="Times New Roman" w:hAnsi="Times New Roman"/>
          <w:caps w:val="false"/>
          <w:smallCaps w:val="false"/>
          <w:sz w:val="20"/>
        </w:rPr>
        <w:t xml:space="preserve"> The amendments modernize the guidance on accounting for costs to develop or obtain software for internal use and replace the prior stage-based framework with a principles-based approach. The amendments are effective for annual reporting periods beginning after December 15, 2027, and interim periods within those annual periods, with early adoption permitted. Entities may apply the guidance prospectively, retrospectively, or via a modified transition approach. The Company is currently evaluating the timing of adoption, the transition method it will elect, and the impact of this guidance on its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2025, the FASB issued ASU 2025</w:t>
        <w:noBreakHyphen/>
        <w:t xml:space="preserve">11, </w:t>
      </w:r>
      <w:r>
        <w:rPr>
          <w:rFonts w:ascii="Times New Roman" w:hAnsi="Times New Roman"/>
          <w:i/>
          <w:caps w:val="false"/>
          <w:smallCaps w:val="false"/>
          <w:sz w:val="20"/>
        </w:rPr>
        <w:t>Interim Reporting (Topic 270): Narrow</w:t>
      </w:r>
      <w:r>
        <w:rPr>
          <w:rFonts w:ascii="Times New Roman" w:hAnsi="Times New Roman"/>
          <w:caps w:val="false"/>
          <w:smallCaps w:val="false"/>
          <w:sz w:val="20"/>
        </w:rPr>
        <w:noBreakHyphen/>
      </w:r>
      <w:r>
        <w:rPr>
          <w:rFonts w:ascii="Times New Roman" w:hAnsi="Times New Roman"/>
          <w:i/>
          <w:caps w:val="false"/>
          <w:smallCaps w:val="false"/>
          <w:sz w:val="20"/>
        </w:rPr>
        <w:t>Scope Improvements.</w:t>
      </w:r>
      <w:r>
        <w:rPr>
          <w:rFonts w:ascii="Times New Roman" w:hAnsi="Times New Roman"/>
          <w:caps w:val="false"/>
          <w:smallCaps w:val="false"/>
          <w:sz w:val="20"/>
        </w:rPr>
        <w:t xml:space="preserve"> The amendments clarify when Topic 270 applies, improve the navigability of the interim reporting guidance in ASC 270, and specify the form and content of interim financial statements and accompanying notes presented in accordance with GAAP. Topic 270 also clarifies aspects of the form and content of interim financial statements for entities that present condensed statements and identifies interim disclosures required by GAAP topics outside of Topic 270. The amendments are effective for interim reporting periods within annual reporting periods beginning after December 15, 2027. The Company is evaluating the effects, if any, that ASU 2025-11 will have on its interim financial statement disclosures and related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170"/>
        <w:gridCol w:w="264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26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SUPPLIER CONCENTRATION</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Major Suppliers and Dealership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entered into dealership agreements with various manufacturers of commercial vehicles and buses (“Manufacturers”). These agreements are nonexclusive agreements that allow the Company to stock, sell at retail and service commercial vehicles and sell parts from the Manufacturers in the Company’s defined area of responsibility. The agreements allow the Company to use the Manufacturers’ names, trade symbols and intellectual property and expire as follows:</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28" w:type="dxa"/>
          <w:right w:w="0" w:type="dxa"/>
        </w:tblCellMar>
      </w:tblPr>
      <w:tblGrid>
        <w:gridCol w:w="1145"/>
        <w:gridCol w:w="60"/>
        <w:gridCol w:w="2585"/>
      </w:tblGrid>
      <w:tr>
        <w:trPr/>
        <w:tc>
          <w:tcPr>
            <w:tcW w:w="1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Manufacturer</w:t>
            </w:r>
          </w:p>
        </w:tc>
        <w:tc>
          <w:tcPr>
            <w:tcW w:w="60" w:type="dxa"/>
            <w:tcBorders/>
            <w:tcMar>
              <w:bottom w:w="0" w:type="dxa"/>
            </w:tcMar>
            <w:vAlign w:val="center"/>
          </w:tcPr>
          <w:p>
            <w:pPr>
              <w:pStyle w:val="TableContents"/>
              <w:bidi w:val="0"/>
              <w:spacing w:before="0" w:after="283"/>
              <w:jc w:val="left"/>
              <w:rPr/>
            </w:pPr>
            <w:r>
              <w:rPr/>
              <w:t> </w:t>
            </w:r>
          </w:p>
        </w:tc>
        <w:tc>
          <w:tcPr>
            <w:tcW w:w="258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Expiration Dates</w:t>
            </w:r>
          </w:p>
        </w:tc>
      </w:tr>
      <w:tr>
        <w:trPr/>
        <w:tc>
          <w:tcPr>
            <w:tcW w:w="1145" w:type="dxa"/>
            <w:tcBorders/>
            <w:shd w:fill="CCEEFF" w:val="clear"/>
            <w:tcMar>
              <w:bottom w:w="0" w:type="dxa"/>
            </w:tcM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Peterbilt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5" w:type="dxa"/>
            <w:tcBorders/>
            <w:shd w:fill="CCEEFF" w:val="clear"/>
            <w:tcMar>
              <w:bottom w:w="0" w:type="dxa"/>
            </w:tcMar>
            <w:vAlign w:val="center"/>
          </w:tcPr>
          <w:p>
            <w:pPr>
              <w:pStyle w:val="TableContents"/>
              <w:bidi w:val="0"/>
              <w:spacing w:before="0" w:after="0"/>
              <w:ind w:left="200" w:right="0" w:hanging="200"/>
              <w:jc w:val="center"/>
              <w:rPr>
                <w:rFonts w:ascii="Times New Roman" w:hAnsi="Times New Roman"/>
                <w:caps w:val="false"/>
                <w:smallCaps w:val="false"/>
                <w:sz w:val="20"/>
              </w:rPr>
            </w:pPr>
            <w:r>
              <w:rPr>
                <w:rFonts w:ascii="Times New Roman" w:hAnsi="Times New Roman"/>
                <w:caps w:val="false"/>
                <w:smallCaps w:val="false"/>
                <w:sz w:val="20"/>
              </w:rPr>
              <w:t>June 2026</w:t>
            </w:r>
          </w:p>
        </w:tc>
      </w:tr>
      <w:tr>
        <w:trPr/>
        <w:tc>
          <w:tcPr>
            <w:tcW w:w="1145" w:type="dxa"/>
            <w:tcBorders/>
            <w:shd w:fill="FFFFFF" w:val="clear"/>
            <w:tcMar>
              <w:bottom w:w="0" w:type="dxa"/>
            </w:tcM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International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2026 through May 2030</w:t>
            </w:r>
          </w:p>
        </w:tc>
      </w:tr>
      <w:tr>
        <w:trPr/>
        <w:tc>
          <w:tcPr>
            <w:tcW w:w="1145" w:type="dxa"/>
            <w:tcBorders/>
            <w:shd w:fill="CCEEFF" w:val="clear"/>
            <w:tcMar>
              <w:bottom w:w="0" w:type="dxa"/>
            </w:tcM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Isuzu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Indefinite</w:t>
            </w:r>
          </w:p>
        </w:tc>
      </w:tr>
      <w:tr>
        <w:trPr/>
        <w:tc>
          <w:tcPr>
            <w:tcW w:w="1145" w:type="dxa"/>
            <w:tcBorders/>
            <w:shd w:fill="FFFFFF" w:val="clear"/>
            <w:tcMar>
              <w:bottom w:w="0" w:type="dxa"/>
            </w:tcM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Hino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Indefinite</w:t>
            </w:r>
          </w:p>
        </w:tc>
      </w:tr>
      <w:tr>
        <w:trPr/>
        <w:tc>
          <w:tcPr>
            <w:tcW w:w="1145" w:type="dxa"/>
            <w:tcBorders/>
            <w:shd w:fill="CCEEFF" w:val="clear"/>
            <w:tcMar>
              <w:bottom w:w="0" w:type="dxa"/>
            </w:tcM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Ford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Indefinite</w:t>
            </w:r>
          </w:p>
        </w:tc>
      </w:tr>
      <w:tr>
        <w:trPr/>
        <w:tc>
          <w:tcPr>
            <w:tcW w:w="1145" w:type="dxa"/>
            <w:tcBorders/>
            <w:shd w:fill="FFFFFF" w:val="clear"/>
            <w:tcMar>
              <w:bottom w:w="0" w:type="dxa"/>
            </w:tcM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Blue Bird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Currently Negotiating</w:t>
            </w:r>
          </w:p>
        </w:tc>
      </w:tr>
      <w:tr>
        <w:trPr/>
        <w:tc>
          <w:tcPr>
            <w:tcW w:w="1145" w:type="dxa"/>
            <w:tcBorders/>
            <w:shd w:fill="CCEEFF" w:val="clear"/>
            <w:tcMar>
              <w:bottom w:w="0" w:type="dxa"/>
            </w:tcM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IC Bus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2026 through May 2030</w:t>
            </w:r>
          </w:p>
        </w:tc>
      </w:tr>
      <w:tr>
        <w:trPr/>
        <w:tc>
          <w:tcPr>
            <w:tcW w:w="1145" w:type="dxa"/>
            <w:tcBorders/>
            <w:shd w:fill="FFFFFF" w:val="clear"/>
            <w:tcMar>
              <w:bottom w:w="0" w:type="dxa"/>
            </w:tcMar>
            <w:vAlign w:val="center"/>
          </w:tcPr>
          <w:p>
            <w:pPr>
              <w:pStyle w:val="TableContents"/>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Blue Arc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 2026</w:t>
            </w:r>
          </w:p>
        </w:tc>
      </w:tr>
      <w:tr>
        <w:trPr/>
        <w:tc>
          <w:tcPr>
            <w:tcW w:w="114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Battle Motors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Indefinite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purchases its new Peterbilt vehicles from Peterbilt and most of the parts sold at its Peterbilt dealerships from PACCAR, Inc, the parent company of Peterbilt, at prevailing prices charged to all franchised dealers. Sales of new Peterbilt commercial vehicles accounted for approximately 53.6% of the Company’s new vehicle sales revenue for the year ended December 31, 2025, 58.8% of the Company’s new vehicle sales revenue for the year ended December 31, 2024, and 50.7% of the Company’s new vehicle sales revenue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Primary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purchases its new and used commercial vehicle inventories with the assistance of floorplan financing programs as described in Note 7 to these Notes to Consolidated Financial Statements. The Company is eligible to finance its Peterbilt new vehicle inventory under the PFC Floor Plan Credit Agreement with PFC, which has an aggregate loan commitment of $800.0 million. The remainder of the Company’s new vehicle inventory, and all of its used vehicle inventory, is eligible to be financed under the BMO Floor Plan Credit Agreement with BMO Bank, which has an aggregate loan commitment of $675.0 million. The Company’s floor plan financing agreements provide that the occurrence of certain events will be considered events of default. In the event that the Company’s floor plan financing becomes insufficient, or its relationship with any of its current primary lenders terminates, the Company would need to obtain similar financing from other sources. Management believes it can obtain additional floor plan financing or alternative financing if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the Company uses the WF Credit Agreement to finance its Idealease lease and rental fleet vehicles and for other working capital needs. Pursuant to the terms of the WF Credit Agreement, the WF Lenders have agreed to make up to $175.0 million of revolving credit loans for certain of the Company’s capital expenditures, including commercial vehicle purchases for the Company’s Idealease lease and rental fleet, and general working capital needs. The Company expects to use the revolving credit loans available under the WF Credit Agreement primarily for the purpose of purchasing commercial vehicles for the Company’s Idealease lease, rental fleet and other working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uses the PLC Agreement to finance its PacLease lease and rental fleet vehicles. Pursuant to the terms of the PLC Agreement, PLC agreed to make up to $500.0 million of revolving credit loans to finance commercial vehicle purchases and other equipment to be leased or rented through the Company’s PacLease franchises.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RTC Canada uses the RTC Canada Revolving Credit Agreement to finance its Idealease lease and rental fleet vehicles.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available upon the request of RTC Canada and consent of BMO.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RTC Canada uses the RTC Canada Floor Plan Credit Agreement to finance its new and used vehicle inventory. Pursuant to the terms of the RTC Canada Floor Plan Agreement, BMO agreed to make up to $171.7 million CAD of revolving credit loans to finance RTC Canada’s purchase of new and used vehicle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Concentration of Credit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instruments that potentially subject the Company to significant concentrations of credit risk consist principally of cash, cash equivalents, restricted cash, and accounts receivable. The Company places its cash, cash equivalents and restricted cash with what it considers to be quality financial institutions based on periodic assessments of such institutions. The Company’s cash, cash equivalents and restricted cash may be uninsured or in deposit accounts that exceed the Federal Deposit Insurance Corporation insurance 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controls credit risk through credit approvals and by selling most of its trade receivables, other than vehicle accounts receivable, without recourse. Concentrations of credit risk with respect to trade receivables are reduced because of the geographical diversity of the Company’s customer base; however, all the Company’s business is concentrated in the United States and Ontario, Canada commercial vehicle markets and related aftermarkets.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sells finance contracts it enters into with customers to finance the purchase of commercial vehicles to third parties. These finance contracts are sold by the Company both with and without recourse. Most of the Company’s finance contracts are sold without recourse. The Company provides an allowance for doubtful receivables and a reserve for collection losses related to finance contracts sold with recourse. Historically, the Company’s allowances and reserves have covered losses inherent in these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170"/>
        <w:gridCol w:w="237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23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ACCOUNTS RECEIVABLE</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accounts receivable,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765" w:type="dxa"/>
        <w:jc w:val="left"/>
        <w:tblInd w:w="0" w:type="dxa"/>
        <w:tblLayout w:type="fixed"/>
        <w:tblCellMar>
          <w:top w:w="0" w:type="dxa"/>
          <w:left w:w="0" w:type="dxa"/>
          <w:bottom w:w="0" w:type="dxa"/>
          <w:right w:w="0" w:type="dxa"/>
        </w:tblCellMar>
      </w:tblPr>
      <w:tblGrid>
        <w:gridCol w:w="3845"/>
        <w:gridCol w:w="60"/>
        <w:gridCol w:w="125"/>
        <w:gridCol w:w="695"/>
        <w:gridCol w:w="80"/>
        <w:gridCol w:w="60"/>
        <w:gridCol w:w="125"/>
        <w:gridCol w:w="695"/>
        <w:gridCol w:w="80"/>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1780" w:type="dxa"/>
            <w:gridSpan w:val="6"/>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2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 from sale of vehicles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212,216</w:t>
            </w:r>
          </w:p>
        </w:tc>
        <w:tc>
          <w:tcPr>
            <w:tcW w:w="8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receivables other than vehicles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99,108</w:t>
            </w:r>
          </w:p>
        </w:tc>
        <w:tc>
          <w:tcPr>
            <w:tcW w:w="8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claims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18,675</w:t>
            </w:r>
          </w:p>
        </w:tc>
        <w:tc>
          <w:tcPr>
            <w:tcW w:w="8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18,088</w:t>
            </w:r>
          </w:p>
        </w:tc>
        <w:tc>
          <w:tcPr>
            <w:tcW w:w="8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allowance for credit losses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277,784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345,346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January 1, 2024, the Company had accounts receivable of $259.4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Notes receivable from the Cummins Clean Fuel Technologies (“CCFT”) joint venture include a $15.0 million promissory note bearing interest at the monthly SOFR, plus 1.5% and maturing on December 31, 2026. The note arose from a loan provided to the joint venture to fund its working capital needs. The Company's share of profits from the joint venture is subject to the terms of the partnership agreement and may be impacted by the performance of the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510" w:type="dxa"/>
        <w:jc w:val="left"/>
        <w:tblInd w:w="0" w:type="dxa"/>
        <w:tblLayout w:type="fixed"/>
        <w:tblCellMar>
          <w:top w:w="0" w:type="dxa"/>
          <w:left w:w="0" w:type="dxa"/>
          <w:bottom w:w="0" w:type="dxa"/>
          <w:right w:w="0" w:type="dxa"/>
        </w:tblCellMar>
      </w:tblPr>
      <w:tblGrid>
        <w:gridCol w:w="170"/>
        <w:gridCol w:w="134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3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INVENTORIES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inventories,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2135"/>
        <w:gridCol w:w="60"/>
        <w:gridCol w:w="125"/>
        <w:gridCol w:w="845"/>
        <w:gridCol w:w="80"/>
        <w:gridCol w:w="60"/>
        <w:gridCol w:w="125"/>
        <w:gridCol w:w="845"/>
        <w:gridCol w:w="80"/>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2080" w:type="dxa"/>
            <w:gridSpan w:val="6"/>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2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commercial vehicles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1,103,721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1,381,684</w:t>
            </w:r>
          </w:p>
        </w:tc>
        <w:tc>
          <w:tcPr>
            <w:tcW w:w="8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commercial vehicles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55,336</w:t>
            </w:r>
          </w:p>
        </w:tc>
        <w:tc>
          <w:tcPr>
            <w:tcW w:w="8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Parts and accessories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347,499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341,458</w:t>
            </w:r>
          </w:p>
        </w:tc>
        <w:tc>
          <w:tcPr>
            <w:tcW w:w="8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26,789</w:t>
            </w:r>
          </w:p>
        </w:tc>
        <w:tc>
          <w:tcPr>
            <w:tcW w:w="8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allowance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1,534,471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1,787,744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170"/>
        <w:gridCol w:w="227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22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VALUATION ACCOUNTS: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Valuation and allowance accounts include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413" w:type="dxa"/>
        <w:jc w:val="left"/>
        <w:tblInd w:w="0" w:type="dxa"/>
        <w:tblLayout w:type="fixed"/>
        <w:tblCellMar>
          <w:top w:w="0" w:type="dxa"/>
          <w:left w:w="0" w:type="dxa"/>
          <w:bottom w:w="28" w:type="dxa"/>
          <w:right w:w="0" w:type="dxa"/>
        </w:tblCellMar>
      </w:tblPr>
      <w:tblGrid>
        <w:gridCol w:w="3410"/>
        <w:gridCol w:w="60"/>
        <w:gridCol w:w="155"/>
        <w:gridCol w:w="735"/>
        <w:gridCol w:w="60"/>
        <w:gridCol w:w="60"/>
        <w:gridCol w:w="181"/>
        <w:gridCol w:w="858"/>
        <w:gridCol w:w="60"/>
        <w:gridCol w:w="60"/>
        <w:gridCol w:w="138"/>
        <w:gridCol w:w="721"/>
        <w:gridCol w:w="80"/>
        <w:gridCol w:w="60"/>
        <w:gridCol w:w="125"/>
        <w:gridCol w:w="590"/>
        <w:gridCol w:w="60"/>
      </w:tblGrid>
      <w:tr>
        <w:trPr/>
        <w:tc>
          <w:tcPr>
            <w:tcW w:w="341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 Year</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 Costs and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Expenses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Write-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Offs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 Year</w:t>
            </w:r>
          </w:p>
        </w:tc>
        <w:tc>
          <w:tcPr>
            <w:tcW w:w="60" w:type="dxa"/>
            <w:tcBorders/>
            <w:tcMar>
              <w:bottom w:w="0" w:type="dxa"/>
            </w:tcMar>
            <w:vAlign w:val="center"/>
          </w:tcPr>
          <w:p>
            <w:pPr>
              <w:pStyle w:val="TableContents"/>
              <w:bidi w:val="0"/>
              <w:spacing w:before="0" w:after="283"/>
              <w:jc w:val="left"/>
              <w:rPr/>
            </w:pPr>
            <w:r>
              <w:rPr/>
              <w:t> </w:t>
            </w:r>
          </w:p>
        </w:tc>
      </w:tr>
      <w:tr>
        <w:trPr/>
        <w:tc>
          <w:tcPr>
            <w:tcW w:w="34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7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1" w:type="dxa"/>
            <w:tcBorders/>
            <w:tcMar>
              <w:bottom w:w="0" w:type="dxa"/>
            </w:tcMar>
            <w:vAlign w:val="center"/>
          </w:tcPr>
          <w:p>
            <w:pPr>
              <w:pStyle w:val="TableContents"/>
              <w:bidi w:val="0"/>
              <w:spacing w:before="0" w:after="283"/>
              <w:jc w:val="left"/>
              <w:rPr/>
            </w:pPr>
            <w:r>
              <w:rPr/>
              <w:t> </w:t>
            </w:r>
          </w:p>
        </w:tc>
        <w:tc>
          <w:tcPr>
            <w:tcW w:w="8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34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4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for parts inventory</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4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for commercial vehicle inventory</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25,533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(22,066</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4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7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85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4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4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for parts inventory</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4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for commercial vehicle inventory</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18,242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(20,620</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4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7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1" w:type="dxa"/>
            <w:tcBorders/>
            <w:tcMar>
              <w:bottom w:w="0" w:type="dxa"/>
            </w:tcMar>
            <w:vAlign w:val="center"/>
          </w:tcPr>
          <w:p>
            <w:pPr>
              <w:pStyle w:val="TableContents"/>
              <w:bidi w:val="0"/>
              <w:spacing w:before="0" w:after="283"/>
              <w:jc w:val="left"/>
              <w:rPr/>
            </w:pPr>
            <w:r>
              <w:rPr/>
              <w:t> </w:t>
            </w:r>
          </w:p>
        </w:tc>
        <w:tc>
          <w:tcPr>
            <w:tcW w:w="8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34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4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for parts inventory</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41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for commercial vehicle inventory</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(6,053</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12,203</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provides a reserve for obsolete and slow-moving parts. The reserve is reviewed and, if necessary, adjustments are made on a quarterly basis. The Company relies on historical information to support its reserves. Once the inventory is written down, the Company does not reverse any reserve balance until the inventory is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valuation for new and used commercial vehicle inventory is based on specific identification. A detail of new and used commercial vehicle inventory is reviewed and, if necessary, adjustments to the value of specific vehicles are made on a quarterly basis. Once the inventory is written down, the Company does not reverse any reserve balance until the inventory is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establishes an allowance for credit losses to present the net amount of accounts receivable expected to be collected. Under Accounting Standards Topic 326, </w:t>
      </w:r>
      <w:r>
        <w:rPr>
          <w:rFonts w:ascii="Times New Roman" w:hAnsi="Times New Roman"/>
          <w:i/>
          <w:caps w:val="false"/>
          <w:smallCaps w:val="false"/>
          <w:sz w:val="20"/>
        </w:rPr>
        <w:t xml:space="preserve">Financial Instruments </w:t>
      </w:r>
      <w:r>
        <w:rPr>
          <w:rFonts w:ascii="Times New Roman" w:hAnsi="Times New Roman"/>
          <w:caps w:val="false"/>
          <w:smallCaps w:val="false"/>
          <w:sz w:val="20"/>
        </w:rPr>
        <w:t xml:space="preserve">– </w:t>
      </w:r>
      <w:r>
        <w:rPr>
          <w:rFonts w:ascii="Times New Roman" w:hAnsi="Times New Roman"/>
          <w:i/>
          <w:caps w:val="false"/>
          <w:smallCaps w:val="false"/>
          <w:sz w:val="20"/>
        </w:rPr>
        <w:t>Credit Losses</w:t>
      </w:r>
      <w:r>
        <w:rPr>
          <w:rFonts w:ascii="Times New Roman" w:hAnsi="Times New Roman"/>
          <w:caps w:val="false"/>
          <w:smallCaps w:val="false"/>
          <w:sz w:val="20"/>
        </w:rPr>
        <w:t>, the Company is required to remeasure expected credit losses for financial instruments held on the reporting date based on historical experience, current conditions and reasonable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changes in the allowance for credit losses (in thousands):</w:t>
      </w:r>
    </w:p>
    <w:p>
      <w:pPr>
        <w:pStyle w:val="TextBody"/>
        <w:bidi w:val="0"/>
        <w:spacing w:before="0" w:after="0"/>
        <w:ind w:left="0" w:right="0" w:hanging="0"/>
        <w:jc w:val="left"/>
        <w:rPr>
          <w:caps w:val="false"/>
          <w:smallCaps w:val="false"/>
        </w:rPr>
      </w:pPr>
      <w:r>
        <w:rPr>
          <w:caps w:val="false"/>
          <w:smallCaps w:val="false"/>
        </w:rPr>
        <w:t> </w:t>
      </w:r>
    </w:p>
    <w:tbl>
      <w:tblPr>
        <w:tblW w:w="8146" w:type="dxa"/>
        <w:jc w:val="left"/>
        <w:tblInd w:w="0" w:type="dxa"/>
        <w:tblLayout w:type="fixed"/>
        <w:tblCellMar>
          <w:top w:w="0" w:type="dxa"/>
          <w:left w:w="0" w:type="dxa"/>
          <w:bottom w:w="28" w:type="dxa"/>
          <w:right w:w="0" w:type="dxa"/>
        </w:tblCellMar>
      </w:tblPr>
      <w:tblGrid>
        <w:gridCol w:w="3065"/>
        <w:gridCol w:w="60"/>
        <w:gridCol w:w="231"/>
        <w:gridCol w:w="898"/>
        <w:gridCol w:w="60"/>
        <w:gridCol w:w="60"/>
        <w:gridCol w:w="280"/>
        <w:gridCol w:w="1089"/>
        <w:gridCol w:w="80"/>
        <w:gridCol w:w="60"/>
        <w:gridCol w:w="173"/>
        <w:gridCol w:w="761"/>
        <w:gridCol w:w="80"/>
        <w:gridCol w:w="60"/>
        <w:gridCol w:w="231"/>
        <w:gridCol w:w="898"/>
        <w:gridCol w:w="60"/>
      </w:tblGrid>
      <w:tr>
        <w:trPr/>
        <w:tc>
          <w:tcPr>
            <w:tcW w:w="306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the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Write offs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Against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Recoveries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tcMar>
              <w:bottom w:w="0" w:type="dxa"/>
            </w:tcMar>
            <w:vAlign w:val="center"/>
          </w:tcPr>
          <w:p>
            <w:pPr>
              <w:pStyle w:val="TableContents"/>
              <w:bidi w:val="0"/>
              <w:spacing w:before="0" w:after="283"/>
              <w:jc w:val="left"/>
              <w:rPr/>
            </w:pPr>
            <w:r>
              <w:rPr/>
              <w:t> </w:t>
            </w:r>
          </w:p>
        </w:tc>
      </w:tr>
      <w:tr>
        <w:trPr/>
        <w:tc>
          <w:tcPr>
            <w:tcW w:w="30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1" w:type="dxa"/>
            <w:tcBorders/>
            <w:tcMar>
              <w:bottom w:w="0" w:type="dxa"/>
            </w:tcMar>
            <w:vAlign w:val="center"/>
          </w:tcPr>
          <w:p>
            <w:pPr>
              <w:pStyle w:val="TableContents"/>
              <w:bidi w:val="0"/>
              <w:spacing w:before="0" w:after="283"/>
              <w:jc w:val="left"/>
              <w:rPr/>
            </w:pPr>
            <w:r>
              <w:rPr/>
              <w:t> </w:t>
            </w:r>
          </w:p>
        </w:tc>
        <w:tc>
          <w:tcPr>
            <w:tcW w:w="8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0" w:type="dxa"/>
            <w:tcBorders/>
            <w:tcMar>
              <w:bottom w:w="0" w:type="dxa"/>
            </w:tcMar>
            <w:vAlign w:val="center"/>
          </w:tcPr>
          <w:p>
            <w:pPr>
              <w:pStyle w:val="TableContents"/>
              <w:bidi w:val="0"/>
              <w:spacing w:before="0" w:after="283"/>
              <w:jc w:val="left"/>
              <w:rPr/>
            </w:pPr>
            <w:r>
              <w:rPr/>
              <w:t> </w:t>
            </w:r>
          </w:p>
        </w:tc>
        <w:tc>
          <w:tcPr>
            <w:tcW w:w="1089"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 w:type="dxa"/>
            <w:tcBorders/>
            <w:tcMar>
              <w:bottom w:w="0" w:type="dxa"/>
            </w:tcMar>
            <w:vAlign w:val="center"/>
          </w:tcPr>
          <w:p>
            <w:pPr>
              <w:pStyle w:val="TableContents"/>
              <w:bidi w:val="0"/>
              <w:spacing w:before="0" w:after="283"/>
              <w:jc w:val="left"/>
              <w:rPr/>
            </w:pPr>
            <w:r>
              <w:rPr/>
              <w:t> </w:t>
            </w:r>
          </w:p>
        </w:tc>
        <w:tc>
          <w:tcPr>
            <w:tcW w:w="761"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1" w:type="dxa"/>
            <w:tcBorders/>
            <w:tcMar>
              <w:bottom w:w="0" w:type="dxa"/>
            </w:tcMar>
            <w:vAlign w:val="center"/>
          </w:tcPr>
          <w:p>
            <w:pPr>
              <w:pStyle w:val="TableContents"/>
              <w:bidi w:val="0"/>
              <w:spacing w:before="0" w:after="283"/>
              <w:jc w:val="left"/>
              <w:rPr/>
            </w:pPr>
            <w:r>
              <w:rPr/>
              <w:t> </w:t>
            </w:r>
          </w:p>
        </w:tc>
        <w:tc>
          <w:tcPr>
            <w:tcW w:w="8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30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receivables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Manufacturers’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ind w:left="0" w:right="0" w:hanging="0"/>
              <w:jc w:val="left"/>
              <w:rPr/>
            </w:pPr>
            <w:r>
              <w:rPr/>
              <w:t> </w:t>
            </w:r>
          </w:p>
        </w:tc>
        <w:tc>
          <w:tcPr>
            <w:tcW w:w="89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pPr>
            <w:r>
              <w:rPr/>
              <w:t> </w:t>
            </w:r>
          </w:p>
        </w:tc>
        <w:tc>
          <w:tcPr>
            <w:tcW w:w="76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ind w:left="0" w:right="0" w:hanging="0"/>
              <w:jc w:val="left"/>
              <w:rPr/>
            </w:pPr>
            <w:r>
              <w:rPr/>
              <w:t> </w:t>
            </w:r>
          </w:p>
        </w:tc>
        <w:tc>
          <w:tcPr>
            <w:tcW w:w="89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Leasing, parts and service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ind w:left="0" w:right="0" w:hanging="0"/>
              <w:jc w:val="left"/>
              <w:rPr/>
            </w:pPr>
            <w:r>
              <w:rPr/>
              <w:t> </w:t>
            </w:r>
          </w:p>
        </w:tc>
        <w:tc>
          <w:tcPr>
            <w:tcW w:w="8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ind w:left="0" w:right="0" w:hanging="0"/>
              <w:jc w:val="left"/>
              <w:rPr/>
            </w:pPr>
            <w:r>
              <w:rPr/>
              <w:t> </w:t>
            </w:r>
          </w:p>
        </w:tc>
        <w:tc>
          <w:tcPr>
            <w:tcW w:w="10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76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ind w:left="0" w:right="0" w:hanging="0"/>
              <w:jc w:val="left"/>
              <w:rPr/>
            </w:pPr>
            <w:r>
              <w:rPr/>
              <w:t> </w:t>
            </w:r>
          </w:p>
        </w:tc>
        <w:tc>
          <w:tcPr>
            <w:tcW w:w="8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8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8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2,501</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170"/>
        <w:gridCol w:w="480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48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FLOOR PLAN NOTES PAYABLE AND LINE OF CREDIT</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 xml:space="preserve">Floor Plan Notes Payable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Floor plan notes are financing agreements to facilitate the Company’s purchase of new and used commercial vehicle inventory. These notes are collateralized by the inventory purchased, and accounts receivable arising from the sale thereof. The Company’s BMO Floor Plan Credit Agreement provides for a loan commitment of up to $675.0 million. The interest rate under the BMO Floor Plan Credit Agreement is the one-month SOFR, plus 1.20%. The effective interest rate applicable to the BMO Floor Plan Credit Agreement was approximately 4.99%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PFC Floor Plan Credit Agreement with PFC provides for a loan commitment of up to $800.0 million. The interest rate under the PFC Floor Plan Credit Agreement is the prime rate, minus 2.10%. The effective interest rate applicable to the PFC Floor Plan Credit Agreement was approximately 4.65%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RTC Canada Floor Plan Credit Agreement provides for a loan commitment of up to $171.7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required to be made in CAD dollars under the RTC Canada Floor Plan Credit Agreement bear interest per annum, payable monthly, at CORRA, plus 1.27%. Advances required to be made in USD dollars bear interest per annum, payable monthly, at SOFR, plus 1.20%. The RTC Canada Floor Plan Credit Agreement expires on September 14, 2026. The effective interest rate applicable to the RTC Canada Floor Plan Credit Agreement was approximately 3.57%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finances all of the purchase price of its new non-Peterbilt commercial vehicle inventory and the loan value of its used commercial vehicle inventory under the BMO Floor Plan Credit Agreement and the RTC Canada Floor Plan Agreement, under which BMO Bank and BMO pay the manufacturer directly with respect to new commercial vehicles. Amounts borrowed under the agreements are due when the related commercial vehicle inventory (collateral) is sold. The BMO Floor Plan Credit Agreement expires December 31, 2029, although BMO. has the right to terminate the BMO Floor Plan Credit Agreement at any time upon 360 days written notice and the Company may terminate at any time, subject to specified limited exceptions. The Company finances all of the purchase price of its new Peterbilt commercial vehicle inventory under the PFC Floor Plan Credit Agreement, under which we pay the manufacturer directly with respect to new Peterbilt commercial vehicles. Amounts borrowed under the agreements are due when the related commercial vehicle inventory (collateral) is sold. The PFC Floor Plan Credit Agreement expires December 16, 2029, although either party has the right to terminate the PFC Floor Plan Credit Agreement at any time upon 360 days written notice. On December 31, 2025, we had approximately $380.0 million outstanding under the PFC Floor Plan Credit Agreement. On December 31, 2025, the Company had approximately $263.7 million outstanding under its BMO Floor Plan Credit Agreement. The Company’s RTC Canada Floor Plan Credit Agreement expires September 14, 2026. On December 31, 2025, the Company had approximately $81.7 million CAD outstanding under the RTC Canada Floor Plan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weighted average interest rate for floor plan notes payable was 3.5% for the year ended December 31, 2025, and 4.4% for the year ended December 31, 2024, which is net of interest related to prepayments of new and used inventory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Assets pledged as collateral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430"/>
        <w:gridCol w:w="60"/>
        <w:gridCol w:w="125"/>
        <w:gridCol w:w="845"/>
        <w:gridCol w:w="60"/>
        <w:gridCol w:w="60"/>
        <w:gridCol w:w="125"/>
        <w:gridCol w:w="845"/>
        <w:gridCol w:w="60"/>
      </w:tblGrid>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new and used vehicles at cost based on specific identification, net of allowance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1,427,196</w:t>
            </w:r>
          </w:p>
        </w:tc>
        <w:tc>
          <w:tcPr>
            <w:tcW w:w="6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Vehicle sale-related 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197,186</w:t>
            </w:r>
          </w:p>
        </w:tc>
        <w:tc>
          <w:tcPr>
            <w:tcW w:w="6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1,624,382</w:t>
            </w:r>
          </w:p>
        </w:tc>
        <w:tc>
          <w:tcPr>
            <w:tcW w:w="6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Floor plan notes payable related to vehicles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1,081,199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 line of credit that provides for a maximum borrowing of $25.0 million. There were no advances outstanding under this secured line of credit as of December 31, 2025, however, $18.7 million was pledged to secure various letters of credit related to self-insurance products, leaving $6.3 million available for future borrowings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170"/>
        <w:gridCol w:w="177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17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LONG-TERM DEBT</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Long-term debt was comprised of the following variable interest rate term notes (in thousands):</w:t>
      </w:r>
    </w:p>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3725"/>
        <w:gridCol w:w="60"/>
        <w:gridCol w:w="125"/>
        <w:gridCol w:w="695"/>
        <w:gridCol w:w="60"/>
        <w:gridCol w:w="60"/>
        <w:gridCol w:w="125"/>
        <w:gridCol w:w="695"/>
        <w:gridCol w:w="6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interest rate term notes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408,440</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debt, net of current maturities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408,440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long-term debt maturities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785" w:type="dxa"/>
        <w:jc w:val="left"/>
        <w:tblInd w:w="0" w:type="dxa"/>
        <w:tblLayout w:type="fixed"/>
        <w:tblCellMar>
          <w:top w:w="0" w:type="dxa"/>
          <w:left w:w="0" w:type="dxa"/>
          <w:bottom w:w="0" w:type="dxa"/>
          <w:right w:w="0" w:type="dxa"/>
        </w:tblCellMar>
      </w:tblPr>
      <w:tblGrid>
        <w:gridCol w:w="845"/>
        <w:gridCol w:w="60"/>
        <w:gridCol w:w="125"/>
        <w:gridCol w:w="695"/>
        <w:gridCol w:w="60"/>
      </w:tblGrid>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29,519</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22,405</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220,127</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2,620</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274,798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14, 2021, the Company entered the WF Credit Agreement with the WF Lenders and the WF Agent. Pursuant to the terms of the WF Credit Agreement (as amended), the WF Lenders have agreed to make up to $175.0 million of revolving credit loans for certain of the Company’s capital expenditures, including commercial vehicle purchases for the Company’s Idealease lease and rental fleet, and general working capital needs. Borrowings under the WF Credit Agreement bear interest per annum, payable on each interest payment date, at (A) SOFR plus (i) 1.25% or (ii) 1.5%, depending on the Company’s consolidated leverage ratio or (B) on or after the term SOFR transition date, the term SOFR plus (i) 1.25% or (ii) 1.5%, depending on the Company’s consolidated leverage ratio. Effective September 30, 2025, the WF Credit Agreement was amended to, amongst other things, extend the expiration date to September 30, 2028, although, upon the occurrence and during the continuance of an event of default, the agent has the right to, or upon the request of the required lenders must, terminate the commitments and declare all outstanding principal and interest due and payable. The Company may terminate the commitments at any time. The Company expects to use the revolving credit loans available under the WF Credit Agreement primarily for the purpose of purchasing commercial vehicles for the Company’s Idealease lease and rental fleet.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1, 2023, the Company entered into the PLC Agreement with PFC. Pursuant to the terms of the PLC Agreement (as amended), PLC agreed to make up to $500.0 million of revolving credit loans to finance certain of the Company’s capital expenditures, including commercial vehicle purchases and other equipment to be leased or rented through its PacLease franchises. The Company may borrow, repay and reborrow amounts pursuant to the PLC Agreement from time to time until the maturity date, provided, however, that the outstanding principal amount on any date shall not exceed the borrowing base. In addition, the Company must maintain a minimum balance of $220.0 million. Advances under the PLC Agreement bear interest per annum, payable on the fifth day of the following month, at the Company’s option, at either (A) the prime rate, minus 2.10%, provided that the floating rate of interest is subject to a floor of 0%, or (B) a fixed rate, to be determined between us and PLC in each instance of borrowing at a fixed rate. The PLC Agreement expires on December 16, 2029, although either party has the right to terminate the PLC Agreement at any time upon 360 days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31, 2022, RTC Canada entered into the RTC Canada Revolving Credit Agreement with BMO.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CAD available upon the request of RTC Canada and consent of BMO. Borrowings under the RTC Revolving Credit Agreement bear interest per annum payable monthly at CORRA, plus 1.72%. The RTC Canada Revolving Credit Agreement expires 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interest associated with the WF Credit Agreement, PLC Agreement and RTC Canada Revolving Credit Agreement is recorded in interest expense on the Consolidated Statement of Income. The WF Credit Agreement, PLC Agreement and RTC Canada Revolving Credit Agreement are general borrowing facilities, whereas prior to these credit agreements, interest expense associated with the Company’s lease and rental fleet was recorded in cost of sales as the borrowings were directly related to each lease and rental vehicle.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BMO Floor Plan Credit Agreement and the WF Credit Agreement require the Company to satisfy various financial ratios such as the leverage ratio, the asset coverage ratio and the fixed charge coverage ratio. As of December 31, 2025, the Company was in compliance with all debt covenants related to the BMO Floor Plan Credit Agreement and the WF Credit Agreement. The Company does not anticipate any breach of the covenants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$40.4 million CAD outstanding revolving credit loans pursuant to terms of the RTC Canada Revolving Credit Agreement maturing on September 16, 2026, have been classified as long-term debt under the assumption that the Company’s WF Credit Agreement (as amended) could be used to refinance this debt, if required. On December 31, 2025, the Company had $152.7 million in availability under the WF Credit Agreement. The Company intends to refinance the RTC Canada Revolving Credit Agreement in 2026.</w:t>
      </w:r>
    </w:p>
    <w:p>
      <w:pPr>
        <w:pStyle w:val="TextBody"/>
        <w:bidi w:val="0"/>
        <w:spacing w:before="0" w:after="0"/>
        <w:ind w:left="0" w:right="0" w:hanging="0"/>
        <w:jc w:val="both"/>
        <w:rPr/>
      </w:pPr>
      <w:r>
        <w:rPr/>
        <w:t> </w:t>
      </w:r>
    </w:p>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170"/>
        <w:gridCol w:w="411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41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FINANCIAL INSTRUMENTS AND FAIR VALUE</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December 31, 2025, and 2024. The carrying value of current assets and current liabilities approximates the fair value due to the short maturity of these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Company has categorized such debt within Level 2 of the hierarchy framework. The carrying amount approximates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1060" w:type="dxa"/>
        <w:jc w:val="left"/>
        <w:tblInd w:w="0" w:type="dxa"/>
        <w:tblLayout w:type="fixed"/>
        <w:tblCellMar>
          <w:top w:w="0" w:type="dxa"/>
          <w:left w:w="0" w:type="dxa"/>
          <w:bottom w:w="0" w:type="dxa"/>
          <w:right w:w="0" w:type="dxa"/>
        </w:tblCellMar>
      </w:tblPr>
      <w:tblGrid>
        <w:gridCol w:w="275"/>
        <w:gridCol w:w="78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7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LEASES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Company’s accounting policy with respect to leases complies with ASU 842, </w:t>
      </w:r>
      <w:r>
        <w:rPr>
          <w:rFonts w:ascii="Times New Roman" w:hAnsi="Times New Roman"/>
          <w:i/>
          <w:caps w:val="false"/>
          <w:smallCaps w:val="false"/>
          <w:sz w:val="20"/>
        </w:rPr>
        <w:t xml:space="preserve">Leases </w:t>
      </w:r>
      <w:r>
        <w:rPr>
          <w:rFonts w:ascii="Times New Roman" w:hAnsi="Times New Roman"/>
          <w:caps w:val="false"/>
          <w:smallCaps w:val="false"/>
          <w:sz w:val="20"/>
        </w:rPr>
        <w:t>(“Topic 842”). The standard requires lessees to record assets and liabilities on the balance sheet for all leases with terms longer than twelve months. Leases are classified as either finance or operating, with classification affecting the pattern of expense recognition in the income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lease is classified as a finance lease if any of the following conditions exist on the date of lease commencement: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lease transfers ownership of the underlying asset to the lessee by the end of the lease term.</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lease provides the lessee an option to purchase the underlying asset, and that option is reasonably certain to be exercised.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lease term is for a major part of the remaining economic life of the underlying asset.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present value of the lease payments equals or exceeds substantially all of the fair value of the underlying asset.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underlying asset is of such a specialized nature that only the lessee can use it without major modifications.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lessor expects to have no alternative use for the leased asset at the end of the 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applied the practical expedients permitted under Topic 842 during implementation, which among other things, allowed it to retain its existing assessment of whether an arrangement is, or contains, a lease and whether such lease is classified as an operating or finance lease. The Company made an accounting policy election that keeps leases with an initial term of twelve months or less off the balance sheet and results in recognizing those lease payments in the Consolidated Statements of Income and Comprehensive Income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leases certain commercial vehicles and real estate under finance and operating leases. The Company determines whether an arrangement is a lease at its inception. For leases with terms greater than twelve months, the Company records the related asset and obligation at the present value of lease payments over the term. Many of the Company’s leases include renewal options and/or termination options that are factored into its determination of lease payments when appropriate. The Company has elected not to account for lease and nonlease components as a single combined lease component as lessee. 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Lease of Vehicles as Lessee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leases commercial vehicles as the lessee under finance leases and operating leases. The lease terms vary from one year to ten years. These vehicles are then subleased or rented by the Company to customers under various agreements. The Company received sublease income under non-cancelable subleases of $60.0 million for the year ended December 31, 2025, $54.3 million for the year ended December 31, 2024 and $50.0 million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usually guarantees the residual value of vehicles under operating lease and finance lease arrangements. As of December 31, 2025, the Company guaranteed commercial vehicle residual values of approximately $62.2 million under operating lease and finance lease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Lease of Facilities as Lessee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facility leases are classified as operating and finance leases and primarily reflect its use of dealership facilities and office space. The lease terms vary from one year to 83 years, some of which include options to extend the lease term, and some of which include options to terminate the lease within one year. The Company considers these options in determining the lease term used to establish its right-of-use assets and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leases facilities in Ontario, Canada from entities owned by the noncontrolling interest holder of RTC Canada. In 2025, the Company recorded approximately $2.3 million in operating lease expense related to these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Lease Costs and Supplemental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Components of lease cost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4445"/>
        <w:gridCol w:w="3065"/>
        <w:gridCol w:w="60"/>
        <w:gridCol w:w="125"/>
        <w:gridCol w:w="590"/>
        <w:gridCol w:w="60"/>
        <w:gridCol w:w="60"/>
        <w:gridCol w:w="125"/>
        <w:gridCol w:w="590"/>
        <w:gridCol w:w="60"/>
        <w:gridCol w:w="60"/>
        <w:gridCol w:w="125"/>
        <w:gridCol w:w="590"/>
        <w:gridCol w:w="75"/>
      </w:tblGrid>
      <w:tr>
        <w:trPr/>
        <w:tc>
          <w:tcPr>
            <w:tcW w:w="4445"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85"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 December 31,</w:t>
            </w:r>
          </w:p>
        </w:tc>
        <w:tc>
          <w:tcPr>
            <w:tcW w:w="75" w:type="dxa"/>
            <w:tcBorders/>
            <w:vAlign w:val="center"/>
          </w:tcPr>
          <w:p>
            <w:pPr>
              <w:pStyle w:val="TableContents"/>
              <w:bidi w:val="0"/>
              <w:spacing w:before="0" w:after="283"/>
              <w:jc w:val="left"/>
              <w:rPr/>
            </w:pPr>
            <w:r>
              <w:rPr/>
              <w:t> </w:t>
            </w:r>
          </w:p>
        </w:tc>
      </w:tr>
      <w:tr>
        <w:trPr/>
        <w:tc>
          <w:tcPr>
            <w:tcW w:w="44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Component</w:t>
            </w:r>
          </w:p>
        </w:tc>
        <w:tc>
          <w:tcPr>
            <w:tcW w:w="30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Classification</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306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SG&amp;A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14,924</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306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cost of products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5,981</w:t>
            </w:r>
          </w:p>
        </w:tc>
        <w:tc>
          <w:tcPr>
            <w:tcW w:w="7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cost – amortization of right-of-use assets</w:t>
            </w:r>
          </w:p>
        </w:tc>
        <w:tc>
          <w:tcPr>
            <w:tcW w:w="306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cost of products sold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24,655</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cost – interest on lease liabilities</w:t>
            </w:r>
          </w:p>
        </w:tc>
        <w:tc>
          <w:tcPr>
            <w:tcW w:w="306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cost of products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5,454</w:t>
            </w:r>
          </w:p>
        </w:tc>
        <w:tc>
          <w:tcPr>
            <w:tcW w:w="7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w:t>
            </w:r>
          </w:p>
        </w:tc>
        <w:tc>
          <w:tcPr>
            <w:tcW w:w="306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SG&amp;A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Supplemental cash flow information and non-cash activity related to operating and finance leases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8810" w:type="dxa"/>
        <w:jc w:val="left"/>
        <w:tblInd w:w="0" w:type="dxa"/>
        <w:tblLayout w:type="fixed"/>
        <w:tblCellMar>
          <w:top w:w="0" w:type="dxa"/>
          <w:left w:w="0" w:type="dxa"/>
          <w:bottom w:w="0" w:type="dxa"/>
          <w:right w:w="0" w:type="dxa"/>
        </w:tblCellMar>
      </w:tblPr>
      <w:tblGrid>
        <w:gridCol w:w="6290"/>
        <w:gridCol w:w="60"/>
        <w:gridCol w:w="125"/>
        <w:gridCol w:w="590"/>
        <w:gridCol w:w="60"/>
        <w:gridCol w:w="60"/>
        <w:gridCol w:w="125"/>
        <w:gridCol w:w="590"/>
        <w:gridCol w:w="60"/>
        <w:gridCol w:w="60"/>
        <w:gridCol w:w="125"/>
        <w:gridCol w:w="590"/>
        <w:gridCol w:w="75"/>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85"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 December 31,</w:t>
            </w:r>
          </w:p>
        </w:tc>
        <w:tc>
          <w:tcPr>
            <w:tcW w:w="75"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75"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both"/>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26,359</w:t>
            </w:r>
          </w:p>
        </w:tc>
        <w:tc>
          <w:tcPr>
            <w:tcW w:w="75"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both"/>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17,693</w:t>
            </w:r>
          </w:p>
        </w:tc>
        <w:tc>
          <w:tcPr>
            <w:tcW w:w="75"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activity: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both"/>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obtained in exchange for lease obligations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40,093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Weighted-average remaining lease term and discount rate for operating and finance leases as of December 31, 2025, are as follows:</w:t>
      </w:r>
    </w:p>
    <w:p>
      <w:pPr>
        <w:pStyle w:val="TextBody"/>
        <w:bidi w:val="0"/>
        <w:spacing w:before="0" w:after="0"/>
        <w:ind w:left="0" w:right="0" w:hanging="0"/>
        <w:jc w:val="left"/>
        <w:rPr>
          <w:caps w:val="false"/>
          <w:smallCaps w:val="false"/>
        </w:rPr>
      </w:pPr>
      <w:r>
        <w:rPr>
          <w:caps w:val="false"/>
          <w:smallCaps w:val="false"/>
        </w:rPr>
        <w:t> </w:t>
      </w:r>
    </w:p>
    <w:tbl>
      <w:tblPr>
        <w:tblW w:w="7208" w:type="dxa"/>
        <w:jc w:val="left"/>
        <w:tblInd w:w="0" w:type="dxa"/>
        <w:tblLayout w:type="fixed"/>
        <w:tblCellMar>
          <w:top w:w="0" w:type="dxa"/>
          <w:left w:w="0" w:type="dxa"/>
          <w:bottom w:w="0" w:type="dxa"/>
          <w:right w:w="0" w:type="dxa"/>
        </w:tblCellMar>
      </w:tblPr>
      <w:tblGrid>
        <w:gridCol w:w="4040"/>
        <w:gridCol w:w="60"/>
        <w:gridCol w:w="223"/>
        <w:gridCol w:w="1026"/>
        <w:gridCol w:w="185"/>
        <w:gridCol w:w="60"/>
        <w:gridCol w:w="252"/>
        <w:gridCol w:w="1162"/>
        <w:gridCol w:w="200"/>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200"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10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20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0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Maturities of lease liabilities by fiscal year for finance leases and operating leases as of December 31, 2025,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2600"/>
        <w:gridCol w:w="60"/>
        <w:gridCol w:w="125"/>
        <w:gridCol w:w="695"/>
        <w:gridCol w:w="80"/>
        <w:gridCol w:w="60"/>
        <w:gridCol w:w="126"/>
        <w:gridCol w:w="704"/>
        <w:gridCol w:w="9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Leases</w:t>
            </w:r>
          </w:p>
        </w:tc>
        <w:tc>
          <w:tcPr>
            <w:tcW w:w="9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25,106</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24,424</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22,254</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19,866</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16,220</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 and beyond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49,801</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157,671</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(30,688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126,983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Lease of Vehicles as Lessor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leases commercial vehicles that the Company owns to customers primarily over periods of one to ten years. The Company applied the practical expedient permitted within Topic 842 that allows it not to separate lease and nonlease components. Nonlease components typically consist of maintenance and licensing for the commercial vehicle. The variable nonlease components are generally based on mileage. Some leases contain an option for the lessee to purchase the commercial vehicle.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Sales-type leases are recognized by the Company as lease receivables. The lessee obtains control of the underlying asset and the Company recognizes sales revenue upon lease commencement. The receivable for sales-type leases as of December 31, 2025, in the amount of $4.1 million is reflected in Other Assets on the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Minimum rental revenue to be received for non-cancelable leases and subleases in effect as of December 31, 2025,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785" w:type="dxa"/>
        <w:jc w:val="left"/>
        <w:tblInd w:w="0" w:type="dxa"/>
        <w:tblLayout w:type="fixed"/>
        <w:tblCellMar>
          <w:top w:w="0" w:type="dxa"/>
          <w:left w:w="0" w:type="dxa"/>
          <w:bottom w:w="0" w:type="dxa"/>
          <w:right w:w="0" w:type="dxa"/>
        </w:tblCellMar>
      </w:tblPr>
      <w:tblGrid>
        <w:gridCol w:w="845"/>
        <w:gridCol w:w="60"/>
        <w:gridCol w:w="125"/>
        <w:gridCol w:w="695"/>
        <w:gridCol w:w="60"/>
      </w:tblGrid>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227,194</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195,722</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159,432</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119,142</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70,381</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33,516</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805,387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Rental income during the year ended December 31, 2025, and 2024,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2165"/>
        <w:gridCol w:w="60"/>
        <w:gridCol w:w="125"/>
        <w:gridCol w:w="695"/>
        <w:gridCol w:w="60"/>
        <w:gridCol w:w="60"/>
        <w:gridCol w:w="125"/>
        <w:gridCol w:w="695"/>
        <w:gridCol w:w="60"/>
        <w:gridCol w:w="60"/>
        <w:gridCol w:w="125"/>
        <w:gridCol w:w="695"/>
        <w:gridCol w:w="60"/>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Minimum rental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306,897</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Nonlease payments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44,471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44,887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46,883</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369,555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354,939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353,780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275"/>
        <w:gridCol w:w="599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5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SHARE BASED COMPENSATION AND EMPLOYEE BENEFIT PLANS</w:t>
            </w:r>
            <w:r>
              <w:rPr>
                <w:rFonts w:ascii="Times New Roman;Times;serif" w:hAnsi="Times New Roman;Times;serif"/>
                <w:caps w:val="false"/>
                <w:smallCaps w:val="false"/>
                <w:sz w:val="20"/>
              </w:rPr>
              <w:t>:</w:t>
            </w:r>
            <w:r>
              <w:rPr>
                <w:rFonts w:ascii="Times New Roman;Times;serif" w:hAnsi="Times New Roman;Times;serif"/>
                <w:caps w:val="false"/>
                <w:smallCaps w:val="false"/>
                <w:sz w:val="20"/>
                <w:u w:val="singl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2004 Employee Stock Purchase Plan, as amended and restated (the “Employee Stock Purchase Plan”), allows eligible employees to contribute up to $10,625 of their base earnings every six months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 Employees may purchase shares having a fair market value of up to $25,000 (measured as of the first day of each semi-annual offering period) for each calendar year. On May 16, 2023, the Company’s shareholders approved the amendment and restatement of the Employee Stock Purchase Plan to increase the number of shares of Class A common stock authorized for issuance thereunder by 600,000 shares. Under the Employee Stock Purchase Plan, there are approximately 701,920 shares remaining of the 4,650,000 shares of the Company’s Class A common stock that were reserved for issuance. The Company issued 184,589 shares under the Employee Stock Purchase Plan during the year ended December 31, 2025, and 195,540 shares during the year ended December 31, 2024. Of the 7,391 employees eligible to participate, approximately 2,433 elected to participate in the plan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Non-Employee Director Stock Option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Rush Enterprises, Inc. 2006 Non-Employee Director Stock Option Plan, as amended and restated (the “Director Plan”), reserved 1,125,000 shares of Class A common stock for issuance upon exercise of any awards granted under the plan. The Director Plan is designed to attract and retain highly qualified non-employee directors. Currently, each non-employee director receives a grant of the Company’s Class A common stock equivalent to a compensation value of $145,000; provided however, that directors may elect to receive up to 40% of the value of such grant in cash. In 2025, two non-employee directors each received a grant of 2,810 shares of the Company’s Class A common stock, two non-employee directors each received a grant of 2,107 shares of the Company’s Class A common stock and $36,250 cash, one non-employee director received a grant of 1,967 shares of the Company’s Class A common stock and $43,500 cash and two non-employee directors received a grant of 1,686 shares of the Company’s Class A common stock and $58,000 cash. In 2024, three non-employee directors each received a grant of 3,230 shares of the Company’s Class A common stock, three non-employee directors each received a grant of 1,938 shares of the Company’s Class A common stock and $58,000 cash and one non-employee director received a grant of 2,261 shares of the Company’s Class A common stock and $43,499 cash, for total compensation equivalent to $145,000 each. Under the Director Plan, there are approximately 147,360 shares remaining for issuance of the 1,125,000 shares of the Company’s Class A common stock that were reserved for issuance. The Company granted 15,173 shares of Class A common stock under the Director Plan during the year ended December 31, 2025, and 17,765 shares of Class A common stock under the Director Plan during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Employee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was amended and restated on May 20, 2014, May 16, 2017, May 12, 2020, and May 16, 2023. The number of shares available for issuance under the plan include 21,600,000 shares of Class A common stock and 9,000,000 shares of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aggregate number of shares of common stock subject to stock options or SARs that may be granted to any one participant in any year under the 2007 Incentive Plan is 150,000 shares of Class A common stock or 150,000 shares of Class B common stock. Each option granted pursuant to the 2007 Incentive Plan has a ten-year term from the grant date and vests in three equal annual installments beginning on the third anniversary of the grant date. As of December 31, 2025, approximately 2,610,940 shares of Class A common stock and 1,667,925 shares of Class B common stock are available for issuance under the Company’s 2007 Incentive Plan. The Company issues new shares of its Class A or Class B common stock upon the exercise of stock options or vesting of restricted stock awards. During the year ended December 31, 2025, the Company granted employees 549,400 options to purchase Class A common stock and 385,375 restricted Class B common stock awards under the 2007 Incentive Plan. During the year ended December 31, 2024, the Company granted employees 538,700 options to purchase Class A common stock and 398,525 shares of restricted Class B common stock awards under the 2007 Incentive Plan. Restricted stock awards are issued when granted but are subject to vesting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Valuation and Expense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Stock-based compensation expense related to stock options, restricted stock awards and employee stock purchases was $31.7 million for the year ended December 31, 2025, $30.4 million for the year ended December 31, 2024, and $30.4 million for the year ended December 31, 2023. Cash received from options exercised and shares purchased under all share-based payment arrangements was $16.3 million for the year ended December 31, 2025, $25.4 million for the year ended December 31, 2024, and $18.0 million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summary of the Company’s stock option activity and related information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9004" w:type="dxa"/>
        <w:jc w:val="left"/>
        <w:tblInd w:w="0" w:type="dxa"/>
        <w:tblLayout w:type="fixed"/>
        <w:tblCellMar>
          <w:top w:w="0" w:type="dxa"/>
          <w:left w:w="0" w:type="dxa"/>
          <w:bottom w:w="0" w:type="dxa"/>
          <w:right w:w="0" w:type="dxa"/>
        </w:tblCellMar>
      </w:tblPr>
      <w:tblGrid>
        <w:gridCol w:w="4445"/>
        <w:gridCol w:w="60"/>
        <w:gridCol w:w="60"/>
        <w:gridCol w:w="845"/>
        <w:gridCol w:w="80"/>
        <w:gridCol w:w="60"/>
        <w:gridCol w:w="167"/>
        <w:gridCol w:w="648"/>
        <w:gridCol w:w="60"/>
        <w:gridCol w:w="60"/>
        <w:gridCol w:w="204"/>
        <w:gridCol w:w="955"/>
        <w:gridCol w:w="60"/>
        <w:gridCol w:w="60"/>
        <w:gridCol w:w="125"/>
        <w:gridCol w:w="1055"/>
        <w:gridCol w:w="60"/>
      </w:tblGrid>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Aggregate</w:t>
            </w:r>
          </w:p>
        </w:tc>
        <w:tc>
          <w:tcPr>
            <w:tcW w:w="6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Intrinsic</w:t>
            </w:r>
          </w:p>
        </w:tc>
        <w:tc>
          <w:tcPr>
            <w:tcW w:w="60" w:type="dxa"/>
            <w:tcBorders/>
            <w:vAlign w:val="center"/>
          </w:tcPr>
          <w:p>
            <w:pPr>
              <w:pStyle w:val="TableContents"/>
              <w:bidi w:val="0"/>
              <w:spacing w:before="0" w:after="283"/>
              <w:jc w:val="left"/>
              <w:rPr/>
            </w:pPr>
            <w:r>
              <w:rPr/>
              <w:t> </w:t>
            </w:r>
          </w:p>
        </w:tc>
      </w:tr>
      <w:tr>
        <w:trPr/>
        <w:tc>
          <w:tcPr>
            <w:tcW w:w="44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Options</w:t>
            </w:r>
          </w:p>
        </w:tc>
        <w:tc>
          <w:tcPr>
            <w:tcW w:w="60" w:type="dxa"/>
            <w:tcBorders/>
            <w:vAlign w:val="center"/>
          </w:tcPr>
          <w:p>
            <w:pPr>
              <w:pStyle w:val="TableContents"/>
              <w:bidi w:val="0"/>
              <w:spacing w:before="0" w:after="283"/>
              <w:ind w:left="2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of Outstanding Options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5,091,852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12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(510,123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12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of Outstanding Options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5,084,129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2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12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116,733,413</w:t>
            </w:r>
          </w:p>
        </w:tc>
        <w:tc>
          <w:tcPr>
            <w:tcW w:w="60"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to vest after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2,513,805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6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16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30,514,145</w:t>
            </w:r>
          </w:p>
        </w:tc>
        <w:tc>
          <w:tcPr>
            <w:tcW w:w="60"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exercisable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2,562,105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12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12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86,124,695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aggregate intrinsic value in the preceding table represents the total pretax intrinsic value, based on the closing price of the Company’s Class A common stock on December 31, 2025, which was $53.94. The total intrinsic value of options exercised was $19.6 million during the year ended December 31, 2025, $47.3 million during the year ended December 31, 2024, and $19.8 million during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summary of the status of the number of shares underlying the Company’s non-vested stock options as of December 31, 2025, and changes during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4834" w:type="dxa"/>
        <w:jc w:val="left"/>
        <w:tblInd w:w="0" w:type="dxa"/>
        <w:tblLayout w:type="fixed"/>
        <w:tblCellMar>
          <w:top w:w="0" w:type="dxa"/>
          <w:left w:w="0" w:type="dxa"/>
          <w:bottom w:w="0" w:type="dxa"/>
          <w:right w:w="0" w:type="dxa"/>
        </w:tblCellMar>
      </w:tblPr>
      <w:tblGrid>
        <w:gridCol w:w="2765"/>
        <w:gridCol w:w="60"/>
        <w:gridCol w:w="60"/>
        <w:gridCol w:w="845"/>
        <w:gridCol w:w="80"/>
        <w:gridCol w:w="60"/>
        <w:gridCol w:w="185"/>
        <w:gridCol w:w="719"/>
        <w:gridCol w:w="60"/>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tc>
        <w:tc>
          <w:tcPr>
            <w:tcW w:w="6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05" w:type="dxa"/>
            <w:gridSpan w:val="2"/>
            <w:tcBorders/>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Grant Date</w:t>
            </w:r>
          </w:p>
        </w:tc>
        <w:tc>
          <w:tcPr>
            <w:tcW w:w="60" w:type="dxa"/>
            <w:tcBorders/>
            <w:vAlign w:val="center"/>
          </w:tcPr>
          <w:p>
            <w:pPr>
              <w:pStyle w:val="TableContents"/>
              <w:bidi w:val="0"/>
              <w:spacing w:before="0" w:after="283"/>
              <w:jc w:val="left"/>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Shares</w:t>
            </w:r>
          </w:p>
        </w:tc>
        <w:tc>
          <w:tcPr>
            <w:tcW w:w="60" w:type="dxa"/>
            <w:tcBorders/>
            <w:vAlign w:val="center"/>
          </w:tcPr>
          <w:p>
            <w:pPr>
              <w:pStyle w:val="TableContents"/>
              <w:bidi w:val="0"/>
              <w:spacing w:before="0" w:after="283"/>
              <w:ind w:left="2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2,852,974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20" w:right="0" w:hanging="0"/>
              <w:jc w:val="left"/>
              <w:rPr/>
            </w:pPr>
            <w:r>
              <w:rPr/>
              <w:t> </w:t>
            </w:r>
          </w:p>
        </w:tc>
        <w:tc>
          <w:tcPr>
            <w:tcW w:w="185" w:type="dxa"/>
            <w:tcBorders/>
            <w:shd w:fill="CCEEFF" w:val="clear"/>
            <w:vAlign w:val="center"/>
          </w:tcPr>
          <w:p>
            <w:pPr>
              <w:pStyle w:val="TableContents"/>
              <w:bidi w:val="0"/>
              <w:spacing w:before="0" w:after="283"/>
              <w:ind w:left="12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w:t>
            </w:r>
          </w:p>
        </w:tc>
        <w:tc>
          <w:tcPr>
            <w:tcW w:w="6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120" w:right="0" w:hanging="0"/>
              <w:jc w:val="left"/>
              <w:rPr/>
            </w:pPr>
            <w:r>
              <w:rPr/>
              <w:t> </w:t>
            </w:r>
          </w:p>
        </w:tc>
        <w:tc>
          <w:tcPr>
            <w:tcW w:w="7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19.01</w:t>
            </w:r>
          </w:p>
        </w:tc>
        <w:tc>
          <w:tcPr>
            <w:tcW w:w="6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(837,600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120" w:right="0" w:hanging="0"/>
              <w:jc w:val="left"/>
              <w:rPr/>
            </w:pPr>
            <w:r>
              <w:rPr/>
              <w:t> </w:t>
            </w:r>
          </w:p>
        </w:tc>
        <w:tc>
          <w:tcPr>
            <w:tcW w:w="7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w:t>
            </w:r>
          </w:p>
        </w:tc>
        <w:tc>
          <w:tcPr>
            <w:tcW w:w="6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7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w:t>
            </w:r>
          </w:p>
        </w:tc>
        <w:tc>
          <w:tcPr>
            <w:tcW w:w="6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2,522,024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20" w:right="0" w:hanging="0"/>
              <w:jc w:val="left"/>
              <w:rPr/>
            </w:pPr>
            <w:r>
              <w:rPr/>
              <w:t> </w:t>
            </w:r>
          </w:p>
        </w:tc>
        <w:tc>
          <w:tcPr>
            <w:tcW w:w="185" w:type="dxa"/>
            <w:tcBorders/>
            <w:shd w:fill="CCEEFF" w:val="clear"/>
            <w:vAlign w:val="center"/>
          </w:tcPr>
          <w:p>
            <w:pPr>
              <w:pStyle w:val="TableContents"/>
              <w:bidi w:val="0"/>
              <w:spacing w:before="0" w:after="283"/>
              <w:ind w:left="12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total fair value of vested options was $6.6 million during the year ended December 31, 2025, $5.8 million during the year ended December 31, 2024, and $5.9 million during the year ended December 31, 2023. The weighted-average grant date fair value of options granted was $19.01 per share during the year ended December 31, 2025, $17.13 per share during the year ended December 31, 2024, and $11.82 per share during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granted restricted stock awards to certain of its employees under the 2007 Incentive Plan during the year ended December 31, 2025. The restricted stock awards granted to employees vest in three equal installments on the first, second and third anniversary of the grant date and are forfeited in the event the recipient’s employment or relationship with the Company is terminated prior to vesting, except as a result of retirement or under certain circumstances associated with a change of control or involuntary termination, as further described in the Company’s executive transition plan. The fair value of the restricted stock awards granted to the Company’s employees is amortized to expense on a straight-line basis over the restricted stock’s vesting period. The shares granted to non-employee directors are expensed on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summary of the Company’s non-vested restricted stock awards at December 31, 2025:</w:t>
      </w:r>
    </w:p>
    <w:p>
      <w:pPr>
        <w:pStyle w:val="TextBody"/>
        <w:bidi w:val="0"/>
        <w:spacing w:before="0" w:after="0"/>
        <w:ind w:left="0" w:right="0" w:hanging="0"/>
        <w:jc w:val="left"/>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4040"/>
        <w:gridCol w:w="60"/>
        <w:gridCol w:w="60"/>
        <w:gridCol w:w="755"/>
        <w:gridCol w:w="80"/>
        <w:gridCol w:w="60"/>
        <w:gridCol w:w="207"/>
        <w:gridCol w:w="967"/>
        <w:gridCol w:w="60"/>
        <w:gridCol w:w="60"/>
        <w:gridCol w:w="125"/>
        <w:gridCol w:w="950"/>
        <w:gridCol w:w="60"/>
        <w:gridCol w:w="60"/>
        <w:gridCol w:w="182"/>
        <w:gridCol w:w="707"/>
        <w:gridCol w:w="60"/>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tc>
        <w:tc>
          <w:tcPr>
            <w:tcW w:w="6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Aggregate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Intrinsic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Grant Date</w:t>
            </w:r>
          </w:p>
        </w:tc>
        <w:tc>
          <w:tcPr>
            <w:tcW w:w="60" w:type="dxa"/>
            <w:tcBorders/>
            <w:vAlign w:val="center"/>
          </w:tcPr>
          <w:p>
            <w:pPr>
              <w:pStyle w:val="TableContents"/>
              <w:bidi w:val="0"/>
              <w:spacing w:before="0" w:after="283"/>
              <w:jc w:val="left"/>
              <w:rPr/>
            </w:pPr>
            <w:r>
              <w:rPr/>
              <w:t> </w:t>
            </w:r>
          </w:p>
        </w:tc>
      </w:tr>
      <w:tr>
        <w:trPr/>
        <w:tc>
          <w:tcPr>
            <w:tcW w:w="40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Stock Awards and Units</w:t>
            </w:r>
          </w:p>
        </w:tc>
        <w:tc>
          <w:tcPr>
            <w:tcW w:w="60" w:type="dxa"/>
            <w:tcBorders/>
            <w:vAlign w:val="center"/>
          </w:tcPr>
          <w:p>
            <w:pPr>
              <w:pStyle w:val="TableContents"/>
              <w:bidi w:val="0"/>
              <w:spacing w:before="0" w:after="283"/>
              <w:ind w:left="2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non-vested shares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20" w:right="0" w:hanging="0"/>
              <w:jc w:val="left"/>
              <w:rPr/>
            </w:pPr>
            <w:r>
              <w:rPr/>
              <w:t> </w:t>
            </w:r>
          </w:p>
        </w:tc>
        <w:tc>
          <w:tcPr>
            <w:tcW w:w="182" w:type="dxa"/>
            <w:tcBorders/>
            <w:shd w:fill="CCEEFF" w:val="clear"/>
            <w:vAlign w:val="center"/>
          </w:tcPr>
          <w:p>
            <w:pPr>
              <w:pStyle w:val="TableContents"/>
              <w:bidi w:val="0"/>
              <w:spacing w:before="0" w:after="283"/>
              <w:ind w:left="12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42.08</w:t>
            </w:r>
          </w:p>
        </w:tc>
        <w:tc>
          <w:tcPr>
            <w:tcW w:w="6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385,375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12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54.09</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2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(489,346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12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39.35</w:t>
            </w:r>
          </w:p>
        </w:tc>
        <w:tc>
          <w:tcPr>
            <w:tcW w:w="6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12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49.45</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non-vested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819,998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9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46,133,087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120" w:right="0" w:hanging="0"/>
              <w:jc w:val="left"/>
              <w:rPr/>
            </w:pPr>
            <w:r>
              <w:rPr/>
              <w:t> </w:t>
            </w:r>
          </w:p>
        </w:tc>
        <w:tc>
          <w:tcPr>
            <w:tcW w:w="182" w:type="dxa"/>
            <w:tcBorders/>
            <w:shd w:fill="CCEEFF" w:val="clear"/>
            <w:vAlign w:val="center"/>
          </w:tcPr>
          <w:p>
            <w:pPr>
              <w:pStyle w:val="TableContents"/>
              <w:bidi w:val="0"/>
              <w:spacing w:before="0" w:after="283"/>
              <w:ind w:left="12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49.25</w:t>
            </w:r>
          </w:p>
        </w:tc>
        <w:tc>
          <w:tcPr>
            <w:tcW w:w="6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to vest after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819,913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9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46,128,315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total fair value of the shares issued upon the vesting of restricted and unrestricted stock awards during the year ended December 31, 2025, was $19.2 million. The weighted-average grant date fair value of stock awards granted was $54.09 per share during the year ended December 31, 2025, $50.64 per share during the year ended December 31, 2024, and $36.97 per share during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the Company had $13.6 million of unrecognized compensation expense related to non-vested employee stock options to be recognized over a weighted-average period of 1.3 years and $13.8 million of unrecognized compensation related to non-vested restricted stock awards to be recognized over a weighted-average period of 2.1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Defined Contribution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 defined contribution plan (the “Rush 401k Plan”) that is available to all U.S. based employees. Each employee who has completed 30 days of continuous service is entitled to enter the Rush 401k Plan on the first day of the following month. Participating employees may contribute from 1% to 50% of their total gross compensation. However, certain highly compensated employees are limited to a maximum contribution of 15% of total gross compensation. The Company’s policy is for the first 10% of an employee’s contribution, the Company contributes an amount equal to 20% of the employees’ contributions for those employees with less than five years of service and an amount equal to 40% of the employees’ contributions for those employees with more than five years of service. The Company incurred expenses related to the Rush 401k Plan of approximately $14.7 million during the year ended December 31, 2025, $14.0 million during the year ended December 31, 2024, and $13.3 million during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Deferred Compensation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6, 2010, the Board of Directors of the Company adopted the Rush Enterprises, Inc. Deferred Compensation Plan (the “Deferred Compensation Plan”) pursuant to which certain employees and directors may elect to defer a portion of their annual compensation. The Deferred Compensation Plan was amended and restated effective May 18, 2021, in order to bring the plan into conformance with current “best” practices. The Company established a rabbi trust to finance obligations under the Deferred Compensation Plan with corporate-owned variable life insurance contracts. Participants are 100% vested in their respective deferrals and the earnings thereon. The first deferral election period began on January 1, 2011. The Company’s liability related to the Deferred Compensation Plan was $34.5 million on December 31, 2025, and $28.1 million on December 31, 2024. The related cash surrender value of the life insurance contracts was $32.2 million on December 31, 2025, and $24.4 million on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currently does not provide any post-retirement benefits, nor does it provide any post-employment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275"/>
        <w:gridCol w:w="212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21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EARNINGS PER SHARE</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earnings per share (“EPS”) were computed by dividing income from continuing operations by the weighted average number of shares of common stock outstanding during the period. Diluted EPS differs from basic EPS due to the assumed conversions of potentially dilutive options and restricted stock awards that were outstanding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share of Class A common stock ranks equal to each share of Class B common stock with respect to receipt of any dividends or distributions declared on shares of common stock and the right to receive proceeds on liquidation or dissolution of the Company after payment of its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a reconciliation of the numerators and the denominators of the basic and diluted per share computations for income from continuing operations (in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85"/>
        <w:gridCol w:w="60"/>
        <w:gridCol w:w="125"/>
        <w:gridCol w:w="695"/>
        <w:gridCol w:w="60"/>
        <w:gridCol w:w="60"/>
        <w:gridCol w:w="125"/>
        <w:gridCol w:w="695"/>
        <w:gridCol w:w="60"/>
        <w:gridCol w:w="60"/>
        <w:gridCol w:w="125"/>
        <w:gridCol w:w="695"/>
        <w:gridCol w:w="60"/>
      </w:tblGrid>
      <w:tr>
        <w:trPr/>
        <w:tc>
          <w:tcPr>
            <w:tcW w:w="7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 for basic and diluted earnings per share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available to common shareholders</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347,055</w:t>
            </w:r>
          </w:p>
        </w:tc>
        <w:tc>
          <w:tcPr>
            <w:tcW w:w="6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for basic earnings per share – weighted average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81,089</w:t>
            </w:r>
          </w:p>
        </w:tc>
        <w:tc>
          <w:tcPr>
            <w:tcW w:w="6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and director stock options and restricted share awards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2,631</w:t>
            </w:r>
          </w:p>
        </w:tc>
        <w:tc>
          <w:tcPr>
            <w:tcW w:w="6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for diluted earnings per share − adjusted weighted average shares outstanding and assumed conversions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83,720</w:t>
            </w:r>
          </w:p>
        </w:tc>
        <w:tc>
          <w:tcPr>
            <w:tcW w:w="6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w:t>
            </w:r>
          </w:p>
        </w:tc>
        <w:tc>
          <w:tcPr>
            <w:tcW w:w="6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common share and common share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Options to purchase shares of common stock that were outstanding for the years ended December 31, 2025, 2024 and 2023 that were not included in the computation of diluted earnings per share because the effect would have been anti-dilutive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3365"/>
        <w:gridCol w:w="60"/>
        <w:gridCol w:w="66"/>
        <w:gridCol w:w="374"/>
        <w:gridCol w:w="60"/>
        <w:gridCol w:w="60"/>
        <w:gridCol w:w="66"/>
        <w:gridCol w:w="374"/>
        <w:gridCol w:w="60"/>
        <w:gridCol w:w="60"/>
        <w:gridCol w:w="60"/>
        <w:gridCol w:w="485"/>
        <w:gridCol w:w="6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Anti-dilutive options – weighted average</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20" w:right="0" w:hanging="0"/>
              <w:jc w:val="left"/>
              <w:rPr/>
            </w:pPr>
            <w:r>
              <w:rPr/>
              <w:t> </w:t>
            </w:r>
          </w:p>
        </w:tc>
        <w:tc>
          <w:tcPr>
            <w:tcW w:w="3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20" w:right="0" w:hanging="0"/>
              <w:jc w:val="left"/>
              <w:rPr/>
            </w:pPr>
            <w:r>
              <w:rPr/>
              <w:t> </w:t>
            </w:r>
          </w:p>
        </w:tc>
        <w:tc>
          <w:tcPr>
            <w:tcW w:w="3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275"/>
        <w:gridCol w:w="1550"/>
      </w:tblGrid>
      <w:tr>
        <w:trPr/>
        <w:tc>
          <w:tcPr>
            <w:tcW w:w="2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13.</w:t>
            </w:r>
          </w:p>
        </w:tc>
        <w:tc>
          <w:tcPr>
            <w:tcW w:w="1550"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 xml:space="preserve">INCOME TAXES: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significant components of the tax provision are summarized as follows (in thousands):</w:t>
      </w:r>
    </w:p>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2345"/>
        <w:gridCol w:w="60"/>
        <w:gridCol w:w="125"/>
        <w:gridCol w:w="695"/>
        <w:gridCol w:w="60"/>
        <w:gridCol w:w="60"/>
        <w:gridCol w:w="125"/>
        <w:gridCol w:w="695"/>
        <w:gridCol w:w="60"/>
        <w:gridCol w:w="60"/>
        <w:gridCol w:w="125"/>
        <w:gridCol w:w="695"/>
        <w:gridCol w:w="8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2700" w:type="dxa"/>
            <w:gridSpan w:val="10"/>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 December 31,</w:t>
            </w:r>
          </w:p>
        </w:tc>
        <w:tc>
          <w:tcPr>
            <w:tcW w:w="8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Domestic</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455,288</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6,773</w:t>
            </w:r>
          </w:p>
        </w:tc>
        <w:tc>
          <w:tcPr>
            <w:tcW w:w="8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345,866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462,061</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provision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87,270</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16,864</w:t>
            </w:r>
          </w:p>
        </w:tc>
        <w:tc>
          <w:tcPr>
            <w:tcW w:w="8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2,265</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106,399</w:t>
            </w:r>
          </w:p>
        </w:tc>
        <w:tc>
          <w:tcPr>
            <w:tcW w:w="8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provision (benefit)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7,617</w:t>
            </w:r>
          </w:p>
        </w:tc>
        <w:tc>
          <w:tcPr>
            <w:tcW w:w="8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7,601</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114,000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reconciliation of taxes based on the federal statutory rates to the income tax provision (benefits) for income taxes are summarized as follows (in thousands):</w:t>
      </w:r>
    </w:p>
    <w:p>
      <w:pPr>
        <w:pStyle w:val="TextBody"/>
        <w:bidi w:val="0"/>
        <w:spacing w:before="0" w:after="0"/>
        <w:ind w:left="0" w:right="0" w:hanging="0"/>
        <w:jc w:val="left"/>
        <w:rPr>
          <w:caps w:val="false"/>
          <w:smallCaps w:val="false"/>
        </w:rPr>
      </w:pPr>
      <w:r>
        <w:rPr>
          <w:caps w:val="false"/>
          <w:smallCaps w:val="false"/>
        </w:rPr>
        <w:t> </w:t>
      </w:r>
    </w:p>
    <w:tbl>
      <w:tblPr>
        <w:tblW w:w="8285" w:type="dxa"/>
        <w:jc w:val="left"/>
        <w:tblInd w:w="0" w:type="dxa"/>
        <w:tblLayout w:type="fixed"/>
        <w:tblCellMar>
          <w:top w:w="0" w:type="dxa"/>
          <w:left w:w="0" w:type="dxa"/>
          <w:bottom w:w="0" w:type="dxa"/>
          <w:right w:w="0" w:type="dxa"/>
        </w:tblCellMar>
      </w:tblPr>
      <w:tblGrid>
        <w:gridCol w:w="3560"/>
        <w:gridCol w:w="60"/>
        <w:gridCol w:w="125"/>
        <w:gridCol w:w="590"/>
        <w:gridCol w:w="80"/>
        <w:gridCol w:w="60"/>
        <w:gridCol w:w="60"/>
        <w:gridCol w:w="380"/>
        <w:gridCol w:w="185"/>
        <w:gridCol w:w="60"/>
        <w:gridCol w:w="125"/>
        <w:gridCol w:w="590"/>
        <w:gridCol w:w="80"/>
        <w:gridCol w:w="60"/>
        <w:gridCol w:w="60"/>
        <w:gridCol w:w="380"/>
        <w:gridCol w:w="185"/>
        <w:gridCol w:w="60"/>
        <w:gridCol w:w="125"/>
        <w:gridCol w:w="695"/>
        <w:gridCol w:w="80"/>
        <w:gridCol w:w="60"/>
        <w:gridCol w:w="60"/>
        <w:gridCol w:w="380"/>
        <w:gridCol w:w="185"/>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80"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 December 31,</w:t>
            </w:r>
          </w:p>
        </w:tc>
        <w:tc>
          <w:tcPr>
            <w:tcW w:w="18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18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Rate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Rate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Rate</w:t>
            </w:r>
          </w:p>
        </w:tc>
        <w:tc>
          <w:tcPr>
            <w:tcW w:w="18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at the federal statutory rate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income taxes, net of federal benefit (a)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Effects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Cross-Border Tax Laws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Credits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permanent differences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payments awards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 xml:space="preserve">Executive compensation </w:t>
            </w:r>
            <w:r>
              <w:rPr>
                <w:rFonts w:ascii="Times New Roman;Times;serif" w:hAnsi="Times New Roman;Times;serif"/>
                <w:sz w:val="16"/>
              </w:rPr>
              <w:t>(b)</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Unrecognized Tax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provision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79,828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92,845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114,000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(a) State taxes in California, Illinois and Texas made up the majority (greater than 50 percent) of the tax effect in this category for each year presented.</w:t>
            </w:r>
          </w:p>
        </w:tc>
      </w:tr>
    </w:tbl>
    <w:tbl>
      <w:tblPr>
        <w:tblW w:w="8860" w:type="dxa"/>
        <w:jc w:val="left"/>
        <w:tblInd w:w="0" w:type="dxa"/>
        <w:tblLayout w:type="fixed"/>
        <w:tblCellMar>
          <w:top w:w="0" w:type="dxa"/>
          <w:left w:w="0" w:type="dxa"/>
          <w:bottom w:w="0" w:type="dxa"/>
          <w:right w:w="0" w:type="dxa"/>
        </w:tblCellMar>
      </w:tblPr>
      <w:tblGrid>
        <w:gridCol w:w="230"/>
        <w:gridCol w:w="863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w:t>
            </w:r>
          </w:p>
        </w:tc>
        <w:tc>
          <w:tcPr>
            <w:tcW w:w="8630" w:type="dxa"/>
            <w:tcBorders/>
            <w:vAlign w:val="center"/>
          </w:tcPr>
          <w:p>
            <w:pPr>
              <w:pStyle w:val="TableContents"/>
              <w:bidi w:val="0"/>
              <w:spacing w:before="0" w:after="0"/>
              <w:ind w:left="0" w:right="0" w:hanging="0"/>
              <w:jc w:val="left"/>
              <w:rPr/>
            </w:pPr>
            <w:r>
              <w:rPr/>
              <w:t> </w:t>
            </w:r>
            <w:r>
              <w:rPr>
                <w:rFonts w:ascii="Times New Roman;Times;serif" w:hAnsi="Times New Roman;Times;serif"/>
                <w:sz w:val="16"/>
              </w:rPr>
              <w:t>The executive compensation limitations in years 2025 &amp; 2023 are below the disclosure threshold and are included in other.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summarizes the components of net deferred income tax liabilities included in the balance sheet (in thousands):</w:t>
      </w:r>
    </w:p>
    <w:p>
      <w:pPr>
        <w:pStyle w:val="TextBody"/>
        <w:bidi w:val="0"/>
        <w:spacing w:before="0" w:after="0"/>
        <w:ind w:left="0" w:right="0" w:hanging="0"/>
        <w:jc w:val="left"/>
        <w:rPr>
          <w:caps w:val="false"/>
          <w:smallCaps w:val="false"/>
        </w:rPr>
      </w:pPr>
      <w:r>
        <w:rPr>
          <w:caps w:val="false"/>
          <w:smallCaps w:val="false"/>
        </w:rPr>
        <w:t> </w:t>
      </w:r>
    </w:p>
    <w:tbl>
      <w:tblPr>
        <w:tblW w:w="7640" w:type="dxa"/>
        <w:jc w:val="left"/>
        <w:tblInd w:w="0" w:type="dxa"/>
        <w:tblLayout w:type="fixed"/>
        <w:tblCellMar>
          <w:top w:w="0" w:type="dxa"/>
          <w:left w:w="0" w:type="dxa"/>
          <w:bottom w:w="0" w:type="dxa"/>
          <w:right w:w="0" w:type="dxa"/>
        </w:tblCellMar>
      </w:tblPr>
      <w:tblGrid>
        <w:gridCol w:w="5720"/>
        <w:gridCol w:w="60"/>
        <w:gridCol w:w="125"/>
        <w:gridCol w:w="695"/>
        <w:gridCol w:w="80"/>
        <w:gridCol w:w="60"/>
        <w:gridCol w:w="125"/>
        <w:gridCol w:w="695"/>
        <w:gridCol w:w="80"/>
      </w:tblGrid>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(assets)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operating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net operating loss carry forward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tax credit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Difference between book and tax basis- Operating lease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26,970</w:t>
            </w:r>
          </w:p>
        </w:tc>
        <w:tc>
          <w:tcPr>
            <w:tcW w:w="8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Difference between book and tax basis- 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268,821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238,390</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178,916</w:t>
            </w:r>
          </w:p>
        </w:tc>
        <w:tc>
          <w:tcPr>
            <w:tcW w:w="8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income tax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207,733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178,916</w:t>
            </w:r>
          </w:p>
        </w:tc>
        <w:tc>
          <w:tcPr>
            <w:tcW w:w="8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the Company had approximately $42.8 million in state net operating loss carry forwards that expire from 2030 to 2044, which result in a deferred tax asset of approximately $1.7 million. The Company has evaluated whether its state net operating losses are realizable and has recorded a valuation allowance against them. The valuation allowance increased $1.1 million over the prior year ending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had unrecognized income tax benefits totaling $7.9 million ($6.2 million rate impact after net of federal benefit) as a component of accrued liabilities as of December 31, 2025, and $8.0 million ($6.3 million rate impact after net of federal benefit) as of December 31, 2024, the total of which, if recognized, the net of federal tax benefit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During the years ended December 31, 2025, 2024 and 2023, the Company recognized approximately $95,500, $197,700, and $86,200 in interest expense. No amounts were accrued for penalties. The Company had approximately $625,000, $530,000 and $389,000 of interest accrued as of December 31,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Undistributed earnings of the Company’s foreign subsidiaries are considered to be indefinitely reinvested. Upon repatriation of those earnings in the form of dividends or otherwise, the Company may be subject to state and local taxes, and/or withholding taxes payable to the various foreign countries. The Company expects to be able to take a 100% dividends received deduction to offset any U.S. federal income tax liability on the distribution of untaxed earnings and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the tax years ended December 31, 2022 through 2025 remained subject to audit by federal tax authorities and the tax years ended December 31, 2021 through 2025, remained subject to audit by state tax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presents the reconciliation of the change in the unrecognized tax benefits (in thousands):</w:t>
      </w:r>
    </w:p>
    <w:p>
      <w:pPr>
        <w:pStyle w:val="TextBody"/>
        <w:bidi w:val="0"/>
        <w:spacing w:before="0" w:after="0"/>
        <w:ind w:left="0" w:right="0" w:hanging="0"/>
        <w:jc w:val="left"/>
        <w:rPr>
          <w:caps w:val="false"/>
          <w:smallCaps w:val="false"/>
        </w:rPr>
      </w:pPr>
      <w:r>
        <w:rPr>
          <w:caps w:val="false"/>
          <w:smallCaps w:val="false"/>
        </w:rPr>
        <w:t> </w:t>
      </w:r>
    </w:p>
    <w:tbl>
      <w:tblPr>
        <w:tblW w:w="6380" w:type="dxa"/>
        <w:jc w:val="left"/>
        <w:tblInd w:w="0" w:type="dxa"/>
        <w:tblLayout w:type="fixed"/>
        <w:tblCellMar>
          <w:top w:w="0" w:type="dxa"/>
          <w:left w:w="0" w:type="dxa"/>
          <w:bottom w:w="0" w:type="dxa"/>
          <w:right w:w="0" w:type="dxa"/>
        </w:tblCellMar>
      </w:tblPr>
      <w:tblGrid>
        <w:gridCol w:w="4010"/>
        <w:gridCol w:w="60"/>
        <w:gridCol w:w="125"/>
        <w:gridCol w:w="545"/>
        <w:gridCol w:w="80"/>
        <w:gridCol w:w="60"/>
        <w:gridCol w:w="125"/>
        <w:gridCol w:w="485"/>
        <w:gridCol w:w="80"/>
        <w:gridCol w:w="60"/>
        <w:gridCol w:w="125"/>
        <w:gridCol w:w="545"/>
        <w:gridCol w:w="80"/>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Unrecognized tax benefits at beginning of period</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5,377</w:t>
            </w:r>
          </w:p>
        </w:tc>
        <w:tc>
          <w:tcPr>
            <w:tcW w:w="8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increases – tax positions in current year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12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12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12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Reductions due to lapse of statute of limitations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12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12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12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Unrecognized tax benefits at end of period</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presents detail to supplemental disclosure of cash flow for Income Taxes paid, net (in thousands):</w:t>
      </w:r>
    </w:p>
    <w:p>
      <w:pPr>
        <w:pStyle w:val="TextBody"/>
        <w:bidi w:val="0"/>
        <w:spacing w:before="0" w:after="0"/>
        <w:ind w:left="0" w:right="0" w:hanging="0"/>
        <w:jc w:val="left"/>
        <w:rPr>
          <w:caps w:val="false"/>
          <w:smallCaps w:val="false"/>
        </w:rPr>
      </w:pPr>
      <w:r>
        <w:rPr>
          <w:caps w:val="false"/>
          <w:smallCaps w:val="false"/>
        </w:rPr>
        <w:t> </w:t>
      </w:r>
    </w:p>
    <w:tbl>
      <w:tblPr>
        <w:tblW w:w="3260" w:type="dxa"/>
        <w:jc w:val="left"/>
        <w:tblInd w:w="0" w:type="dxa"/>
        <w:tblLayout w:type="fixed"/>
        <w:tblCellMar>
          <w:top w:w="0" w:type="dxa"/>
          <w:left w:w="0" w:type="dxa"/>
          <w:bottom w:w="0" w:type="dxa"/>
          <w:right w:w="0" w:type="dxa"/>
        </w:tblCellMar>
      </w:tblPr>
      <w:tblGrid>
        <w:gridCol w:w="650"/>
        <w:gridCol w:w="60"/>
        <w:gridCol w:w="125"/>
        <w:gridCol w:w="590"/>
        <w:gridCol w:w="60"/>
        <w:gridCol w:w="60"/>
        <w:gridCol w:w="125"/>
        <w:gridCol w:w="590"/>
        <w:gridCol w:w="60"/>
        <w:gridCol w:w="60"/>
        <w:gridCol w:w="125"/>
        <w:gridCol w:w="695"/>
        <w:gridCol w:w="60"/>
      </w:tblGrid>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88,945</w:t>
            </w:r>
          </w:p>
        </w:tc>
        <w:tc>
          <w:tcPr>
            <w:tcW w:w="60" w:type="dxa"/>
            <w:tcBorders/>
            <w:shd w:fill="CCEEFF" w:val="clear"/>
            <w:vAlign w:val="center"/>
          </w:tcPr>
          <w:p>
            <w:pPr>
              <w:pStyle w:val="TableContents"/>
              <w:bidi w:val="0"/>
              <w:spacing w:before="0" w:after="283"/>
              <w:jc w:val="left"/>
              <w:rPr/>
            </w:pPr>
            <w:r>
              <w:rPr/>
              <w:t> </w:t>
            </w:r>
          </w:p>
        </w:tc>
      </w:tr>
      <w:tr>
        <w:trPr/>
        <w:tc>
          <w:tcPr>
            <w:tcW w:w="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12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12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12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15,533</w:t>
            </w:r>
          </w:p>
        </w:tc>
        <w:tc>
          <w:tcPr>
            <w:tcW w:w="60" w:type="dxa"/>
            <w:tcBorders/>
            <w:shd w:fill="FFFFFF" w:val="clear"/>
            <w:vAlign w:val="center"/>
          </w:tcPr>
          <w:p>
            <w:pPr>
              <w:pStyle w:val="TableContents"/>
              <w:bidi w:val="0"/>
              <w:spacing w:before="0" w:after="283"/>
              <w:jc w:val="left"/>
              <w:rPr/>
            </w:pPr>
            <w:r>
              <w:rPr/>
              <w:t> </w:t>
            </w:r>
          </w:p>
        </w:tc>
      </w:tr>
      <w:tr>
        <w:trPr/>
        <w:tc>
          <w:tcPr>
            <w:tcW w:w="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12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12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12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2,394</w:t>
            </w:r>
          </w:p>
        </w:tc>
        <w:tc>
          <w:tcPr>
            <w:tcW w:w="60" w:type="dxa"/>
            <w:tcBorders/>
            <w:shd w:fill="CCEEFF" w:val="clear"/>
            <w:vAlign w:val="center"/>
          </w:tcPr>
          <w:p>
            <w:pPr>
              <w:pStyle w:val="TableContents"/>
              <w:bidi w:val="0"/>
              <w:spacing w:before="0" w:after="283"/>
              <w:jc w:val="left"/>
              <w:rPr/>
            </w:pPr>
            <w:r>
              <w:rPr/>
              <w:t> </w:t>
            </w:r>
          </w:p>
        </w:tc>
      </w:tr>
      <w:tr>
        <w:trPr/>
        <w:tc>
          <w:tcPr>
            <w:tcW w:w="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106,872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275"/>
        <w:gridCol w:w="357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35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COMMITMENTS AND CONTINGENCIES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the Company is involved in litigation arising out of its operations in the ordinary course of business. The Company maintains liability insurance through self-insurance, a captive insurer and third-party excess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December 31, 2025, the Company believes that there are no pending claims or litigation, individually or in the aggregate, that are reasonably possible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675" w:type="dxa"/>
        <w:jc w:val="left"/>
        <w:tblInd w:w="0" w:type="dxa"/>
        <w:tblLayout w:type="fixed"/>
        <w:tblCellMar>
          <w:top w:w="0" w:type="dxa"/>
          <w:left w:w="0" w:type="dxa"/>
          <w:bottom w:w="0" w:type="dxa"/>
          <w:right w:w="0" w:type="dxa"/>
        </w:tblCellMar>
      </w:tblPr>
      <w:tblGrid>
        <w:gridCol w:w="275"/>
        <w:gridCol w:w="140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c>
          <w:tcPr>
            <w:tcW w:w="14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ACQUISITIONS: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acquisitions, unless otherwise noted, were considered business combinations accounted for under ASC 805 “Business Combinations.” Pro forma information is not included in accordance with ASC 805 since no acquisitions were considered material individually or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16, 2025, the Company acquired 100% of the outstanding shares of Leeds Transit, Inc. The acquisition included IC Bus and Collins Bus franchised commercial vehicle dealership locations in Elgin and Woodstock, Ontario and a sales office in St-Roch-de-l’Achigan, Quebec, along with commercial vehicle and parts inventory. The transaction was valued at approximately $25.6 million, with the purchase price paid in cash and with borrowings made pursuant to the RTC Canada’s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15, 2024, the Company acquired certain assets of Nebraska Peterbilt, which included real estate and a Peterbilt commercial vehicle franchise in Grand Island and North Platte, Nebraska, along with commercial vehicle and parts inventory. The transaction was valued at approximately $16.5 million, with the purchase price paid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4, 2023, the Company acquired certain assets of Freeway Ford Truck Sales, Inc., which included real estate and a Ford commercial vehicle franchise in Chicago, Illinois, along with commercial vehicle and parts inventory. The transaction was valued at approximately $16.3 million, with the purchase price paid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375" w:type="dxa"/>
        <w:jc w:val="left"/>
        <w:tblInd w:w="0" w:type="dxa"/>
        <w:tblLayout w:type="fixed"/>
        <w:tblCellMar>
          <w:top w:w="0" w:type="dxa"/>
          <w:left w:w="0" w:type="dxa"/>
          <w:bottom w:w="0" w:type="dxa"/>
          <w:right w:w="0" w:type="dxa"/>
        </w:tblCellMar>
      </w:tblPr>
      <w:tblGrid>
        <w:gridCol w:w="275"/>
        <w:gridCol w:w="110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c>
          <w:tcPr>
            <w:tcW w:w="11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SEGMENTS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reports information based on operating segments identified in accordance with how the chief operating decision maker (“CODM”) evaluates business performance and allocates resources. As of the reporting period, the Company operates with one CODM: W.M. “Rusty” Rush, the Chief Executive Officer, President and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the reporting period, the Company has one reportable business segment - the Truck Segment. The Truck Segment includes the Company’s operation of a network of commercial vehicle dealerships in the United States and Ontario, Canada that provide an integrated one-stop source for the commercial vehicle needs of its customers, including retail sales of new and used commercial vehicles; aftermarket parts sales, service and collision center facilities; vehicle upfitting and financial services, including the financing of new and used commercial vehicle purchases, insurance products and truck leasing and rentals. The commercial vehicle dealerships are deemed a single reporting unit because they have similar economic characteristics. The Company’s CODM considers the entire Truck Segment, not individual dealerships or departments within its dealerships, when making decisions about resources to be allocated to the segment and assessing its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Truck Segment, the Company generates revenue from two additional operating segments: Retail Tire Sales and Insurance Services. These operating segments do not meet the quantitative thresholds for separate reporting as specified under the guidance of ASC 280-10. Therefore, they are consolidated under the “All Other” category in the segment disclosures below. These segments share accounting policies consistent with the summary of significant accounting policies.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accounting policies of the segments are the same as those described in the summary of significant accounting policies. The Company evaluates performance based on segment operating income, not including extraordinary items.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contains summarized information about reportable segment revenues, segment income or loss from continuing operations and segment assets for the periods ended December 31, 2025, 2024 and 2023 (in thousands):</w:t>
      </w:r>
    </w:p>
    <w:p>
      <w:pPr>
        <w:pStyle w:val="TextBody"/>
        <w:bidi w:val="0"/>
        <w:spacing w:before="0" w:after="0"/>
        <w:ind w:left="0" w:right="0" w:hanging="0"/>
        <w:jc w:val="left"/>
        <w:rPr>
          <w:caps w:val="false"/>
          <w:smallCaps w:val="false"/>
        </w:rPr>
      </w:pPr>
      <w:r>
        <w:rPr>
          <w:caps w:val="false"/>
          <w:smallCaps w:val="false"/>
        </w:rPr>
        <w:t> </w:t>
      </w:r>
    </w:p>
    <w:tbl>
      <w:tblPr>
        <w:tblW w:w="5870" w:type="dxa"/>
        <w:jc w:val="left"/>
        <w:tblInd w:w="0" w:type="dxa"/>
        <w:tblLayout w:type="fixed"/>
        <w:tblCellMar>
          <w:top w:w="0" w:type="dxa"/>
          <w:left w:w="0" w:type="dxa"/>
          <w:bottom w:w="0" w:type="dxa"/>
          <w:right w:w="0" w:type="dxa"/>
        </w:tblCellMar>
      </w:tblPr>
      <w:tblGrid>
        <w:gridCol w:w="2795"/>
        <w:gridCol w:w="60"/>
        <w:gridCol w:w="125"/>
        <w:gridCol w:w="845"/>
        <w:gridCol w:w="80"/>
        <w:gridCol w:w="60"/>
        <w:gridCol w:w="125"/>
        <w:gridCol w:w="590"/>
        <w:gridCol w:w="80"/>
        <w:gridCol w:w="60"/>
        <w:gridCol w:w="125"/>
        <w:gridCol w:w="845"/>
        <w:gridCol w:w="80"/>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Truck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Totals</w:t>
            </w:r>
          </w:p>
        </w:tc>
        <w:tc>
          <w:tcPr>
            <w:tcW w:w="80" w:type="dxa"/>
            <w:tcBorders/>
            <w:vAlign w:val="center"/>
          </w:tcPr>
          <w:p>
            <w:pPr>
              <w:pStyle w:val="TableContents"/>
              <w:bidi w:val="0"/>
              <w:spacing w:before="0" w:after="283"/>
              <w:jc w:val="left"/>
              <w:rPr/>
            </w:pPr>
            <w:r>
              <w:rPr/>
              <w:t> </w:t>
            </w:r>
          </w:p>
        </w:tc>
      </w:tr>
      <w:tr>
        <w:trPr/>
        <w:tc>
          <w:tcPr>
            <w:tcW w:w="27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7,419,068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7,434,195</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5,971,594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5,973,531</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Controllable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879,580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885,170</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Allocated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181,737</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Segment operating income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394,155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393,756</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48,151</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79,828</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266,809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(771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266,038</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4,372,791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4,430,536</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439,055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441,615</w:t>
            </w:r>
          </w:p>
        </w:tc>
        <w:tc>
          <w:tcPr>
            <w:tcW w:w="8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399,831</w:t>
            </w:r>
          </w:p>
        </w:tc>
        <w:tc>
          <w:tcPr>
            <w:tcW w:w="8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71,136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830" w:type="dxa"/>
        <w:jc w:val="left"/>
        <w:tblInd w:w="0" w:type="dxa"/>
        <w:tblLayout w:type="fixed"/>
        <w:tblCellMar>
          <w:top w:w="0" w:type="dxa"/>
          <w:left w:w="0" w:type="dxa"/>
          <w:bottom w:w="0" w:type="dxa"/>
          <w:right w:w="0" w:type="dxa"/>
        </w:tblCellMar>
      </w:tblPr>
      <w:tblGrid>
        <w:gridCol w:w="2795"/>
        <w:gridCol w:w="60"/>
        <w:gridCol w:w="125"/>
        <w:gridCol w:w="845"/>
        <w:gridCol w:w="60"/>
        <w:gridCol w:w="60"/>
        <w:gridCol w:w="125"/>
        <w:gridCol w:w="590"/>
        <w:gridCol w:w="80"/>
        <w:gridCol w:w="60"/>
        <w:gridCol w:w="125"/>
        <w:gridCol w:w="845"/>
        <w:gridCol w:w="60"/>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Truck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Totals</w:t>
            </w:r>
          </w:p>
        </w:tc>
        <w:tc>
          <w:tcPr>
            <w:tcW w:w="60" w:type="dxa"/>
            <w:tcBorders/>
            <w:vAlign w:val="center"/>
          </w:tcPr>
          <w:p>
            <w:pPr>
              <w:pStyle w:val="TableContents"/>
              <w:bidi w:val="0"/>
              <w:spacing w:before="0" w:after="283"/>
              <w:jc w:val="left"/>
              <w:rPr/>
            </w:pPr>
            <w:r>
              <w:rPr/>
              <w:t> </w:t>
            </w:r>
          </w:p>
        </w:tc>
      </w:tr>
      <w:tr>
        <w:trPr/>
        <w:tc>
          <w:tcPr>
            <w:tcW w:w="27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7,788,842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7,804,746</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6,271,327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6,273,330</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Controllable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958,926</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Allocated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104,400</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Segment operating income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468,383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468,090</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72,024</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92,845</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305,628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(658</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304,970</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4,561,583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4,617,547</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427,493</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433,047</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68,549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830" w:type="dxa"/>
        <w:jc w:val="left"/>
        <w:tblInd w:w="0" w:type="dxa"/>
        <w:tblLayout w:type="fixed"/>
        <w:tblCellMar>
          <w:top w:w="0" w:type="dxa"/>
          <w:left w:w="0" w:type="dxa"/>
          <w:bottom w:w="0" w:type="dxa"/>
          <w:right w:w="0" w:type="dxa"/>
        </w:tblCellMar>
      </w:tblPr>
      <w:tblGrid>
        <w:gridCol w:w="2795"/>
        <w:gridCol w:w="60"/>
        <w:gridCol w:w="125"/>
        <w:gridCol w:w="845"/>
        <w:gridCol w:w="60"/>
        <w:gridCol w:w="60"/>
        <w:gridCol w:w="125"/>
        <w:gridCol w:w="590"/>
        <w:gridCol w:w="80"/>
        <w:gridCol w:w="60"/>
        <w:gridCol w:w="125"/>
        <w:gridCol w:w="845"/>
        <w:gridCol w:w="60"/>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Truck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Totals</w:t>
            </w:r>
          </w:p>
        </w:tc>
        <w:tc>
          <w:tcPr>
            <w:tcW w:w="60" w:type="dxa"/>
            <w:tcBorders/>
            <w:vAlign w:val="center"/>
          </w:tcPr>
          <w:p>
            <w:pPr>
              <w:pStyle w:val="TableContents"/>
              <w:bidi w:val="0"/>
              <w:spacing w:before="0" w:after="283"/>
              <w:jc w:val="left"/>
              <w:rPr/>
            </w:pPr>
            <w:r>
              <w:rPr/>
              <w:t> </w:t>
            </w:r>
          </w:p>
        </w:tc>
      </w:tr>
      <w:tr>
        <w:trPr/>
        <w:tc>
          <w:tcPr>
            <w:tcW w:w="27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7,909,230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7,925,024</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6,329,629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6,331,934</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Controllable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794,016</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Allocated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278,117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286,693</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Segment operating income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512,375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512,381</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2,597</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53,694</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114,000</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348,437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(364</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348,061</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4,308,264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4,364,241</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420,708</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368,881</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59,830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1255" w:type="dxa"/>
        <w:jc w:val="left"/>
        <w:tblInd w:w="0" w:type="dxa"/>
        <w:tblLayout w:type="fixed"/>
        <w:tblCellMar>
          <w:top w:w="0" w:type="dxa"/>
          <w:left w:w="0" w:type="dxa"/>
          <w:bottom w:w="0" w:type="dxa"/>
          <w:right w:w="0" w:type="dxa"/>
        </w:tblCellMar>
      </w:tblPr>
      <w:tblGrid>
        <w:gridCol w:w="275"/>
        <w:gridCol w:w="98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c>
          <w:tcPr>
            <w:tcW w:w="9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REVENUE</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revenues are primarily generated from the sale of finished products to customers. Those sales contain a single delivery element and revenue from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Company’s disaggregated revenue by revenue source, excluding lease and rental revenue, for the years ended December 31, 2025, December 31, 2024, and December 31, 2023 (in thousands):</w:t>
      </w:r>
    </w:p>
    <w:p>
      <w:pPr>
        <w:pStyle w:val="TextBody"/>
        <w:bidi w:val="0"/>
        <w:spacing w:before="0" w:after="0"/>
        <w:ind w:left="0" w:right="0" w:hanging="0"/>
        <w:jc w:val="left"/>
        <w:rPr>
          <w:caps w:val="false"/>
          <w:smallCaps w:val="false"/>
        </w:rPr>
      </w:pPr>
      <w:r>
        <w:rPr>
          <w:caps w:val="false"/>
          <w:smallCaps w:val="false"/>
        </w:rPr>
        <w:t> </w:t>
      </w:r>
    </w:p>
    <w:tbl>
      <w:tblPr>
        <w:tblW w:w="6770" w:type="dxa"/>
        <w:jc w:val="left"/>
        <w:tblInd w:w="0" w:type="dxa"/>
        <w:tblLayout w:type="fixed"/>
        <w:tblCellMar>
          <w:top w:w="0" w:type="dxa"/>
          <w:left w:w="0" w:type="dxa"/>
          <w:bottom w:w="0" w:type="dxa"/>
          <w:right w:w="0" w:type="dxa"/>
        </w:tblCellMar>
      </w:tblPr>
      <w:tblGrid>
        <w:gridCol w:w="3485"/>
        <w:gridCol w:w="60"/>
        <w:gridCol w:w="125"/>
        <w:gridCol w:w="845"/>
        <w:gridCol w:w="60"/>
        <w:gridCol w:w="60"/>
        <w:gridCol w:w="125"/>
        <w:gridCol w:w="845"/>
        <w:gridCol w:w="60"/>
        <w:gridCol w:w="60"/>
        <w:gridCol w:w="125"/>
        <w:gridCol w:w="845"/>
        <w:gridCol w:w="75"/>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7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sales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4,503,530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4,888,823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4,957,969</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Parts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1,493,903</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repair service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1,068,238</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11,665</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12,606</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26,863</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7,064,640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7,449,807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7,571,244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performance obligations are transferred to customers at a point in time. The Company did not have any material contract assets or contract liabilities on the balance sheet as of December 31, 2025, or December 31, 2024. Revenues related to commercial vehicle sales, parts sales, commercial vehicle repair service, finance and most other revenues are related to the Truck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sale of new and used commercial vehicles, revenue is recognized at a point in time when control is transferred to the customer, which is when delivery of the commercial vehicle occurs. Revenue is measured as the amount of consideration the Company expects to receive in exchange for transferring the commercial vehicle. When control is transferred to the customer, the Company has an unconditional right to payment and a receivable is recorded for any consideration not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controls the commercial vehicle before it is transferred to the customer and it obtains all the remaining benefits from the commercial vehicle relating to the sale, ability to pledge the asset or hold the asset. The Company is a principal in all commercial vehicle transactions. The Company retains inventory risk, determines the selling price to the customer and delivers the commercial vehicle to the customer. The Company generally pays a commission to internal sales representatives for the sale of a commercial vehicle. The Company will continue to expense the commission and recognize it concurrently with the respective commercial vehicle sale revenue upon delivery of the commercial vehicle to a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from the sale of parts is recognized when the Company transfers control of the goods to the customer and consideration has been received in the form of cash or a receivable from the customer. The Company provides its customers the right to return certain eligible parts, estimates the expected returns based on an analysis of historical experience and records an allowance for estimated returns, which has historically not been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from the sale of commercial vehicle repair service is recognized when the service performed by the Company on a customer’s vehicle is complete and the customer accepts the repair. Because the Company does not have an enforceable right to payment while the repair is being performed, revenue is recognized when the repair is complete. After a customer’s acceptance, the Company has no remaining obligations to transfer goods or services to the customer and consideration has been received in the form of cash or a receivable from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remaining performance obligations represent service orders for which work has not been completed. The Company’s service contracts are predominately short-term in nature with a contract term of one month or less. For those contracts, the Company has utilized the practical expedient in Topic 606 exempting the Company from disclosure of the transaction price allocated to remaining performance obligations if the performance obligation is part of a contract that has an original expected duration of one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receives commissions from third-party lenders for arranging customer financing for the purchase of commercial vehicles. The receipt of such commissions is deemed to be a single performance obligation that is satisfied when a financing agreement is executed and accepted by the financing provider. Once the contract has been accepted by the financing provider, the Company’s performance obligation has been satisfied and the Company generally has no further obligations under the contract. The Company is the agent in this transaction, as it does not have control over the acceptance of the customer’s financing arrangement by the financing provider. Consideration paid to the Company by the financing provider is based on the agreement between the Company and the financing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receives commissions from third-party insurance companies for arranging insurance coverage for customers. The receipt of such commissions is deemed to be a single performance obligation that is satisfied when the insurance coverage is bound. The Company has no further obligations under the contract. The Company is the agent in this transaction because it does not have control over the insurance coverage provided by the insurance carrier. Consideration paid to the Company by the insurance provider is based on the agreement between the Company and the insurance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records revenues from finance and insurance products at the net commission amount, which includes estimates of chargebacks that can occur if the underlying contract is not fulfilled. Chargeback amounts for commissions from financing companies are estimated assuming financing contracts are terminated before the customer has made six monthly payments. Chargeback amounts for commissions from insurance companies are estimated assuming insurance contracts are terminated before the underlying insurance contractual term has expired. Chargeback reserve amounts are based on historical chargebacks and have historically been immaterial. The Company does not have any right to retrospective commissions based on future profitability of finance and insurance contracts arranged.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revenue consists mostly of documentation fees that are charged to customers in connection with the sale of a commercial vehicle and recognized as other revenue when a truck is sold. The Company recognizes the documentation fees at the point in time when the commercial vehicle is delivered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275"/>
        <w:gridCol w:w="536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c>
          <w:tcPr>
            <w:tcW w:w="53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ACCUMULATED OTHER COMPREHENSIVE INCOME (LOSS)</w:t>
            </w: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shows the components of accumulated other comprehensive income (loss) (in thousands):</w:t>
      </w:r>
    </w:p>
    <w:p>
      <w:pPr>
        <w:pStyle w:val="TextBody"/>
        <w:bidi w:val="0"/>
        <w:spacing w:before="0" w:after="0"/>
        <w:ind w:left="0" w:right="0" w:hanging="0"/>
        <w:jc w:val="left"/>
        <w:rPr>
          <w:caps w:val="false"/>
          <w:smallCaps w:val="false"/>
        </w:rPr>
      </w:pPr>
      <w:r>
        <w:rPr>
          <w:caps w:val="false"/>
          <w:smallCaps w:val="false"/>
        </w:rPr>
        <w:t> </w:t>
      </w:r>
    </w:p>
    <w:tbl>
      <w:tblPr>
        <w:tblW w:w="4070" w:type="dxa"/>
        <w:jc w:val="left"/>
        <w:tblInd w:w="0" w:type="dxa"/>
        <w:tblLayout w:type="fixed"/>
        <w:tblCellMar>
          <w:top w:w="0" w:type="dxa"/>
          <w:left w:w="0" w:type="dxa"/>
          <w:bottom w:w="0" w:type="dxa"/>
          <w:right w:w="0" w:type="dxa"/>
        </w:tblCellMar>
      </w:tblPr>
      <w:tblGrid>
        <w:gridCol w:w="3260"/>
        <w:gridCol w:w="60"/>
        <w:gridCol w:w="125"/>
        <w:gridCol w:w="545"/>
        <w:gridCol w:w="80"/>
      </w:tblGrid>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4,480</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functional currency of the Company’s foreign subsidiary, RTC Canada, is its local currency. Results of operations of RTC Canada are translated in USD using the average exchange rates monthly during the year. The assets and liabilities of RTC Canada are translated into USD using the exchange rates in effect on the balance sheet date. The related translation adjustments are recorded in a separate component of stockholders’ equity in accumulated other comprehensive loss and the statement of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reclassified the foreign currency translation adjustment related to its previously held equity investment in RTC Canada into net income upon its acquisition of a majority equity interest according to ASC 830-30, </w:t>
      </w:r>
      <w:r>
        <w:rPr>
          <w:rFonts w:ascii="Times New Roman" w:hAnsi="Times New Roman"/>
          <w:i/>
          <w:caps w:val="false"/>
          <w:smallCaps w:val="false"/>
          <w:sz w:val="20"/>
        </w:rPr>
        <w:t>Foreign Currency Matters.</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4" w:name="changes"/>
      <w:bookmarkEnd w:id="24"/>
      <w:r>
        <w:rPr>
          <w:rFonts w:ascii="Times New Roman" w:hAnsi="Times New Roman"/>
          <w:b/>
          <w:caps w:val="false"/>
          <w:smallCaps w:val="false"/>
          <w:sz w:val="20"/>
        </w:rPr>
        <w:t>Item 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5" w:name="conpro"/>
      <w:bookmarkEnd w:id="25"/>
      <w:r>
        <w:rPr>
          <w:rFonts w:ascii="Times New Roman" w:hAnsi="Times New Roman"/>
          <w:b/>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180"/>
        <w:jc w:val="both"/>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Exchange Act Rules 13a-15 and 15d-15, the Company carried out an evaluation, under the supervision and with the participation of management, including its Chief Executive Officer and Chief Financial Officer, of the effectiveness of its disclosure controls and procedures as of the end of the period covered by this report. Based on that evaluation, the Company’s Chief Executive Officer and Chief Financial Officer concluded that its disclosure controls and procedures were effective as of December 31, 2025, to ensure that information required to be disclosed in its reports filed or submitted under the Exchange Act is (1) recorded, processed, summarized and reported within the time periods specified in the Securities and Exchange Commission’s rules and forms and (2) accumulated and communicated to the Company’s management, including its Chief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180" w:right="0" w:hanging="180"/>
        <w:jc w:val="both"/>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the Company’s internal control over financial reporting during the quarter ended December 31, 2025, that have materially affected, or are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Annual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management is responsible for establishing and maintaining adequate internal control over financial reporting for the Company. The Company’s internal control over financial reporting is a process designed under the supervision of the Company’s President and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(2013 Framework). Based on the assessment, management determined that the Company maintained effective internal control over financial reporting as of December 31, 2025, based on those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2025. The report, which expresses an unqualified opinion on the effectiveness of the Company’s internal control over financial reporting as of December 31, 2025, is included in this Item 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Shareholders and the Board of Directors of Rush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Opinion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Rush Enterprises,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Rush Enterprises, Inc. and subsidiaries (the Company) maintained, in all material respects, effective internal control over financial reporting as of December 31, 2025, based on the COSO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consolidated balance sheets of the Company as of December 31, 2025 and 2024, the related consolidated statements of income, comprehensive income, shareholders’ equity and cash flows for each of the three years in the period ended December 31, 2025, and the related notes and our report dated February 25, 2026 expressed an unqualified opinion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Definition and Limitations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 Antonio, Texas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February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26" w:name="other"/>
      <w:bookmarkEnd w:id="26"/>
      <w:r>
        <w:rPr>
          <w:rFonts w:ascii="Times New Roman" w:hAnsi="Times New Roman"/>
          <w:b/>
          <w:caps w:val="false"/>
          <w:smallCaps w:val="false"/>
          <w:sz w:val="20"/>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7" w:name="disc"/>
      <w:bookmarkEnd w:id="27"/>
      <w:r>
        <w:rPr>
          <w:rFonts w:ascii="Times New Roman" w:hAnsi="Times New Roman"/>
          <w:b/>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8" w:name="pthree"/>
      <w:bookmarkEnd w:id="28"/>
      <w:r>
        <w:rPr>
          <w:rFonts w:ascii="Times New Roman" w:hAnsi="Times New Roman"/>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29" w:name="dirs"/>
      <w:bookmarkEnd w:id="29"/>
      <w:r>
        <w:rPr>
          <w:rFonts w:ascii="Times New Roman" w:hAnsi="Times New Roman"/>
          <w:b/>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called for by Item 10 of Form 10-K is incorporated herein by reference to such information included in the Company’s Proxy Statement for the 2026 Annual Meeting of Shareholders.</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30" w:name="excomp"/>
      <w:bookmarkEnd w:id="30"/>
      <w:r>
        <w:rPr>
          <w:rFonts w:ascii="Times New Roman" w:hAnsi="Times New Roman"/>
          <w:b/>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called for by Item 11 of Form 10-K is incorporated herein by reference to such information included in the Company’s Proxy Statement for the 2026 Annual Meeting of Shareholders.</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31" w:name="secown"/>
      <w:bookmarkEnd w:id="31"/>
      <w:r>
        <w:rPr>
          <w:rFonts w:ascii="Times New Roman" w:hAnsi="Times New Roman"/>
          <w:b/>
          <w:caps w:val="false"/>
          <w:smallCaps w:val="false"/>
          <w:sz w:val="20"/>
        </w:rPr>
        <w:t>Item 12. Security Ownership of Certain Beneficial Owners and Management and Related Shareholder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called for by Item 12 of Form 10-K is incorporated herein by reference to such information included in the Company’s Proxy Statement for the 2026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32" w:name="certain"/>
      <w:bookmarkEnd w:id="32"/>
      <w:r>
        <w:rPr>
          <w:rFonts w:ascii="Times New Roman" w:hAnsi="Times New Roman"/>
          <w:b/>
          <w:caps w:val="false"/>
          <w:smallCaps w:val="false"/>
          <w:sz w:val="20"/>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called for by Item 13 of Form 10-K is incorporated herein by reference to such information included in the Company’s Proxy Statement for the 2026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33" w:name="princ"/>
      <w:bookmarkEnd w:id="33"/>
      <w:r>
        <w:rPr>
          <w:rFonts w:ascii="Times New Roman" w:hAnsi="Times New Roman"/>
          <w:b/>
          <w:caps w:val="false"/>
          <w:smallCaps w:val="false"/>
          <w:sz w:val="20"/>
        </w:rPr>
        <w:t>Item 14.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called for by Item 14 of Form 10-K is incorporated herein by reference to such information included in the Company’s Proxy Statement for the 2026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4" w:name="pfour"/>
      <w:bookmarkEnd w:id="34"/>
      <w:r>
        <w:rPr>
          <w:rFonts w:ascii="Times New Roman" w:hAnsi="Times New Roman"/>
          <w:b/>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35" w:name="exs"/>
      <w:bookmarkEnd w:id="35"/>
      <w:r>
        <w:rPr>
          <w:rFonts w:ascii="Times New Roman" w:hAnsi="Times New Roman"/>
          <w:b/>
          <w:caps w:val="false"/>
          <w:smallCaps w:val="false"/>
          <w:sz w:val="20"/>
        </w:rPr>
        <w:t xml:space="preserve">Item 15. Exhibits, Financial Statement Schedules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Included in Item 8 of Part II of this annual report on Form 10-K are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Report of Independent Registered Public Accounting Firm;</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Balance Sheets as of December 31, 2025, and 2024;</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Statements of Income for the years ended December 31, 2025, 2024, and 2023;</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Statements of Comprehensive Income for the years ended December 31, 2025, 2024, and 2023;</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Statements of Shareholders’ Equity for the years ended December 31, 2025, 2024, and 2023;</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Statements of Cash Flows for the years ended December 31, 2025, 2024, and 2023; and</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(a)(2)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schedules are omitted as the required information is inapplicable or the information is presented in the consolidated financial statements or related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(a)(3)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9540"/>
      </w:tblGrid>
      <w:tr>
        <w:trPr/>
        <w:tc>
          <w:tcPr>
            <w:tcW w:w="665" w:type="dxa"/>
            <w:tcBorders/>
            <w:vAlign w:val="center"/>
          </w:tcPr>
          <w:p>
            <w:pPr>
              <w:pStyle w:val="TableContents"/>
              <w:bidi w:val="0"/>
              <w:spacing w:before="0" w:after="0"/>
              <w:ind w:left="18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p>
            <w:pPr>
              <w:pStyle w:val="TableContents"/>
              <w:bidi w:val="0"/>
              <w:spacing w:before="0" w:after="0"/>
              <w:ind w:left="18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 xml:space="preserve">No. </w:t>
            </w:r>
          </w:p>
        </w:tc>
        <w:tc>
          <w:tcPr>
            <w:tcW w:w="954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Identification of Exhibit</w:t>
            </w:r>
          </w:p>
        </w:tc>
      </w:tr>
      <w:tr>
        <w:trPr/>
        <w:tc>
          <w:tcPr>
            <w:tcW w:w="665" w:type="dxa"/>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9540"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caps w:val="false"/>
                  <w:smallCaps w:val="false"/>
                  <w:sz w:val="20"/>
                </w:rPr>
                <w:t>Restated Articles of Incorporation of Rush Enterprises, Inc. (incorporated herein by reference to Exhibit 3.1 of the Company’s Quarterly Report on Form 10-Q (File No. 000-20797) for the quarter ended June 30, 2008)</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0"/>
              <w:ind w:left="180" w:right="0" w:firstLine="180"/>
              <w:jc w:val="both"/>
              <w:rPr>
                <w:rFonts w:ascii="Times New Roman" w:hAnsi="Times New Roman"/>
                <w:caps w:val="false"/>
                <w:smallCaps w:val="false"/>
                <w:sz w:val="20"/>
              </w:rPr>
            </w:pPr>
            <w:r>
              <w:rPr>
                <w:rFonts w:ascii="Times New Roman" w:hAnsi="Times New Roman"/>
                <w:caps w:val="false"/>
                <w:smallCaps w:val="false"/>
                <w:sz w:val="20"/>
              </w:rPr>
              <w:t>3.2</w:t>
            </w:r>
          </w:p>
        </w:tc>
        <w:tc>
          <w:tcPr>
            <w:tcW w:w="9750" w:type="dxa"/>
            <w:tcBorders/>
            <w:vAlign w:val="center"/>
          </w:tcPr>
          <w:p>
            <w:pPr>
              <w:pStyle w:val="TableContents"/>
              <w:bidi w:val="0"/>
              <w:spacing w:before="0" w:after="0"/>
              <w:ind w:left="0" w:right="0" w:hanging="0"/>
              <w:jc w:val="both"/>
              <w:rPr/>
            </w:pPr>
            <w:hyperlink r:id="rId4">
              <w:r>
                <w:rPr>
                  <w:rStyle w:val="InternetLink"/>
                  <w:rFonts w:ascii="Times New Roman" w:hAnsi="Times New Roman"/>
                  <w:caps w:val="false"/>
                  <w:smallCaps w:val="false"/>
                  <w:sz w:val="20"/>
                </w:rPr>
                <w:t>Certificate of Amendment to the Restated Articles of Incorporation of Rush Enterprises, Inc. (incorporated herein by reference to Exhibit 3.2 of the Company’s Quarterly Report on Form 10-Q (File No. 000-20797) for the quarter ended June 30,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5"/>
        <w:gridCol w:w="9570"/>
      </w:tblGrid>
      <w:tr>
        <w:trPr/>
        <w:tc>
          <w:tcPr>
            <w:tcW w:w="63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3.3</w:t>
            </w:r>
          </w:p>
        </w:tc>
        <w:tc>
          <w:tcPr>
            <w:tcW w:w="9570" w:type="dxa"/>
            <w:tcBorders/>
            <w:vAlign w:val="center"/>
          </w:tcPr>
          <w:p>
            <w:pPr>
              <w:pStyle w:val="TableContents"/>
              <w:bidi w:val="0"/>
              <w:spacing w:before="0" w:after="283"/>
              <w:jc w:val="both"/>
              <w:rPr/>
            </w:pPr>
            <w:hyperlink r:id="rId5">
              <w:r>
                <w:rPr>
                  <w:rStyle w:val="InternetLink"/>
                  <w:u w:val="single"/>
                </w:rPr>
                <w:t>Rush Enterprises, Inc. Second Amended and Restated Bylaws (incorporated herein by reference to Exhibit 3.1 of the Company’s Current Report on Form 8-K (File No. 000-20797) filed December 3,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5"/>
        <w:gridCol w:w="9570"/>
      </w:tblGrid>
      <w:tr>
        <w:trPr/>
        <w:tc>
          <w:tcPr>
            <w:tcW w:w="63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4.1</w:t>
            </w:r>
          </w:p>
        </w:tc>
        <w:tc>
          <w:tcPr>
            <w:tcW w:w="9570" w:type="dxa"/>
            <w:tcBorders/>
            <w:vAlign w:val="center"/>
          </w:tcPr>
          <w:p>
            <w:pPr>
              <w:pStyle w:val="TableContents"/>
              <w:bidi w:val="0"/>
              <w:spacing w:before="0" w:after="0"/>
              <w:ind w:left="0" w:right="0" w:hanging="0"/>
              <w:jc w:val="both"/>
              <w:rPr/>
            </w:pPr>
            <w:hyperlink r:id="rId6">
              <w:r>
                <w:rPr>
                  <w:rStyle w:val="InternetLink"/>
                  <w:rFonts w:ascii="Times New Roman" w:hAnsi="Times New Roman"/>
                  <w:caps w:val="false"/>
                  <w:smallCaps w:val="false"/>
                  <w:sz w:val="20"/>
                </w:rPr>
                <w:t>Specimen of certificate representing Common Stock (now Class B common stock), $.01 par value, of Rush Enterprises, Inc. (incorporated herein by reference to Exhibit 4.1 of the Company’s Registration Statement No. 333-03346 on Form S-1 filed April 10, 1996)</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5"/>
        <w:gridCol w:w="9570"/>
      </w:tblGrid>
      <w:tr>
        <w:trPr/>
        <w:tc>
          <w:tcPr>
            <w:tcW w:w="63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4.2</w:t>
            </w:r>
          </w:p>
        </w:tc>
        <w:tc>
          <w:tcPr>
            <w:tcW w:w="9570" w:type="dxa"/>
            <w:tcBorders/>
            <w:vAlign w:val="center"/>
          </w:tcPr>
          <w:p>
            <w:pPr>
              <w:pStyle w:val="TableContents"/>
              <w:bidi w:val="0"/>
              <w:spacing w:before="0" w:after="0"/>
              <w:ind w:left="0" w:right="0" w:hanging="0"/>
              <w:jc w:val="both"/>
              <w:rPr/>
            </w:pPr>
            <w:hyperlink r:id="rId7">
              <w:r>
                <w:rPr>
                  <w:rStyle w:val="InternetLink"/>
                  <w:rFonts w:ascii="Times New Roman" w:hAnsi="Times New Roman"/>
                  <w:caps w:val="false"/>
                  <w:smallCaps w:val="false"/>
                  <w:sz w:val="20"/>
                </w:rPr>
                <w:t>Specimen of certificate representing Class A common stock, $.01 par value, of the Registrant (incorporated herein by reference to Exhibit 4.1 of the Company’s Registration Statement on Form 8-A filed July 9, 2002)</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5"/>
        <w:gridCol w:w="9570"/>
      </w:tblGrid>
      <w:tr>
        <w:trPr/>
        <w:tc>
          <w:tcPr>
            <w:tcW w:w="63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4.3</w:t>
            </w:r>
          </w:p>
        </w:tc>
        <w:tc>
          <w:tcPr>
            <w:tcW w:w="9570" w:type="dxa"/>
            <w:tcBorders/>
            <w:vAlign w:val="center"/>
          </w:tcPr>
          <w:p>
            <w:pPr>
              <w:pStyle w:val="TableContents"/>
              <w:bidi w:val="0"/>
              <w:spacing w:before="0" w:after="0"/>
              <w:ind w:left="0" w:right="0" w:hanging="0"/>
              <w:jc w:val="both"/>
              <w:rPr/>
            </w:pPr>
            <w:hyperlink r:id="rId8">
              <w:r>
                <w:rPr>
                  <w:rStyle w:val="InternetLink"/>
                  <w:rFonts w:ascii="Times New Roman" w:hAnsi="Times New Roman"/>
                  <w:caps w:val="false"/>
                  <w:smallCaps w:val="false"/>
                  <w:sz w:val="20"/>
                </w:rPr>
                <w:t>Description of the Registrant’s Securities Registered Pursuant to Section 12 of the Securities Exchange Act of 1934 (incorporated herein by reference to Exhibit 4.5 of the Company’s Form S-8 filed November 30,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1"/>
        <w:gridCol w:w="9414"/>
      </w:tblGrid>
      <w:tr>
        <w:trPr/>
        <w:tc>
          <w:tcPr>
            <w:tcW w:w="791"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10.1+</w:t>
            </w:r>
          </w:p>
        </w:tc>
        <w:tc>
          <w:tcPr>
            <w:tcW w:w="9414" w:type="dxa"/>
            <w:tcBorders/>
            <w:vAlign w:val="center"/>
          </w:tcPr>
          <w:p>
            <w:pPr>
              <w:pStyle w:val="TableContents"/>
              <w:bidi w:val="0"/>
              <w:spacing w:before="0" w:after="0"/>
              <w:ind w:left="0" w:right="0" w:hanging="0"/>
              <w:jc w:val="both"/>
              <w:rPr/>
            </w:pPr>
            <w:hyperlink r:id="rId9">
              <w:r>
                <w:rPr>
                  <w:rStyle w:val="InternetLink"/>
                  <w:rFonts w:ascii="Times New Roman" w:hAnsi="Times New Roman"/>
                  <w:caps w:val="false"/>
                  <w:smallCaps w:val="false"/>
                  <w:sz w:val="20"/>
                </w:rPr>
                <w:t>Rush Enterprises, Inc. Amended and Restated 2004 Employee Stock Purchase Plan (incorporated herein by reference to Exhibit 10.2 of the Company’s Current Report on Form 8-K (File No. 000-20797) filed May 22,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9"/>
        <w:gridCol w:w="9416"/>
      </w:tblGrid>
      <w:tr>
        <w:trPr/>
        <w:tc>
          <w:tcPr>
            <w:tcW w:w="789"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10.2+</w:t>
            </w:r>
          </w:p>
        </w:tc>
        <w:tc>
          <w:tcPr>
            <w:tcW w:w="9416" w:type="dxa"/>
            <w:tcBorders/>
            <w:vAlign w:val="center"/>
          </w:tcPr>
          <w:p>
            <w:pPr>
              <w:pStyle w:val="TableContents"/>
              <w:bidi w:val="0"/>
              <w:spacing w:before="0" w:after="0"/>
              <w:ind w:left="0" w:right="0" w:hanging="0"/>
              <w:jc w:val="both"/>
              <w:rPr/>
            </w:pPr>
            <w:hyperlink r:id="rId10">
              <w:r>
                <w:rPr>
                  <w:rStyle w:val="InternetLink"/>
                  <w:rFonts w:ascii="Times New Roman" w:hAnsi="Times New Roman"/>
                  <w:caps w:val="false"/>
                  <w:smallCaps w:val="false"/>
                  <w:sz w:val="20"/>
                </w:rPr>
                <w:t>Rush Enterprises, Inc. Amended and Restated 2006 Non-Employee Director Stock Plan (incorporated herein by reference to Exhibit 10.10 of the Company’s Form 10-K (File No. 000-20797) for the year ended December 31, 2010)</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2"/>
        <w:gridCol w:w="9413"/>
      </w:tblGrid>
      <w:tr>
        <w:trPr/>
        <w:tc>
          <w:tcPr>
            <w:tcW w:w="792"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10.3+</w:t>
            </w:r>
          </w:p>
        </w:tc>
        <w:tc>
          <w:tcPr>
            <w:tcW w:w="9413" w:type="dxa"/>
            <w:tcBorders/>
            <w:vAlign w:val="center"/>
          </w:tcPr>
          <w:p>
            <w:pPr>
              <w:pStyle w:val="TableContents"/>
              <w:bidi w:val="0"/>
              <w:spacing w:before="0" w:after="0"/>
              <w:ind w:left="0" w:right="0" w:hanging="0"/>
              <w:jc w:val="both"/>
              <w:rPr/>
            </w:pPr>
            <w:hyperlink r:id="rId11">
              <w:r>
                <w:rPr>
                  <w:rStyle w:val="InternetLink"/>
                  <w:rFonts w:ascii="Times New Roman" w:hAnsi="Times New Roman"/>
                  <w:caps w:val="false"/>
                  <w:smallCaps w:val="false"/>
                  <w:sz w:val="20"/>
                </w:rPr>
                <w:t>Rush Enterprises, Inc. Amended and Restated 2007 Long-Term Incentive Plan (incorporated herein by reference to Exhibit 10.1 of the Company’s Current Report on Form 8-K (File No. 000-20797) filed May 22,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0"/>
        <w:gridCol w:w="9425"/>
      </w:tblGrid>
      <w:tr>
        <w:trPr/>
        <w:tc>
          <w:tcPr>
            <w:tcW w:w="780"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10.4+</w:t>
            </w:r>
          </w:p>
        </w:tc>
        <w:tc>
          <w:tcPr>
            <w:tcW w:w="9425" w:type="dxa"/>
            <w:tcBorders/>
            <w:vAlign w:val="center"/>
          </w:tcPr>
          <w:p>
            <w:pPr>
              <w:pStyle w:val="TableContents"/>
              <w:bidi w:val="0"/>
              <w:spacing w:before="0" w:after="0"/>
              <w:ind w:left="0" w:right="0" w:hanging="0"/>
              <w:jc w:val="both"/>
              <w:rPr/>
            </w:pPr>
            <w:hyperlink r:id="rId12">
              <w:r>
                <w:rPr>
                  <w:rStyle w:val="InternetLink"/>
                  <w:rFonts w:ascii="Times New Roman" w:hAnsi="Times New Roman"/>
                  <w:caps w:val="false"/>
                  <w:smallCaps w:val="false"/>
                  <w:sz w:val="20"/>
                </w:rPr>
                <w:t>Form of Rush Enterprises, Inc. Amended and Restated 2007 Long-Term Incentive Plan Stock Option Award Agreement (incorporated herein by reference to Exhibit 10.5 of the Company’s Annual Report on Form 10-K (File No. 000-20797) filed December 31,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2"/>
        <w:gridCol w:w="9423"/>
      </w:tblGrid>
      <w:tr>
        <w:trPr/>
        <w:tc>
          <w:tcPr>
            <w:tcW w:w="782"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10.5+</w:t>
            </w:r>
          </w:p>
        </w:tc>
        <w:tc>
          <w:tcPr>
            <w:tcW w:w="9423" w:type="dxa"/>
            <w:tcBorders/>
            <w:vAlign w:val="center"/>
          </w:tcPr>
          <w:p>
            <w:pPr>
              <w:pStyle w:val="TableContents"/>
              <w:bidi w:val="0"/>
              <w:spacing w:before="0" w:after="0"/>
              <w:ind w:left="0" w:right="0" w:hanging="0"/>
              <w:jc w:val="both"/>
              <w:rPr/>
            </w:pPr>
            <w:hyperlink r:id="rId13">
              <w:r>
                <w:rPr>
                  <w:rStyle w:val="InternetLink"/>
                  <w:rFonts w:ascii="Times New Roman" w:hAnsi="Times New Roman"/>
                  <w:caps w:val="false"/>
                  <w:smallCaps w:val="false"/>
                  <w:sz w:val="20"/>
                </w:rPr>
                <w:t>Form of Rush Enterprises, Inc. Amended and Restated 2007 Long-Term Incentive Plan Restricted Stock Award Agreement (incorporated herein by reference to Exhibit 10.6 of the Company’s Annual Report on Form 10-K (File No. 000-20797) filed December 31,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
        <w:gridCol w:w="9419"/>
      </w:tblGrid>
      <w:tr>
        <w:trPr/>
        <w:tc>
          <w:tcPr>
            <w:tcW w:w="786"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10.6+</w:t>
            </w:r>
          </w:p>
        </w:tc>
        <w:tc>
          <w:tcPr>
            <w:tcW w:w="9419" w:type="dxa"/>
            <w:tcBorders/>
            <w:vAlign w:val="center"/>
          </w:tcPr>
          <w:p>
            <w:pPr>
              <w:pStyle w:val="TableContents"/>
              <w:bidi w:val="0"/>
              <w:spacing w:before="0" w:after="0"/>
              <w:ind w:left="0" w:right="0" w:hanging="0"/>
              <w:jc w:val="both"/>
              <w:rPr/>
            </w:pPr>
            <w:hyperlink r:id="rId14">
              <w:r>
                <w:rPr>
                  <w:rStyle w:val="InternetLink"/>
                  <w:rFonts w:ascii="Times New Roman" w:hAnsi="Times New Roman"/>
                  <w:caps w:val="false"/>
                  <w:smallCaps w:val="false"/>
                  <w:sz w:val="20"/>
                </w:rPr>
                <w:t>Rush Enterprises, Inc. Deferred Compensation Plan (Amended and Restated Effective as of May 18, 2021) (incorporated herein by reference to Exhibit 10.1 of the Company’s Current Report on Form 8-K (File No. 000-20797) filed May 24, 2021)</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8"/>
        <w:gridCol w:w="9397"/>
      </w:tblGrid>
      <w:tr>
        <w:trPr/>
        <w:tc>
          <w:tcPr>
            <w:tcW w:w="808"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10.7+</w:t>
            </w:r>
          </w:p>
        </w:tc>
        <w:tc>
          <w:tcPr>
            <w:tcW w:w="9397" w:type="dxa"/>
            <w:tcBorders/>
            <w:vAlign w:val="center"/>
          </w:tcPr>
          <w:p>
            <w:pPr>
              <w:pStyle w:val="TableContents"/>
              <w:bidi w:val="0"/>
              <w:spacing w:before="0" w:after="0"/>
              <w:ind w:left="0" w:right="0" w:hanging="0"/>
              <w:jc w:val="both"/>
              <w:rPr/>
            </w:pPr>
            <w:hyperlink r:id="rId15">
              <w:r>
                <w:rPr>
                  <w:rStyle w:val="InternetLink"/>
                  <w:rFonts w:ascii="Times New Roman" w:hAnsi="Times New Roman"/>
                  <w:caps w:val="false"/>
                  <w:smallCaps w:val="false"/>
                  <w:sz w:val="20"/>
                </w:rPr>
                <w:t>Form of Indemnity Agreement (incorporated herein by reference to Exhibit 10.1 of the Company’s Current Report on Form 8-K (File No. 000-20797) filed January 7, 2015)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9420"/>
      </w:tblGrid>
      <w:tr>
        <w:trPr/>
        <w:tc>
          <w:tcPr>
            <w:tcW w:w="78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10.8+</w:t>
            </w:r>
          </w:p>
        </w:tc>
        <w:tc>
          <w:tcPr>
            <w:tcW w:w="9420" w:type="dxa"/>
            <w:tcBorders/>
            <w:vAlign w:val="center"/>
          </w:tcPr>
          <w:p>
            <w:pPr>
              <w:pStyle w:val="TableContents"/>
              <w:bidi w:val="0"/>
              <w:spacing w:before="0" w:after="0"/>
              <w:ind w:left="0" w:right="0" w:hanging="0"/>
              <w:jc w:val="both"/>
              <w:rPr/>
            </w:pPr>
            <w:hyperlink r:id="rId16">
              <w:r>
                <w:rPr>
                  <w:rStyle w:val="InternetLink"/>
                  <w:rFonts w:ascii="Times New Roman" w:hAnsi="Times New Roman"/>
                  <w:caps w:val="false"/>
                  <w:smallCaps w:val="false"/>
                  <w:sz w:val="20"/>
                </w:rPr>
                <w:t>Rush Enterprises, Inc. Executive Transition Plan (as Amended and Restated Effective as of February 20, 2018) (incorporated herein by reference to Exhibit 10.1 of the Company’s Current Report on Form 8-K (File No. 000-20797) filed February 26, 2018)</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8"/>
        <w:gridCol w:w="9417"/>
      </w:tblGrid>
      <w:tr>
        <w:trPr/>
        <w:tc>
          <w:tcPr>
            <w:tcW w:w="788"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10.9+</w:t>
            </w:r>
          </w:p>
        </w:tc>
        <w:tc>
          <w:tcPr>
            <w:tcW w:w="9417" w:type="dxa"/>
            <w:tcBorders/>
            <w:vAlign w:val="center"/>
          </w:tcPr>
          <w:p>
            <w:pPr>
              <w:pStyle w:val="TableContents"/>
              <w:bidi w:val="0"/>
              <w:spacing w:before="0" w:after="0"/>
              <w:ind w:left="0" w:right="0" w:hanging="0"/>
              <w:jc w:val="both"/>
              <w:rPr/>
            </w:pPr>
            <w:hyperlink r:id="rId17">
              <w:r>
                <w:rPr>
                  <w:rStyle w:val="InternetLink"/>
                  <w:rFonts w:ascii="Times New Roman" w:hAnsi="Times New Roman"/>
                  <w:caps w:val="false"/>
                  <w:smallCaps w:val="false"/>
                  <w:sz w:val="20"/>
                </w:rPr>
                <w:t>First Amendment to Rush Enterprises, Inc. Amended and Restated Executive Transition Plan (incorporated herein by reference to Exhibit 10.2 of the Company’s Current Report on Form 8-K (File No. 000-20797) filed February 22, 2021)</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10.10</w:t>
            </w:r>
          </w:p>
        </w:tc>
        <w:tc>
          <w:tcPr>
            <w:tcW w:w="9360" w:type="dxa"/>
            <w:tcBorders/>
            <w:vAlign w:val="center"/>
          </w:tcPr>
          <w:p>
            <w:pPr>
              <w:pStyle w:val="TableContents"/>
              <w:bidi w:val="0"/>
              <w:spacing w:before="0" w:after="0"/>
              <w:ind w:left="0" w:right="0" w:hanging="0"/>
              <w:jc w:val="both"/>
              <w:rPr/>
            </w:pPr>
            <w:hyperlink r:id="rId18">
              <w:r>
                <w:rPr>
                  <w:rStyle w:val="InternetLink"/>
                  <w:rFonts w:ascii="Times New Roman" w:hAnsi="Times New Roman"/>
                  <w:caps w:val="false"/>
                  <w:smallCaps w:val="false"/>
                  <w:sz w:val="20"/>
                </w:rPr>
                <w:t>Form of dealer agreement between Peterbilt Motors Company and Rush Truck Centers (incorporated herein by reference to Exhibit 10.18 of the Company’s Form 10-K (File No. 000-20797) for the year ended December 31, 1999)</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10.11</w:t>
            </w:r>
          </w:p>
        </w:tc>
        <w:tc>
          <w:tcPr>
            <w:tcW w:w="9360" w:type="dxa"/>
            <w:tcBorders/>
            <w:vAlign w:val="center"/>
          </w:tcPr>
          <w:p>
            <w:pPr>
              <w:pStyle w:val="TableContents"/>
              <w:bidi w:val="0"/>
              <w:spacing w:before="0" w:after="0"/>
              <w:ind w:left="0" w:right="0" w:hanging="0"/>
              <w:jc w:val="both"/>
              <w:rPr/>
            </w:pPr>
            <w:hyperlink r:id="rId19">
              <w:r>
                <w:rPr>
                  <w:rStyle w:val="InternetLink"/>
                  <w:rFonts w:ascii="Times New Roman" w:hAnsi="Times New Roman"/>
                  <w:caps w:val="false"/>
                  <w:smallCaps w:val="false"/>
                  <w:sz w:val="20"/>
                </w:rPr>
                <w:t>Amended and Restated Amendment to Dealer Sales and Service Agreements, dated July 6, 2023, by and among Peterbilt Motors Company, a division of PACCAR, Inc., Rush Enterprises, Inc. and the subsidiaries of Rush Enterprises, Inc. named a party therein (incorporated herein by reference to Exhibit 10.3 of the Company's Quarterly Report on Form 10-Q (File No. 000-20797) for the quarter ended September 30,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10.12</w:t>
            </w:r>
          </w:p>
        </w:tc>
        <w:tc>
          <w:tcPr>
            <w:tcW w:w="9360" w:type="dxa"/>
            <w:tcBorders/>
            <w:vAlign w:val="center"/>
          </w:tcPr>
          <w:p>
            <w:pPr>
              <w:pStyle w:val="TableContents"/>
              <w:bidi w:val="0"/>
              <w:spacing w:before="0" w:after="0"/>
              <w:ind w:left="0" w:right="0" w:hanging="0"/>
              <w:jc w:val="both"/>
              <w:rPr/>
            </w:pPr>
            <w:hyperlink r:id="rId20">
              <w:r>
                <w:rPr>
                  <w:rStyle w:val="InternetLink"/>
                  <w:rFonts w:ascii="Times New Roman" w:hAnsi="Times New Roman"/>
                  <w:caps w:val="false"/>
                  <w:smallCaps w:val="false"/>
                  <w:sz w:val="20"/>
                </w:rPr>
                <w:t>Fifth Amended and Restated Credit Agreement, dated as of September 14, 2021, by and among Rush Enterprises, Inc., the subsidiaries of Rush party thereto as borrowers, the Lenders signatory thereto and BMO Harris Bank N.A., as Administrative Agent and Collateral Agent (incorporated herein by reference to Exhibit 10.1 of the Company’s Current Report on Form 8-K (File No. 000-20797) filed September 20, 2021)</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10.13</w:t>
            </w:r>
          </w:p>
        </w:tc>
        <w:tc>
          <w:tcPr>
            <w:tcW w:w="9360" w:type="dxa"/>
            <w:tcBorders/>
            <w:vAlign w:val="center"/>
          </w:tcPr>
          <w:p>
            <w:pPr>
              <w:pStyle w:val="TableContents"/>
              <w:bidi w:val="0"/>
              <w:spacing w:before="0" w:after="0"/>
              <w:ind w:left="0" w:right="0" w:hanging="0"/>
              <w:jc w:val="both"/>
              <w:rPr/>
            </w:pPr>
            <w:hyperlink r:id="rId21">
              <w:r>
                <w:rPr>
                  <w:rStyle w:val="InternetLink"/>
                  <w:rFonts w:ascii="Times New Roman" w:hAnsi="Times New Roman"/>
                  <w:caps w:val="false"/>
                  <w:smallCaps w:val="false"/>
                  <w:sz w:val="20"/>
                </w:rPr>
                <w:t>First Amendment to Fifth Amended and Restated Credit Agreement, dated as of May 31, 2023, by and among the Company and certain of its subsidiaries, the Lenders signatory thereto and BMO Harris Bank N.A., as administrative agent and collateral agent for the Lenders (incorporated herein by reference to Exhibit 10.1 of the Company’s Current Report on Form 8-K (File No. 000-20797) filed June 6,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10.14</w:t>
            </w:r>
          </w:p>
        </w:tc>
        <w:tc>
          <w:tcPr>
            <w:tcW w:w="9360" w:type="dxa"/>
            <w:tcBorders/>
            <w:vAlign w:val="center"/>
          </w:tcPr>
          <w:p>
            <w:pPr>
              <w:pStyle w:val="TableContents"/>
              <w:bidi w:val="0"/>
              <w:spacing w:before="0" w:after="0"/>
              <w:ind w:left="0" w:right="0" w:hanging="0"/>
              <w:jc w:val="both"/>
              <w:rPr/>
            </w:pPr>
            <w:hyperlink r:id="rId22">
              <w:r>
                <w:rPr>
                  <w:rStyle w:val="InternetLink"/>
                  <w:rFonts w:ascii="Times New Roman" w:hAnsi="Times New Roman"/>
                  <w:caps w:val="false"/>
                  <w:smallCaps w:val="false"/>
                  <w:sz w:val="20"/>
                </w:rPr>
                <w:t>Second Amendment to the Fifth Amended and Restated Credit Agreement, dated as of December 12, 2024, by and among the Company and certain of its subsidiaries, the Lenders signatory thereto, Frost Bank and BMO Bank N.A., as administrative agent and collateral agent for the Lenders (incorporated herein by reference to Exhibit 10.1 of the Company’s Current Report on Form 8-K (File No. 000-20797) filed December 18,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10.15</w:t>
            </w:r>
          </w:p>
        </w:tc>
        <w:tc>
          <w:tcPr>
            <w:tcW w:w="9360" w:type="dxa"/>
            <w:tcBorders/>
            <w:vAlign w:val="center"/>
          </w:tcPr>
          <w:p>
            <w:pPr>
              <w:pStyle w:val="TableContents"/>
              <w:bidi w:val="0"/>
              <w:spacing w:before="0" w:after="0"/>
              <w:ind w:left="0" w:right="0" w:hanging="0"/>
              <w:jc w:val="both"/>
              <w:rPr/>
            </w:pPr>
            <w:hyperlink r:id="rId23">
              <w:r>
                <w:rPr>
                  <w:rStyle w:val="InternetLink"/>
                  <w:rFonts w:ascii="Times New Roman" w:hAnsi="Times New Roman"/>
                  <w:caps w:val="false"/>
                  <w:smallCaps w:val="false"/>
                  <w:sz w:val="20"/>
                </w:rPr>
                <w:t>Guaranty Agreement, dated December 31, 2010, by Rush Enterprises, Inc. and each other Guarantor party thereto in favor of General Electric Capital Corporation. (incorporated herein by reference to Exhibit 10.2 of the Company’s Current Report on Form 8-K (File No. 000-20797) filed January 6, 2011)</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10.16</w:t>
            </w:r>
          </w:p>
        </w:tc>
        <w:tc>
          <w:tcPr>
            <w:tcW w:w="9360" w:type="dxa"/>
            <w:tcBorders/>
            <w:vAlign w:val="center"/>
          </w:tcPr>
          <w:p>
            <w:pPr>
              <w:pStyle w:val="TableContents"/>
              <w:bidi w:val="0"/>
              <w:spacing w:before="0" w:after="0"/>
              <w:ind w:left="0" w:right="0" w:hanging="0"/>
              <w:jc w:val="both"/>
              <w:rPr/>
            </w:pPr>
            <w:hyperlink r:id="rId24">
              <w:r>
                <w:rPr>
                  <w:rStyle w:val="InternetLink"/>
                  <w:rFonts w:ascii="Times New Roman" w:hAnsi="Times New Roman"/>
                  <w:caps w:val="false"/>
                  <w:smallCaps w:val="false"/>
                  <w:sz w:val="20"/>
                </w:rPr>
                <w:t>Credit Agreement, dated as of September 14, 2021 by and among Rush Enterprises, Inc., the subsidiaries of Rush party thereto as borrowers, the Lenders signatory thereto and Wells Fargo Bank, National Association, as Administrative Agent (incorporated herein by reference to Exhibit 10.2 of the Company’s Current Report on Form 8-K (File No. 000-20797) filed September 20, 2021)</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10.17</w:t>
            </w:r>
          </w:p>
        </w:tc>
        <w:tc>
          <w:tcPr>
            <w:tcW w:w="9360" w:type="dxa"/>
            <w:tcBorders/>
            <w:vAlign w:val="center"/>
          </w:tcPr>
          <w:p>
            <w:pPr>
              <w:pStyle w:val="TableContents"/>
              <w:bidi w:val="0"/>
              <w:spacing w:before="0" w:after="0"/>
              <w:ind w:left="0" w:right="0" w:hanging="0"/>
              <w:jc w:val="both"/>
              <w:rPr/>
            </w:pPr>
            <w:hyperlink r:id="rId25">
              <w:r>
                <w:rPr>
                  <w:rStyle w:val="InternetLink"/>
                  <w:rFonts w:ascii="Times New Roman" w:hAnsi="Times New Roman"/>
                  <w:caps w:val="false"/>
                  <w:smallCaps w:val="false"/>
                  <w:sz w:val="20"/>
                </w:rPr>
                <w:t>First Amendment to Credit Agreement, dated as of November 30, 2022 by and among Rush Enterprises, Inc. and certain of its subsidiaries, the Lenders party thereto and Wells Fargo Bank, National Association, as Administrative Agent (incorporated herein by reference to Exhibit 10.1 of the Company’s Current Report on Form 8-K (File No. 000-20797) filed December 2, 2022)</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10.18</w:t>
            </w:r>
          </w:p>
        </w:tc>
        <w:tc>
          <w:tcPr>
            <w:tcW w:w="9360" w:type="dxa"/>
            <w:tcBorders/>
            <w:vAlign w:val="center"/>
          </w:tcPr>
          <w:p>
            <w:pPr>
              <w:pStyle w:val="TableContents"/>
              <w:bidi w:val="0"/>
              <w:spacing w:before="0" w:after="0"/>
              <w:ind w:left="0" w:right="0" w:hanging="0"/>
              <w:jc w:val="both"/>
              <w:rPr/>
            </w:pPr>
            <w:hyperlink r:id="rId26">
              <w:r>
                <w:rPr>
                  <w:rStyle w:val="InternetLink"/>
                  <w:rFonts w:ascii="Times New Roman" w:hAnsi="Times New Roman"/>
                  <w:caps w:val="false"/>
                  <w:smallCaps w:val="false"/>
                  <w:sz w:val="20"/>
                </w:rPr>
                <w:t>Second Amendment to Credit Agreement, dated as of December 22, 2023 by and among Rush Enterprises, Inc. and certain of its subsidiaries, the Lenders party thereto and Wells Fargo Bank, National Association, as Administrative Agent (incorporated herein by reference to Exhibit 10.1 of the Company’s Current Report on Form 8-K (File No. 000-20797) filed December 22,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10.19</w:t>
            </w:r>
          </w:p>
        </w:tc>
        <w:tc>
          <w:tcPr>
            <w:tcW w:w="9360" w:type="dxa"/>
            <w:tcBorders/>
            <w:vAlign w:val="center"/>
          </w:tcPr>
          <w:p>
            <w:pPr>
              <w:pStyle w:val="TableContents"/>
              <w:bidi w:val="0"/>
              <w:spacing w:before="0" w:after="283"/>
              <w:jc w:val="both"/>
              <w:rPr/>
            </w:pPr>
            <w:hyperlink r:id="rId27">
              <w:r>
                <w:rPr>
                  <w:rStyle w:val="InternetLink"/>
                  <w:rFonts w:ascii="Times New Roman;Times;serif" w:hAnsi="Times New Roman;Times;serif"/>
                  <w:sz w:val="20"/>
                </w:rPr>
                <w:t>Third Amendment to Credit Agreement, dated as of December 17, 2024, by and among Rush Enterprises, Inc. and certain of its subsidiaries, the Lenders party thereto and Wells Fargo Bank, National Association, as Administrative Agent (incorporated herein by reference to Exhibit 10.19 of the Company’s Annual Report on Form 10-K (File No. 000-20797) filed February 21, 2025)</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20"/>
        <w:gridCol w:w="9285"/>
      </w:tblGrid>
      <w:tr>
        <w:trPr/>
        <w:tc>
          <w:tcPr>
            <w:tcW w:w="920" w:type="dxa"/>
            <w:tcBorders/>
            <w:vAlign w:val="center"/>
          </w:tcPr>
          <w:p>
            <w:pPr>
              <w:pStyle w:val="TableContents"/>
              <w:bidi w:val="0"/>
              <w:spacing w:before="0" w:after="283"/>
              <w:ind w:left="0" w:right="0" w:firstLine="360"/>
              <w:jc w:val="both"/>
              <w:rPr/>
            </w:pPr>
            <w:r>
              <w:rPr/>
              <w:t>10.20</w:t>
            </w:r>
          </w:p>
        </w:tc>
        <w:tc>
          <w:tcPr>
            <w:tcW w:w="9285" w:type="dxa"/>
            <w:tcBorders/>
            <w:vAlign w:val="center"/>
          </w:tcPr>
          <w:p>
            <w:pPr>
              <w:pStyle w:val="TableContents"/>
              <w:bidi w:val="0"/>
              <w:spacing w:before="0" w:after="283"/>
              <w:jc w:val="both"/>
              <w:rPr/>
            </w:pPr>
            <w:hyperlink r:id="rId28">
              <w:r>
                <w:rPr>
                  <w:rStyle w:val="InternetLink"/>
                  <w:rFonts w:ascii="Times New Roman;Times;serif" w:hAnsi="Times New Roman;Times;serif"/>
                  <w:sz w:val="20"/>
                  <w:u w:val="single"/>
                </w:rPr>
                <w:t>Fourth Amendment to Credit Agreement, dated as of September 30, 2025, by and among Rush Enterprises, Inc., and certain subsidiaries, the Lenders party thereto and Wells Fargo Bank, National Association, as Administrative Agent (incorporated herein by reference to Exhibit 10.1 of the Company’s Current Report on Form 8-K (File No. 000-20797) filed November 3,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10.21</w:t>
            </w:r>
          </w:p>
        </w:tc>
        <w:tc>
          <w:tcPr>
            <w:tcW w:w="9360" w:type="dxa"/>
            <w:tcBorders/>
            <w:vAlign w:val="center"/>
          </w:tcPr>
          <w:p>
            <w:pPr>
              <w:pStyle w:val="TableContents"/>
              <w:bidi w:val="0"/>
              <w:spacing w:before="0" w:after="0"/>
              <w:ind w:left="0" w:right="0" w:hanging="0"/>
              <w:jc w:val="both"/>
              <w:rPr/>
            </w:pPr>
            <w:hyperlink r:id="rId29">
              <w:r>
                <w:rPr>
                  <w:rStyle w:val="InternetLink"/>
                  <w:rFonts w:ascii="Times New Roman" w:hAnsi="Times New Roman"/>
                  <w:caps w:val="false"/>
                  <w:smallCaps w:val="false"/>
                  <w:sz w:val="20"/>
                </w:rPr>
                <w:t>Collateral Agreement, dated as of September 14, 2021, executed by Rush Enterprises, Inc. and the subsidiaries of Rush party thereto as borrowers in favor of Wells Fargo Bank, National Association, as Administrative Agent (incorporated herein by reference to Exhibit 10.3 of the Company’s Current Report on Form 8-K (File No. 000-20797) filed September 20, 2021)</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10.22</w:t>
            </w:r>
          </w:p>
        </w:tc>
        <w:tc>
          <w:tcPr>
            <w:tcW w:w="9360" w:type="dxa"/>
            <w:tcBorders/>
            <w:vAlign w:val="center"/>
          </w:tcPr>
          <w:p>
            <w:pPr>
              <w:pStyle w:val="TableContents"/>
              <w:bidi w:val="0"/>
              <w:spacing w:before="0" w:after="0"/>
              <w:ind w:left="0" w:right="0" w:hanging="0"/>
              <w:jc w:val="both"/>
              <w:rPr/>
            </w:pPr>
            <w:hyperlink r:id="rId30">
              <w:r>
                <w:rPr>
                  <w:rStyle w:val="InternetLink"/>
                  <w:rFonts w:ascii="Times New Roman" w:hAnsi="Times New Roman"/>
                  <w:caps w:val="false"/>
                  <w:smallCaps w:val="false"/>
                  <w:sz w:val="20"/>
                </w:rPr>
                <w:t>Guaranty Agreement, dated as of September 14, 2021, executed by Rush Enterprises, Inc. in favor of Wells Fargo Bank, National Association, as Administrative Agent (incorporated herein by reference to Exhibit 10.4 of the Company’s Current Report on Form 8-K (File No. 000-20797) filed September 20, 2021)</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10.23</w:t>
            </w:r>
          </w:p>
        </w:tc>
        <w:tc>
          <w:tcPr>
            <w:tcW w:w="9360" w:type="dxa"/>
            <w:tcBorders/>
            <w:vAlign w:val="center"/>
          </w:tcPr>
          <w:p>
            <w:pPr>
              <w:pStyle w:val="TableContents"/>
              <w:bidi w:val="0"/>
              <w:spacing w:before="0" w:after="0"/>
              <w:ind w:left="0" w:right="0" w:hanging="0"/>
              <w:jc w:val="both"/>
              <w:rPr/>
            </w:pPr>
            <w:hyperlink r:id="rId31">
              <w:r>
                <w:rPr>
                  <w:rStyle w:val="InternetLink"/>
                  <w:rFonts w:ascii="Times New Roman" w:hAnsi="Times New Roman"/>
                  <w:caps w:val="false"/>
                  <w:smallCaps w:val="false"/>
                  <w:sz w:val="20"/>
                </w:rPr>
                <w:t>Second Amended and Restated Inventory Financing and Purchase Money Security Agreement, dated as of November 1, 2023, by and between Rush Truck Leasing, Inc. and PACCAR Leasing Company (incorporated herein by reference to Exhibit 10.1 of the Company’s Current Report on Form 8-K (File No. 000-20797) filed November 6,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10.24</w:t>
            </w:r>
          </w:p>
        </w:tc>
        <w:tc>
          <w:tcPr>
            <w:tcW w:w="9360" w:type="dxa"/>
            <w:tcBorders/>
            <w:vAlign w:val="center"/>
          </w:tcPr>
          <w:p>
            <w:pPr>
              <w:pStyle w:val="TableContents"/>
              <w:bidi w:val="0"/>
              <w:spacing w:before="0" w:after="0"/>
              <w:ind w:left="0" w:right="0" w:hanging="0"/>
              <w:jc w:val="both"/>
              <w:rPr/>
            </w:pPr>
            <w:hyperlink r:id="rId32">
              <w:r>
                <w:rPr>
                  <w:rStyle w:val="InternetLink"/>
                  <w:rFonts w:ascii="Times New Roman" w:hAnsi="Times New Roman"/>
                  <w:caps w:val="false"/>
                  <w:smallCaps w:val="false"/>
                  <w:sz w:val="20"/>
                </w:rPr>
                <w:t>Corporate Guarantee dated November 1, 2002, issued by Rush Enterprises, Inc. in favor of PACCAR Leasing Company (incorporated herein by reference to Exhibit 10.3 of the Company’s Current Report on Form 8-K (File No. 000-20797) filed October 7, 2021)</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10.25</w:t>
            </w:r>
          </w:p>
        </w:tc>
        <w:tc>
          <w:tcPr>
            <w:tcW w:w="9360" w:type="dxa"/>
            <w:tcBorders/>
            <w:vAlign w:val="center"/>
          </w:tcPr>
          <w:p>
            <w:pPr>
              <w:pStyle w:val="TableContents"/>
              <w:bidi w:val="0"/>
              <w:spacing w:before="0" w:after="0"/>
              <w:ind w:left="0" w:right="0" w:hanging="0"/>
              <w:jc w:val="both"/>
              <w:rPr/>
            </w:pPr>
            <w:hyperlink r:id="rId33">
              <w:r>
                <w:rPr>
                  <w:rStyle w:val="InternetLink"/>
                  <w:rFonts w:ascii="Times New Roman" w:hAnsi="Times New Roman"/>
                  <w:caps w:val="false"/>
                  <w:smallCaps w:val="false"/>
                  <w:sz w:val="20"/>
                </w:rPr>
                <w:t>First Amendment to Second Amended and Restated Inventory Financing and Purchase Money Security Agreement, dated as of April 9, 2024, by and between Rush Truck Leasing, Inc. and PACCAR Leasing Company (incorporated by reference to Exhibit 10.1 of the Company’s Current Report on Form 8-K (File No. 000-20797) filed April 15,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10.26</w:t>
            </w:r>
          </w:p>
        </w:tc>
        <w:tc>
          <w:tcPr>
            <w:tcW w:w="9360" w:type="dxa"/>
            <w:tcBorders/>
            <w:vAlign w:val="center"/>
          </w:tcPr>
          <w:p>
            <w:pPr>
              <w:pStyle w:val="TableContents"/>
              <w:bidi w:val="0"/>
              <w:spacing w:before="0" w:after="0"/>
              <w:ind w:left="0" w:right="0" w:hanging="0"/>
              <w:jc w:val="both"/>
              <w:rPr/>
            </w:pPr>
            <w:hyperlink r:id="rId34">
              <w:r>
                <w:rPr>
                  <w:rStyle w:val="InternetLink"/>
                  <w:rFonts w:ascii="Times New Roman" w:hAnsi="Times New Roman"/>
                  <w:caps w:val="false"/>
                  <w:smallCaps w:val="false"/>
                  <w:sz w:val="20"/>
                </w:rPr>
                <w:t>Second Amendment to Second Amended and Restated Inventory Financing and Purchase Money Security Agreement, dated as of December 16, 2024, by and between Rush Truck Leasing, Inc. and PACCAR Leasing Company (incorporated herein by reference to Exhibit 10.5 of the Company’s Current Report on Form 8-K (File No. 000-20797) filed December 18,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10.27</w:t>
            </w:r>
          </w:p>
        </w:tc>
        <w:tc>
          <w:tcPr>
            <w:tcW w:w="9360" w:type="dxa"/>
            <w:tcBorders/>
            <w:vAlign w:val="center"/>
          </w:tcPr>
          <w:p>
            <w:pPr>
              <w:pStyle w:val="TableContents"/>
              <w:bidi w:val="0"/>
              <w:spacing w:before="0" w:after="0"/>
              <w:ind w:left="0" w:right="0" w:hanging="0"/>
              <w:jc w:val="both"/>
              <w:rPr/>
            </w:pPr>
            <w:hyperlink r:id="rId35">
              <w:r>
                <w:rPr>
                  <w:rStyle w:val="InternetLink"/>
                  <w:rFonts w:ascii="Times New Roman" w:hAnsi="Times New Roman"/>
                  <w:caps w:val="false"/>
                  <w:smallCaps w:val="false"/>
                  <w:sz w:val="20"/>
                </w:rPr>
                <w:t>Second Amended and Restated Promissory Note to PACCAR Leasing Company dated December 16, 2024 (incorporated herein by reference to Exhibit 10.6 of the Company’s Current Report on Form 8-K (File No. 000-20797) filed December 18,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10.28</w:t>
            </w:r>
          </w:p>
        </w:tc>
        <w:tc>
          <w:tcPr>
            <w:tcW w:w="9360" w:type="dxa"/>
            <w:tcBorders/>
            <w:vAlign w:val="center"/>
          </w:tcPr>
          <w:p>
            <w:pPr>
              <w:pStyle w:val="TableContents"/>
              <w:bidi w:val="0"/>
              <w:spacing w:before="0" w:after="0"/>
              <w:ind w:left="0" w:right="0" w:hanging="0"/>
              <w:jc w:val="both"/>
              <w:rPr/>
            </w:pPr>
            <w:hyperlink r:id="rId36">
              <w:r>
                <w:rPr>
                  <w:rStyle w:val="InternetLink"/>
                  <w:rFonts w:ascii="Times New Roman" w:hAnsi="Times New Roman"/>
                  <w:caps w:val="false"/>
                  <w:smallCaps w:val="false"/>
                  <w:sz w:val="20"/>
                </w:rPr>
                <w:t>Inventory Finance and Purchase Money Security Agreement, dated as of December 16, 2024, by and among Rush Peterbilt Truck Centers, Rush Enterprises, Inc., as agent and borrower representative of Rush Peterbilt Truck Centers and PACCAR Financial Corp. (incorporated by reference to Exhibit 10.2 of the Company’s Current Report on Form 8-K (File No. 000-20797) filed December 18,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10.29</w:t>
            </w:r>
          </w:p>
        </w:tc>
        <w:tc>
          <w:tcPr>
            <w:tcW w:w="9360" w:type="dxa"/>
            <w:tcBorders/>
            <w:vAlign w:val="center"/>
          </w:tcPr>
          <w:p>
            <w:pPr>
              <w:pStyle w:val="TableContents"/>
              <w:bidi w:val="0"/>
              <w:spacing w:before="0" w:after="0"/>
              <w:ind w:left="0" w:right="0" w:hanging="0"/>
              <w:jc w:val="both"/>
              <w:rPr/>
            </w:pPr>
            <w:hyperlink r:id="rId37">
              <w:r>
                <w:rPr>
                  <w:rStyle w:val="InternetLink"/>
                  <w:rFonts w:ascii="Times New Roman" w:hAnsi="Times New Roman"/>
                  <w:caps w:val="false"/>
                  <w:smallCaps w:val="false"/>
                  <w:sz w:val="20"/>
                </w:rPr>
                <w:t>Promissory Note to PACCAR Financial Corp. dated December 16, 2024 (incorporated by reference to Exhibit 10.3 of the Company’s Current Report on Form 8-K (File No. 000-20797) filed December 18,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10.30</w:t>
            </w:r>
          </w:p>
        </w:tc>
        <w:tc>
          <w:tcPr>
            <w:tcW w:w="9360" w:type="dxa"/>
            <w:tcBorders/>
            <w:vAlign w:val="center"/>
          </w:tcPr>
          <w:p>
            <w:pPr>
              <w:pStyle w:val="TableContents"/>
              <w:bidi w:val="0"/>
              <w:spacing w:before="0" w:after="0"/>
              <w:ind w:left="0" w:right="0" w:hanging="0"/>
              <w:jc w:val="both"/>
              <w:rPr/>
            </w:pPr>
            <w:hyperlink r:id="rId38">
              <w:r>
                <w:rPr>
                  <w:rStyle w:val="InternetLink"/>
                  <w:rFonts w:ascii="Times New Roman" w:hAnsi="Times New Roman"/>
                  <w:caps w:val="false"/>
                  <w:smallCaps w:val="false"/>
                  <w:sz w:val="20"/>
                </w:rPr>
                <w:t>Corporate Guaranty dated December 16, 2024, issued by Rush Enterprises, Inc. in favor of PACCAR Financial Corp. (incorporated by reference to Exhibit 10.4 of the Company’s Current Report on Form 8-K (File No. 000-20797) filed December 18,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10.31</w:t>
            </w:r>
          </w:p>
        </w:tc>
        <w:tc>
          <w:tcPr>
            <w:tcW w:w="9360" w:type="dxa"/>
            <w:tcBorders/>
            <w:vAlign w:val="center"/>
          </w:tcPr>
          <w:p>
            <w:pPr>
              <w:pStyle w:val="TableContents"/>
              <w:bidi w:val="0"/>
              <w:spacing w:before="0" w:after="0"/>
              <w:ind w:left="0" w:right="0" w:hanging="0"/>
              <w:jc w:val="both"/>
              <w:rPr/>
            </w:pPr>
            <w:hyperlink r:id="rId39">
              <w:r>
                <w:rPr>
                  <w:rStyle w:val="InternetLink"/>
                  <w:rFonts w:ascii="Times New Roman" w:hAnsi="Times New Roman"/>
                  <w:caps w:val="false"/>
                  <w:smallCaps w:val="false"/>
                  <w:sz w:val="20"/>
                </w:rPr>
                <w:t>Bank of Montreal Revolving Lease and Rental Credit Agreement, dated May 31, 2022, between Rush Truck Centres of Canada Limited and Bank of Montreal (incorporated herein by reference to Exhibit 10.1 of the Company’s Current Report on Form 8-K (File No. 000-20797) filed June 6, 2022)</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10.32</w:t>
            </w:r>
          </w:p>
        </w:tc>
        <w:tc>
          <w:tcPr>
            <w:tcW w:w="9360" w:type="dxa"/>
            <w:tcBorders/>
            <w:vAlign w:val="center"/>
          </w:tcPr>
          <w:p>
            <w:pPr>
              <w:pStyle w:val="TableContents"/>
              <w:bidi w:val="0"/>
              <w:spacing w:before="0" w:after="0"/>
              <w:ind w:left="0" w:right="0" w:hanging="0"/>
              <w:jc w:val="both"/>
              <w:rPr/>
            </w:pPr>
            <w:hyperlink r:id="rId40">
              <w:r>
                <w:rPr>
                  <w:rStyle w:val="InternetLink"/>
                  <w:rFonts w:ascii="Times New Roman" w:hAnsi="Times New Roman"/>
                  <w:caps w:val="false"/>
                  <w:smallCaps w:val="false"/>
                  <w:sz w:val="20"/>
                </w:rPr>
                <w:t>First Amendment to the BMO Lease and Rental Credit Agreement, dated as of June 1, 2024, by and among RTC-Canada, the Company and BMO (incorporated herein by reference to Exhibit 10.1 of the Company’s Current Report on Form 8-K (File No. 000-20797) filed June 6, 2024)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10.33</w:t>
            </w:r>
          </w:p>
        </w:tc>
        <w:tc>
          <w:tcPr>
            <w:tcW w:w="9360" w:type="dxa"/>
            <w:tcBorders/>
            <w:vAlign w:val="center"/>
          </w:tcPr>
          <w:p>
            <w:pPr>
              <w:pStyle w:val="TableContents"/>
              <w:bidi w:val="0"/>
              <w:spacing w:before="0" w:after="0"/>
              <w:ind w:left="0" w:right="0" w:hanging="0"/>
              <w:jc w:val="both"/>
              <w:rPr/>
            </w:pPr>
            <w:hyperlink r:id="rId41">
              <w:r>
                <w:rPr>
                  <w:rStyle w:val="InternetLink"/>
                  <w:rFonts w:ascii="Times New Roman" w:hAnsi="Times New Roman"/>
                  <w:caps w:val="false"/>
                  <w:smallCaps w:val="false"/>
                  <w:sz w:val="20"/>
                </w:rPr>
                <w:t>Amended and Restated Guaranty Agreement, dated as of July 15, 2022, between Rush Enterprises, Inc. and Bank of Montreal (incorporated herein by reference to Exhibit 10.2 of the Company’s Current Report on Form 8-K (File No. 000-20797) filed July 21, 2022)</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10.34</w:t>
            </w:r>
          </w:p>
        </w:tc>
        <w:tc>
          <w:tcPr>
            <w:tcW w:w="9360" w:type="dxa"/>
            <w:tcBorders/>
            <w:vAlign w:val="center"/>
          </w:tcPr>
          <w:p>
            <w:pPr>
              <w:pStyle w:val="TableContents"/>
              <w:bidi w:val="0"/>
              <w:spacing w:before="0" w:after="0"/>
              <w:ind w:left="0" w:right="0" w:hanging="0"/>
              <w:jc w:val="both"/>
              <w:rPr/>
            </w:pPr>
            <w:hyperlink r:id="rId42">
              <w:r>
                <w:rPr>
                  <w:rStyle w:val="InternetLink"/>
                  <w:rFonts w:ascii="Times New Roman" w:hAnsi="Times New Roman"/>
                  <w:caps w:val="false"/>
                  <w:smallCaps w:val="false"/>
                  <w:sz w:val="20"/>
                </w:rPr>
                <w:t>First Amended and Restated BMO Wholesale Financing and Security Agreement, dated as of July 15, 2022, between Rush Truck Centres of Canada Limited and Bank of Montreal (incorporated herein by reference to Exhibit 10.1 of the Company’s Current Report on Form 8-K (File No. 000-20797) filed July 21, 2022)</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1"/>
        <w:gridCol w:w="9214"/>
      </w:tblGrid>
      <w:tr>
        <w:trPr/>
        <w:tc>
          <w:tcPr>
            <w:tcW w:w="991" w:type="dxa"/>
            <w:tcBorders/>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10.35</w:t>
            </w:r>
          </w:p>
        </w:tc>
        <w:tc>
          <w:tcPr>
            <w:tcW w:w="9214" w:type="dxa"/>
            <w:tcBorders/>
            <w:vAlign w:val="center"/>
          </w:tcPr>
          <w:p>
            <w:pPr>
              <w:pStyle w:val="TableContents"/>
              <w:bidi w:val="0"/>
              <w:spacing w:before="0" w:after="0"/>
              <w:ind w:left="0" w:right="0" w:hanging="0"/>
              <w:jc w:val="both"/>
              <w:rPr/>
            </w:pPr>
            <w:hyperlink r:id="rId43">
              <w:r>
                <w:rPr>
                  <w:rStyle w:val="InternetLink"/>
                  <w:rFonts w:ascii="Times New Roman;Times;serif" w:hAnsi="Times New Roman;Times;serif"/>
                  <w:caps w:val="false"/>
                  <w:smallCaps w:val="false"/>
                  <w:sz w:val="20"/>
                </w:rPr>
                <w:t>First Amendment to First Amended and Restated BMO Wholesale Financing and Security Agreement, dated as of May 31, 2023, by and among RTC-Canada and BMO (incorporated herein by reference to Exhibit 10.2 of the Company’s Current Report on Form 8-K (File No. 000-20797) filed June 6, 2023)</w:t>
              </w:r>
            </w:hyperlink>
          </w:p>
        </w:tc>
      </w:tr>
      <w:tr>
        <w:trPr/>
        <w:tc>
          <w:tcPr>
            <w:tcW w:w="991" w:type="dxa"/>
            <w:tcBorders/>
            <w:vAlign w:val="center"/>
          </w:tcPr>
          <w:p>
            <w:pPr>
              <w:pStyle w:val="TableContents"/>
              <w:bidi w:val="0"/>
              <w:spacing w:before="0" w:after="283"/>
              <w:jc w:val="left"/>
              <w:rPr/>
            </w:pPr>
            <w:r>
              <w:rPr/>
              <w:t> </w:t>
            </w:r>
          </w:p>
        </w:tc>
        <w:tc>
          <w:tcPr>
            <w:tcW w:w="9214" w:type="dxa"/>
            <w:tcBorders/>
            <w:vAlign w:val="center"/>
          </w:tcPr>
          <w:p>
            <w:pPr>
              <w:pStyle w:val="TableContents"/>
              <w:bidi w:val="0"/>
              <w:spacing w:before="0" w:after="283"/>
              <w:ind w:left="0" w:right="0" w:firstLine="360"/>
              <w:jc w:val="left"/>
              <w:rPr/>
            </w:pPr>
            <w:r>
              <w:rPr/>
              <w:t> </w:t>
            </w:r>
          </w:p>
        </w:tc>
      </w:tr>
      <w:tr>
        <w:trPr/>
        <w:tc>
          <w:tcPr>
            <w:tcW w:w="9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10.36</w:t>
            </w:r>
          </w:p>
        </w:tc>
        <w:tc>
          <w:tcPr>
            <w:tcW w:w="9214" w:type="dxa"/>
            <w:tcBorders/>
            <w:vAlign w:val="center"/>
          </w:tcPr>
          <w:p>
            <w:pPr>
              <w:pStyle w:val="TableContents"/>
              <w:bidi w:val="0"/>
              <w:spacing w:before="0" w:after="283"/>
              <w:jc w:val="both"/>
              <w:rPr/>
            </w:pPr>
            <w:hyperlink r:id="rId44">
              <w:r>
                <w:rPr>
                  <w:rStyle w:val="InternetLink"/>
                  <w:rFonts w:ascii="Times New Roman;Times;serif" w:hAnsi="Times New Roman;Times;serif"/>
                  <w:sz w:val="20"/>
                  <w:u w:val="single"/>
                </w:rPr>
                <w:t>Second Amendment to the Amended and Restated BMO Wholesale Financing and Security Agreement, dated as of June 1, 2024, by and among RTC-Canada and BMO (incorporated herein by reference to Exhibit 10.2 of the Company’s Current Report on Form 8-K (File No. 000-20797) filed June 6, 2024)</w:t>
              </w:r>
            </w:hyperlink>
          </w:p>
        </w:tc>
      </w:tr>
      <w:tr>
        <w:trPr/>
        <w:tc>
          <w:tcPr>
            <w:tcW w:w="991" w:type="dxa"/>
            <w:tcBorders/>
            <w:vAlign w:val="center"/>
          </w:tcPr>
          <w:p>
            <w:pPr>
              <w:pStyle w:val="TableContents"/>
              <w:bidi w:val="0"/>
              <w:spacing w:before="0" w:after="283"/>
              <w:jc w:val="left"/>
              <w:rPr/>
            </w:pPr>
            <w:r>
              <w:rPr/>
              <w:t> </w:t>
            </w:r>
          </w:p>
        </w:tc>
        <w:tc>
          <w:tcPr>
            <w:tcW w:w="9214" w:type="dxa"/>
            <w:tcBorders/>
            <w:vAlign w:val="center"/>
          </w:tcPr>
          <w:p>
            <w:pPr>
              <w:pStyle w:val="TableContents"/>
              <w:bidi w:val="0"/>
              <w:spacing w:before="0" w:after="283"/>
              <w:jc w:val="left"/>
              <w:rPr/>
            </w:pPr>
            <w:r>
              <w:rPr/>
              <w:t> </w:t>
            </w:r>
          </w:p>
        </w:tc>
      </w:tr>
      <w:tr>
        <w:trPr/>
        <w:tc>
          <w:tcPr>
            <w:tcW w:w="991" w:type="dxa"/>
            <w:tcBorders/>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10.37</w:t>
            </w:r>
          </w:p>
        </w:tc>
        <w:tc>
          <w:tcPr>
            <w:tcW w:w="9214" w:type="dxa"/>
            <w:tcBorders/>
            <w:vAlign w:val="center"/>
          </w:tcPr>
          <w:p>
            <w:pPr>
              <w:pStyle w:val="TableContents"/>
              <w:bidi w:val="0"/>
              <w:spacing w:before="0" w:after="283"/>
              <w:jc w:val="both"/>
              <w:rPr/>
            </w:pPr>
            <w:hyperlink r:id="rId45">
              <w:r>
                <w:rPr>
                  <w:rStyle w:val="InternetLink"/>
                  <w:rFonts w:ascii="Times New Roman;Times;serif" w:hAnsi="Times New Roman;Times;serif"/>
                  <w:sz w:val="20"/>
                  <w:u w:val="single"/>
                </w:rPr>
                <w:t>Third Amendment to the Amended and Restated BMO Wholesale Financing and Security Agreement, dated as of June 13, 2025, by and among RTC-Canada and BMO (incorporated herein by reference to Exhibit 10.1 of the Company’s Current Report on Form 8-K (File No. 000-20797) filed June 18, 2025)</w:t>
              </w:r>
            </w:hyperlink>
          </w:p>
        </w:tc>
      </w:tr>
      <w:tr>
        <w:trPr/>
        <w:tc>
          <w:tcPr>
            <w:tcW w:w="991" w:type="dxa"/>
            <w:tcBorders/>
            <w:vAlign w:val="center"/>
          </w:tcPr>
          <w:p>
            <w:pPr>
              <w:pStyle w:val="TableContents"/>
              <w:bidi w:val="0"/>
              <w:spacing w:before="0" w:after="283"/>
              <w:jc w:val="left"/>
              <w:rPr/>
            </w:pPr>
            <w:r>
              <w:rPr/>
              <w:t> </w:t>
            </w:r>
          </w:p>
        </w:tc>
        <w:tc>
          <w:tcPr>
            <w:tcW w:w="9214" w:type="dxa"/>
            <w:tcBorders/>
            <w:vAlign w:val="center"/>
          </w:tcPr>
          <w:p>
            <w:pPr>
              <w:pStyle w:val="TableContents"/>
              <w:bidi w:val="0"/>
              <w:spacing w:before="0" w:after="283"/>
              <w:jc w:val="left"/>
              <w:rPr/>
            </w:pPr>
            <w:r>
              <w:rPr/>
              <w:t> </w:t>
            </w:r>
          </w:p>
        </w:tc>
      </w:tr>
      <w:tr>
        <w:trPr/>
        <w:tc>
          <w:tcPr>
            <w:tcW w:w="991" w:type="dxa"/>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19.1</w:t>
            </w:r>
          </w:p>
        </w:tc>
        <w:tc>
          <w:tcPr>
            <w:tcW w:w="9214" w:type="dxa"/>
            <w:tcBorders/>
            <w:vAlign w:val="center"/>
          </w:tcPr>
          <w:p>
            <w:pPr>
              <w:pStyle w:val="TableContents"/>
              <w:bidi w:val="0"/>
              <w:spacing w:before="0" w:after="283"/>
              <w:jc w:val="both"/>
              <w:rPr/>
            </w:pPr>
            <w:hyperlink r:id="rId46">
              <w:r>
                <w:rPr>
                  <w:rStyle w:val="InternetLink"/>
                  <w:rFonts w:ascii="Times New Roman;Times;serif" w:hAnsi="Times New Roman;Times;serif"/>
                  <w:sz w:val="20"/>
                </w:rPr>
                <w:t>Rush Enterprises, Inc. Insider Trading Policy (incorporated herein by reference to Exhibit 19.1 of Company’s Annual Report on Form 10-K (File No. 000-20797) filed February 21, 2025)</w:t>
              </w:r>
            </w:hyperlink>
          </w:p>
        </w:tc>
      </w:tr>
      <w:tr>
        <w:trPr/>
        <w:tc>
          <w:tcPr>
            <w:tcW w:w="991" w:type="dxa"/>
            <w:tcBorders/>
            <w:vAlign w:val="center"/>
          </w:tcPr>
          <w:p>
            <w:pPr>
              <w:pStyle w:val="TableContents"/>
              <w:bidi w:val="0"/>
              <w:spacing w:before="0" w:after="283"/>
              <w:jc w:val="left"/>
              <w:rPr/>
            </w:pPr>
            <w:r>
              <w:rPr/>
              <w:t> </w:t>
            </w:r>
          </w:p>
        </w:tc>
        <w:tc>
          <w:tcPr>
            <w:tcW w:w="9214" w:type="dxa"/>
            <w:tcBorders/>
            <w:vAlign w:val="center"/>
          </w:tcPr>
          <w:p>
            <w:pPr>
              <w:pStyle w:val="TableContents"/>
              <w:bidi w:val="0"/>
              <w:spacing w:before="0" w:after="283"/>
              <w:jc w:val="left"/>
              <w:rPr/>
            </w:pPr>
            <w:r>
              <w:rPr/>
              <w:t> </w:t>
            </w:r>
          </w:p>
        </w:tc>
      </w:tr>
      <w:tr>
        <w:trPr/>
        <w:tc>
          <w:tcPr>
            <w:tcW w:w="991" w:type="dxa"/>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21.1*</w:t>
            </w:r>
          </w:p>
        </w:tc>
        <w:tc>
          <w:tcPr>
            <w:tcW w:w="9214" w:type="dxa"/>
            <w:tcBorders/>
            <w:vAlign w:val="center"/>
          </w:tcPr>
          <w:p>
            <w:pPr>
              <w:pStyle w:val="TableContents"/>
              <w:bidi w:val="0"/>
              <w:spacing w:before="0" w:after="0"/>
              <w:ind w:left="0" w:right="0" w:hanging="0"/>
              <w:jc w:val="both"/>
              <w:rPr/>
            </w:pPr>
            <w:hyperlink w:anchor="ex_923478.htm">
              <w:r>
                <w:rPr>
                  <w:rStyle w:val="InternetLink"/>
                  <w:rFonts w:ascii="Times New Roman;Times;serif" w:hAnsi="Times New Roman;Times;serif"/>
                  <w:caps w:val="false"/>
                  <w:smallCaps w:val="false"/>
                  <w:sz w:val="20"/>
                </w:rPr>
                <w:t>Subsidiaries of the Company</w:t>
              </w:r>
            </w:hyperlink>
          </w:p>
        </w:tc>
      </w:tr>
      <w:tr>
        <w:trPr/>
        <w:tc>
          <w:tcPr>
            <w:tcW w:w="991" w:type="dxa"/>
            <w:tcBorders/>
            <w:vAlign w:val="center"/>
          </w:tcPr>
          <w:p>
            <w:pPr>
              <w:pStyle w:val="TableContents"/>
              <w:bidi w:val="0"/>
              <w:spacing w:before="0" w:after="283"/>
              <w:jc w:val="left"/>
              <w:rPr/>
            </w:pPr>
            <w:r>
              <w:rPr/>
              <w:t> </w:t>
            </w:r>
          </w:p>
        </w:tc>
        <w:tc>
          <w:tcPr>
            <w:tcW w:w="9214" w:type="dxa"/>
            <w:tcBorders/>
            <w:vAlign w:val="center"/>
          </w:tcPr>
          <w:p>
            <w:pPr>
              <w:pStyle w:val="TableContents"/>
              <w:bidi w:val="0"/>
              <w:spacing w:before="0" w:after="283"/>
              <w:jc w:val="left"/>
              <w:rPr/>
            </w:pPr>
            <w:r>
              <w:rPr/>
              <w:t> </w:t>
            </w:r>
          </w:p>
        </w:tc>
      </w:tr>
      <w:tr>
        <w:trPr/>
        <w:tc>
          <w:tcPr>
            <w:tcW w:w="991" w:type="dxa"/>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23.1*</w:t>
            </w:r>
          </w:p>
        </w:tc>
        <w:tc>
          <w:tcPr>
            <w:tcW w:w="9214" w:type="dxa"/>
            <w:tcBorders/>
            <w:vAlign w:val="center"/>
          </w:tcPr>
          <w:p>
            <w:pPr>
              <w:pStyle w:val="TableContents"/>
              <w:bidi w:val="0"/>
              <w:spacing w:before="0" w:after="0"/>
              <w:ind w:left="0" w:right="0" w:hanging="0"/>
              <w:jc w:val="both"/>
              <w:rPr/>
            </w:pPr>
            <w:hyperlink w:anchor="ex_922226.htm">
              <w:r>
                <w:rPr>
                  <w:rStyle w:val="InternetLink"/>
                  <w:rFonts w:ascii="Times New Roman;Times;serif" w:hAnsi="Times New Roman;Times;serif"/>
                  <w:caps w:val="false"/>
                  <w:smallCaps w:val="false"/>
                  <w:sz w:val="20"/>
                </w:rPr>
                <w:t>Consent of Ernst &amp; Young LLP</w:t>
              </w:r>
            </w:hyperlink>
          </w:p>
        </w:tc>
      </w:tr>
      <w:tr>
        <w:trPr/>
        <w:tc>
          <w:tcPr>
            <w:tcW w:w="991" w:type="dxa"/>
            <w:tcBorders/>
            <w:vAlign w:val="center"/>
          </w:tcPr>
          <w:p>
            <w:pPr>
              <w:pStyle w:val="TableContents"/>
              <w:bidi w:val="0"/>
              <w:spacing w:before="0" w:after="283"/>
              <w:jc w:val="left"/>
              <w:rPr/>
            </w:pPr>
            <w:r>
              <w:rPr/>
              <w:t> </w:t>
            </w:r>
          </w:p>
        </w:tc>
        <w:tc>
          <w:tcPr>
            <w:tcW w:w="9214" w:type="dxa"/>
            <w:tcBorders/>
            <w:vAlign w:val="center"/>
          </w:tcPr>
          <w:p>
            <w:pPr>
              <w:pStyle w:val="TableContents"/>
              <w:bidi w:val="0"/>
              <w:spacing w:before="0" w:after="283"/>
              <w:jc w:val="left"/>
              <w:rPr/>
            </w:pPr>
            <w:r>
              <w:rPr/>
              <w:t> </w:t>
            </w:r>
          </w:p>
        </w:tc>
      </w:tr>
      <w:tr>
        <w:trPr/>
        <w:tc>
          <w:tcPr>
            <w:tcW w:w="991" w:type="dxa"/>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9214" w:type="dxa"/>
            <w:tcBorders/>
            <w:vAlign w:val="center"/>
          </w:tcPr>
          <w:p>
            <w:pPr>
              <w:pStyle w:val="TableContents"/>
              <w:bidi w:val="0"/>
              <w:spacing w:before="0" w:after="0"/>
              <w:ind w:left="0" w:right="0" w:hanging="0"/>
              <w:jc w:val="both"/>
              <w:rPr/>
            </w:pPr>
            <w:hyperlink w:anchor="ex_922227.htm">
              <w:r>
                <w:rPr>
                  <w:rStyle w:val="InternetLink"/>
                  <w:rFonts w:ascii="Times New Roman;Times;serif" w:hAnsi="Times New Roman;Times;serif"/>
                  <w:caps w:val="false"/>
                  <w:smallCaps w:val="false"/>
                  <w:sz w:val="20"/>
                </w:rPr>
                <w:t>Certification of President and Chief Executive Officer pursuant to Rules 13a-14(a) and 15d-14(a), as adopted pursuant to Section 302 of the Sarbanes-Oxley Act of 2002</w:t>
              </w:r>
            </w:hyperlink>
          </w:p>
        </w:tc>
      </w:tr>
      <w:tr>
        <w:trPr/>
        <w:tc>
          <w:tcPr>
            <w:tcW w:w="991" w:type="dxa"/>
            <w:tcBorders/>
            <w:vAlign w:val="center"/>
          </w:tcPr>
          <w:p>
            <w:pPr>
              <w:pStyle w:val="TableContents"/>
              <w:bidi w:val="0"/>
              <w:spacing w:before="0" w:after="283"/>
              <w:jc w:val="left"/>
              <w:rPr/>
            </w:pPr>
            <w:r>
              <w:rPr/>
              <w:t> </w:t>
            </w:r>
          </w:p>
        </w:tc>
        <w:tc>
          <w:tcPr>
            <w:tcW w:w="9214" w:type="dxa"/>
            <w:tcBorders/>
            <w:vAlign w:val="center"/>
          </w:tcPr>
          <w:p>
            <w:pPr>
              <w:pStyle w:val="TableContents"/>
              <w:bidi w:val="0"/>
              <w:spacing w:before="0" w:after="283"/>
              <w:jc w:val="left"/>
              <w:rPr/>
            </w:pPr>
            <w:r>
              <w:rPr/>
              <w:t> </w:t>
            </w:r>
          </w:p>
        </w:tc>
      </w:tr>
      <w:tr>
        <w:trPr/>
        <w:tc>
          <w:tcPr>
            <w:tcW w:w="991" w:type="dxa"/>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9214" w:type="dxa"/>
            <w:tcBorders/>
            <w:vAlign w:val="center"/>
          </w:tcPr>
          <w:p>
            <w:pPr>
              <w:pStyle w:val="TableContents"/>
              <w:bidi w:val="0"/>
              <w:spacing w:before="0" w:after="0"/>
              <w:ind w:left="0" w:right="0" w:hanging="0"/>
              <w:jc w:val="both"/>
              <w:rPr/>
            </w:pPr>
            <w:hyperlink w:anchor="ex_922228.htm">
              <w:r>
                <w:rPr>
                  <w:rStyle w:val="InternetLink"/>
                  <w:rFonts w:ascii="Times New Roman;Times;serif" w:hAnsi="Times New Roman;Times;serif"/>
                  <w:caps w:val="false"/>
                  <w:smallCaps w:val="false"/>
                  <w:sz w:val="20"/>
                </w:rPr>
                <w:t>Certification of Chief Financial Officer pursuant to Rules 13a-14(a) and 15d-14(a), as adopted pursuant to Section 302 of the Sarbanes-Oxley Act of 2002</w:t>
              </w:r>
            </w:hyperlink>
          </w:p>
        </w:tc>
      </w:tr>
      <w:tr>
        <w:trPr/>
        <w:tc>
          <w:tcPr>
            <w:tcW w:w="991" w:type="dxa"/>
            <w:tcBorders/>
            <w:vAlign w:val="center"/>
          </w:tcPr>
          <w:p>
            <w:pPr>
              <w:pStyle w:val="TableContents"/>
              <w:bidi w:val="0"/>
              <w:spacing w:before="0" w:after="283"/>
              <w:jc w:val="left"/>
              <w:rPr/>
            </w:pPr>
            <w:r>
              <w:rPr/>
              <w:t> </w:t>
            </w:r>
          </w:p>
        </w:tc>
        <w:tc>
          <w:tcPr>
            <w:tcW w:w="9214" w:type="dxa"/>
            <w:tcBorders/>
            <w:vAlign w:val="center"/>
          </w:tcPr>
          <w:p>
            <w:pPr>
              <w:pStyle w:val="TableContents"/>
              <w:bidi w:val="0"/>
              <w:spacing w:before="0" w:after="283"/>
              <w:jc w:val="left"/>
              <w:rPr/>
            </w:pPr>
            <w:r>
              <w:rPr/>
              <w:t> </w:t>
            </w:r>
          </w:p>
        </w:tc>
      </w:tr>
      <w:tr>
        <w:trPr/>
        <w:tc>
          <w:tcPr>
            <w:tcW w:w="991" w:type="dxa"/>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9214" w:type="dxa"/>
            <w:tcBorders/>
            <w:vAlign w:val="center"/>
          </w:tcPr>
          <w:p>
            <w:pPr>
              <w:pStyle w:val="TableContents"/>
              <w:bidi w:val="0"/>
              <w:spacing w:before="0" w:after="0"/>
              <w:ind w:left="0" w:right="0" w:hanging="0"/>
              <w:jc w:val="both"/>
              <w:rPr/>
            </w:pPr>
            <w:hyperlink w:anchor="ex_922229.htm">
              <w:r>
                <w:rPr>
                  <w:rStyle w:val="InternetLink"/>
                  <w:rFonts w:ascii="Times New Roman;Times;serif" w:hAnsi="Times New Roman;Times;serif"/>
                  <w:caps w:val="false"/>
                  <w:smallCaps w:val="false"/>
                  <w:sz w:val="20"/>
                </w:rPr>
                <w:t>Certification Pursuant to 18 U.S.C. Section 1350, as Adopted Pursuant to Section 906 of the Sarbanes-Oxley Act of 2002</w:t>
              </w:r>
            </w:hyperlink>
          </w:p>
        </w:tc>
      </w:tr>
      <w:tr>
        <w:trPr/>
        <w:tc>
          <w:tcPr>
            <w:tcW w:w="991" w:type="dxa"/>
            <w:tcBorders/>
            <w:vAlign w:val="center"/>
          </w:tcPr>
          <w:p>
            <w:pPr>
              <w:pStyle w:val="TableContents"/>
              <w:bidi w:val="0"/>
              <w:spacing w:before="0" w:after="283"/>
              <w:jc w:val="left"/>
              <w:rPr/>
            </w:pPr>
            <w:r>
              <w:rPr/>
              <w:t> </w:t>
            </w:r>
          </w:p>
        </w:tc>
        <w:tc>
          <w:tcPr>
            <w:tcW w:w="9214" w:type="dxa"/>
            <w:tcBorders/>
            <w:vAlign w:val="center"/>
          </w:tcPr>
          <w:p>
            <w:pPr>
              <w:pStyle w:val="TableContents"/>
              <w:bidi w:val="0"/>
              <w:spacing w:before="0" w:after="283"/>
              <w:jc w:val="left"/>
              <w:rPr/>
            </w:pPr>
            <w:r>
              <w:rPr/>
              <w:t> </w:t>
            </w:r>
          </w:p>
        </w:tc>
      </w:tr>
      <w:tr>
        <w:trPr/>
        <w:tc>
          <w:tcPr>
            <w:tcW w:w="991" w:type="dxa"/>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9214" w:type="dxa"/>
            <w:tcBorders/>
            <w:vAlign w:val="center"/>
          </w:tcPr>
          <w:p>
            <w:pPr>
              <w:pStyle w:val="TableContents"/>
              <w:bidi w:val="0"/>
              <w:spacing w:before="0" w:after="0"/>
              <w:ind w:left="0" w:right="0" w:hanging="0"/>
              <w:jc w:val="both"/>
              <w:rPr/>
            </w:pPr>
            <w:hyperlink w:anchor="ex_922230.htm">
              <w:r>
                <w:rPr>
                  <w:rStyle w:val="InternetLink"/>
                  <w:rFonts w:ascii="Times New Roman;Times;serif" w:hAnsi="Times New Roman;Times;serif"/>
                  <w:caps w:val="false"/>
                  <w:smallCaps w:val="false"/>
                  <w:sz w:val="20"/>
                </w:rPr>
                <w:t>Certification Pursuant to 18 U.S.C. Section 1350, as Adopted Pursuant to Section 906 of the Sarbanes-Oxley Act of 2002</w:t>
              </w:r>
            </w:hyperlink>
          </w:p>
        </w:tc>
      </w:tr>
      <w:tr>
        <w:trPr/>
        <w:tc>
          <w:tcPr>
            <w:tcW w:w="991" w:type="dxa"/>
            <w:tcBorders/>
            <w:vAlign w:val="center"/>
          </w:tcPr>
          <w:p>
            <w:pPr>
              <w:pStyle w:val="TableContents"/>
              <w:bidi w:val="0"/>
              <w:spacing w:before="0" w:after="283"/>
              <w:jc w:val="left"/>
              <w:rPr/>
            </w:pPr>
            <w:r>
              <w:rPr/>
              <w:t> </w:t>
            </w:r>
          </w:p>
        </w:tc>
        <w:tc>
          <w:tcPr>
            <w:tcW w:w="9214" w:type="dxa"/>
            <w:tcBorders/>
            <w:vAlign w:val="center"/>
          </w:tcPr>
          <w:p>
            <w:pPr>
              <w:pStyle w:val="TableContents"/>
              <w:bidi w:val="0"/>
              <w:spacing w:before="0" w:after="283"/>
              <w:jc w:val="left"/>
              <w:rPr/>
            </w:pPr>
            <w:r>
              <w:rPr/>
              <w:t> </w:t>
            </w:r>
          </w:p>
        </w:tc>
      </w:tr>
      <w:tr>
        <w:trPr/>
        <w:tc>
          <w:tcPr>
            <w:tcW w:w="991" w:type="dxa"/>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97.1+</w:t>
            </w:r>
          </w:p>
        </w:tc>
        <w:tc>
          <w:tcPr>
            <w:tcW w:w="9214" w:type="dxa"/>
            <w:tcBorders/>
            <w:vAlign w:val="center"/>
          </w:tcPr>
          <w:p>
            <w:pPr>
              <w:pStyle w:val="TableContents"/>
              <w:bidi w:val="0"/>
              <w:spacing w:before="0" w:after="0"/>
              <w:ind w:left="0" w:right="0" w:hanging="0"/>
              <w:jc w:val="both"/>
              <w:rPr/>
            </w:pPr>
            <w:hyperlink r:id="rId47">
              <w:r>
                <w:rPr>
                  <w:rStyle w:val="InternetLink"/>
                  <w:rFonts w:ascii="Times New Roman;Times;serif" w:hAnsi="Times New Roman;Times;serif"/>
                  <w:caps w:val="false"/>
                  <w:smallCaps w:val="false"/>
                  <w:sz w:val="20"/>
                </w:rPr>
                <w:t>Rush Enterprises, Inc. Clawback Policy (incorporated herein by reference to Exhibit 97.1 of the Company’s Annual Report on Form 10-K (File No. 000-20787) for the year ended December 3, 2023)</w:t>
              </w:r>
            </w:hyperlink>
          </w:p>
        </w:tc>
      </w:tr>
      <w:tr>
        <w:trPr/>
        <w:tc>
          <w:tcPr>
            <w:tcW w:w="991" w:type="dxa"/>
            <w:tcBorders/>
            <w:vAlign w:val="center"/>
          </w:tcPr>
          <w:p>
            <w:pPr>
              <w:pStyle w:val="TableContents"/>
              <w:bidi w:val="0"/>
              <w:spacing w:before="0" w:after="283"/>
              <w:jc w:val="left"/>
              <w:rPr/>
            </w:pPr>
            <w:r>
              <w:rPr/>
              <w:t> </w:t>
            </w:r>
          </w:p>
        </w:tc>
        <w:tc>
          <w:tcPr>
            <w:tcW w:w="9214" w:type="dxa"/>
            <w:tcBorders/>
            <w:vAlign w:val="center"/>
          </w:tcPr>
          <w:p>
            <w:pPr>
              <w:pStyle w:val="TableContents"/>
              <w:bidi w:val="0"/>
              <w:spacing w:before="0" w:after="283"/>
              <w:jc w:val="left"/>
              <w:rPr/>
            </w:pPr>
            <w:r>
              <w:rPr/>
              <w:t> </w:t>
            </w:r>
          </w:p>
        </w:tc>
      </w:tr>
      <w:tr>
        <w:trPr/>
        <w:tc>
          <w:tcPr>
            <w:tcW w:w="991" w:type="dxa"/>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921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XBRL Instance Document – The instance document does not appear in the Interactive Data File because its XBRL tags are embedded within the inline XBRL document</w:t>
            </w:r>
          </w:p>
        </w:tc>
      </w:tr>
      <w:tr>
        <w:trPr/>
        <w:tc>
          <w:tcPr>
            <w:tcW w:w="991" w:type="dxa"/>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921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r>
      <w:tr>
        <w:trPr/>
        <w:tc>
          <w:tcPr>
            <w:tcW w:w="991" w:type="dxa"/>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921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r>
      <w:tr>
        <w:trPr/>
        <w:tc>
          <w:tcPr>
            <w:tcW w:w="991" w:type="dxa"/>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921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r>
      <w:tr>
        <w:trPr/>
        <w:tc>
          <w:tcPr>
            <w:tcW w:w="991" w:type="dxa"/>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921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r>
      <w:tr>
        <w:trPr/>
        <w:tc>
          <w:tcPr>
            <w:tcW w:w="991" w:type="dxa"/>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921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r>
      <w:tr>
        <w:trPr/>
        <w:tc>
          <w:tcPr>
            <w:tcW w:w="991" w:type="dxa"/>
            <w:tcBorders/>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21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2"/>
        <w:gridCol w:w="9503"/>
      </w:tblGrid>
      <w:tr>
        <w:trPr/>
        <w:tc>
          <w:tcPr>
            <w:tcW w:w="702" w:type="dxa"/>
            <w:tcBorders/>
            <w:vAlign w:val="center"/>
          </w:tcPr>
          <w:p>
            <w:pPr>
              <w:pStyle w:val="TableContents"/>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t>
            </w:r>
          </w:p>
        </w:tc>
        <w:tc>
          <w:tcPr>
            <w:tcW w:w="95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702" w:type="dxa"/>
            <w:tcBorders/>
            <w:vAlign w:val="center"/>
          </w:tcPr>
          <w:p>
            <w:pPr>
              <w:pStyle w:val="TableContents"/>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t>
            </w:r>
          </w:p>
        </w:tc>
        <w:tc>
          <w:tcPr>
            <w:tcW w:w="95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contract or compensatory plan or arrangement.</w:t>
            </w:r>
          </w:p>
        </w:tc>
      </w:tr>
      <w:tr>
        <w:trPr/>
        <w:tc>
          <w:tcPr>
            <w:tcW w:w="702" w:type="dxa"/>
            <w:tcBorders/>
            <w:vAlign w:val="center"/>
          </w:tcPr>
          <w:p>
            <w:pPr>
              <w:pStyle w:val="TableContents"/>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t>
            </w:r>
          </w:p>
        </w:tc>
        <w:tc>
          <w:tcPr>
            <w:tcW w:w="95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36" w:name="summar"/>
      <w:bookmarkEnd w:id="36"/>
      <w:r>
        <w:rPr>
          <w:rFonts w:ascii="Times New Roman" w:hAnsi="Times New Roman"/>
          <w:b/>
          <w:caps w:val="false"/>
          <w:smallCaps w:val="false"/>
          <w:sz w:val="20"/>
        </w:rPr>
        <w:t xml:space="preserve">Item 16. Form 10-K Summary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Intentionally left blank.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610" w:type="dxa"/>
        <w:jc w:val="left"/>
        <w:tblInd w:w="0" w:type="dxa"/>
        <w:tblLayout w:type="fixed"/>
        <w:tblCellMar>
          <w:top w:w="0" w:type="dxa"/>
          <w:left w:w="0" w:type="dxa"/>
          <w:bottom w:w="0" w:type="dxa"/>
          <w:right w:w="0" w:type="dxa"/>
        </w:tblCellMar>
      </w:tblPr>
      <w:tblGrid>
        <w:gridCol w:w="60"/>
        <w:gridCol w:w="320"/>
        <w:gridCol w:w="3245"/>
        <w:gridCol w:w="1985"/>
      </w:tblGrid>
      <w:tr>
        <w:trPr/>
        <w:tc>
          <w:tcPr>
            <w:tcW w:w="60" w:type="dxa"/>
            <w:tcBorders/>
            <w:vAlign w:val="center"/>
          </w:tcPr>
          <w:p>
            <w:pPr>
              <w:pStyle w:val="TableContents"/>
              <w:bidi w:val="0"/>
              <w:spacing w:before="0" w:after="283"/>
              <w:jc w:val="left"/>
              <w:rPr/>
            </w:pPr>
            <w:r>
              <w:rPr/>
              <w:t> </w:t>
            </w:r>
          </w:p>
        </w:tc>
        <w:tc>
          <w:tcPr>
            <w:tcW w:w="356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RUSH ENTERPRISES, INC.</w:t>
            </w:r>
          </w:p>
        </w:tc>
        <w:tc>
          <w:tcPr>
            <w:tcW w:w="19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245" w:type="dxa"/>
            <w:tcBorders/>
            <w:vAlign w:val="center"/>
          </w:tcPr>
          <w:p>
            <w:pPr>
              <w:pStyle w:val="TableContents"/>
              <w:bidi w:val="0"/>
              <w:spacing w:before="0" w:after="0"/>
              <w:ind w:left="0" w:right="0" w:hanging="0"/>
              <w:jc w:val="left"/>
              <w:rPr>
                <w:caps w:val="false"/>
                <w:smallCaps w:val="false"/>
              </w:rPr>
            </w:pPr>
            <w:r>
              <w:rPr>
                <w:caps w:val="false"/>
                <w:smallCaps w:val="false"/>
                <w:u w:val="single"/>
              </w:rPr>
              <w:t>  </w:t>
            </w:r>
            <w:r>
              <w:rPr>
                <w:rFonts w:ascii="Times New Roman" w:hAnsi="Times New Roman"/>
                <w:caps w:val="false"/>
                <w:smallCaps w:val="false"/>
                <w:sz w:val="20"/>
                <w:u w:val="single"/>
              </w:rPr>
              <w:t>s/ W. M.” RUSTY” RUSH</w:t>
            </w:r>
          </w:p>
        </w:tc>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February 25, 2026</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 M. “Rusty” Rush</w:t>
            </w:r>
          </w:p>
        </w:tc>
        <w:tc>
          <w:tcPr>
            <w:tcW w:w="19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President, Chief Executive Officer and</w:t>
            </w:r>
          </w:p>
        </w:tc>
        <w:tc>
          <w:tcPr>
            <w:tcW w:w="19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Chairman of the Board</w:t>
            </w:r>
          </w:p>
        </w:tc>
        <w:tc>
          <w:tcPr>
            <w:tcW w:w="19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below by the following persons on behalf of the registrant and in the capacities on the dates indicated:</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0" w:type="dxa"/>
          <w:right w:w="0" w:type="dxa"/>
        </w:tblCellMar>
      </w:tblPr>
      <w:tblGrid>
        <w:gridCol w:w="2600"/>
        <w:gridCol w:w="3815"/>
        <w:gridCol w:w="1775"/>
      </w:tblGrid>
      <w:tr>
        <w:trPr/>
        <w:tc>
          <w:tcPr>
            <w:tcW w:w="2600" w:type="dxa"/>
            <w:tcBorders/>
            <w:vAlign w:val="center"/>
          </w:tcPr>
          <w:p>
            <w:pPr>
              <w:pStyle w:val="TableContents"/>
              <w:bidi w:val="0"/>
              <w:spacing w:before="0" w:after="0"/>
              <w:ind w:left="0" w:right="0" w:firstLine="180"/>
              <w:jc w:val="both"/>
              <w:rPr>
                <w:rFonts w:ascii="Times New Roman" w:hAnsi="Times New Roman"/>
                <w:caps w:val="false"/>
                <w:smallCaps w:val="false"/>
                <w:sz w:val="20"/>
                <w:u w:val="single"/>
              </w:rPr>
            </w:pPr>
            <w:r>
              <w:rPr>
                <w:rFonts w:ascii="Times New Roman" w:hAnsi="Times New Roman"/>
                <w:caps w:val="false"/>
                <w:smallCaps w:val="false"/>
                <w:sz w:val="20"/>
                <w:u w:val="single"/>
              </w:rPr>
              <w:t>Signature</w:t>
            </w:r>
          </w:p>
        </w:tc>
        <w:tc>
          <w:tcPr>
            <w:tcW w:w="3815"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Capacity</w:t>
            </w:r>
          </w:p>
        </w:tc>
        <w:tc>
          <w:tcPr>
            <w:tcW w:w="1775"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Date</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W. M. “RUSTY” RUSH</w:t>
            </w:r>
          </w:p>
        </w:tc>
        <w:tc>
          <w:tcPr>
            <w:tcW w:w="381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President, Chief Executive Officer and</w:t>
            </w:r>
          </w:p>
        </w:tc>
        <w:tc>
          <w:tcPr>
            <w:tcW w:w="1775" w:type="dxa"/>
            <w:tcBorders/>
            <w:vAlign w:val="center"/>
          </w:tcPr>
          <w:p>
            <w:pPr>
              <w:pStyle w:val="TableContents"/>
              <w:bidi w:val="0"/>
              <w:spacing w:before="0" w:after="283"/>
              <w:jc w:val="left"/>
              <w:rPr/>
            </w:pPr>
            <w:r>
              <w:rPr/>
              <w:t>February 25, 2026</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 M. “Rusty” Rush</w:t>
            </w:r>
          </w:p>
        </w:tc>
        <w:tc>
          <w:tcPr>
            <w:tcW w:w="381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Chairman of the Board</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STEVEN L. KELLER</w:t>
            </w:r>
          </w:p>
        </w:tc>
        <w:tc>
          <w:tcPr>
            <w:tcW w:w="381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c>
          <w:tcPr>
            <w:tcW w:w="177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February 25, 2026</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L. Keller</w:t>
            </w:r>
          </w:p>
        </w:tc>
        <w:tc>
          <w:tcPr>
            <w:tcW w:w="381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JASON WILDER</w:t>
            </w:r>
          </w:p>
        </w:tc>
        <w:tc>
          <w:tcPr>
            <w:tcW w:w="381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Chief Operating Officer</w:t>
            </w:r>
          </w:p>
        </w:tc>
        <w:tc>
          <w:tcPr>
            <w:tcW w:w="177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February 25, 2026</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Jason Wilder</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THOMAS A. AKIN</w:t>
            </w:r>
          </w:p>
        </w:tc>
        <w:tc>
          <w:tcPr>
            <w:tcW w:w="381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177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February 25, 2026</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Thomas A. Akin</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RAYMOND J. CHESS</w:t>
            </w:r>
          </w:p>
        </w:tc>
        <w:tc>
          <w:tcPr>
            <w:tcW w:w="381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177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February 25, 2026</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Raymond J. Chess</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DR. KENNON GUGLIELMO</w:t>
            </w:r>
          </w:p>
        </w:tc>
        <w:tc>
          <w:tcPr>
            <w:tcW w:w="381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177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February 25, 2026</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 Kennon Guglielmo</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WILLIAM H. CARY</w:t>
            </w:r>
          </w:p>
        </w:tc>
        <w:tc>
          <w:tcPr>
            <w:tcW w:w="381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177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February 25, 2026</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H. Cary</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ELAINE MENDOZA</w:t>
            </w:r>
          </w:p>
        </w:tc>
        <w:tc>
          <w:tcPr>
            <w:tcW w:w="381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177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February 25, 2026</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Elaine Mendoza</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TROY A. CLARKE</w:t>
            </w:r>
          </w:p>
        </w:tc>
        <w:tc>
          <w:tcPr>
            <w:tcW w:w="381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177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February 25, 2026</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Troy A. Clarke</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AMY BOERGER</w:t>
            </w:r>
          </w:p>
        </w:tc>
        <w:tc>
          <w:tcPr>
            <w:tcW w:w="381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177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February 25, 2026</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Amy Boerger</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MICHAEL MCROBERTS</w:t>
            </w:r>
          </w:p>
        </w:tc>
        <w:tc>
          <w:tcPr>
            <w:tcW w:w="381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Director and Senior Advisor to the Company</w:t>
            </w:r>
          </w:p>
        </w:tc>
        <w:tc>
          <w:tcPr>
            <w:tcW w:w="1775" w:type="dxa"/>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February 25, 2026</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McRoberts</w:t>
            </w:r>
          </w:p>
        </w:tc>
        <w:tc>
          <w:tcPr>
            <w:tcW w:w="381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bl>
    <w:p>
      <w:pPr>
        <w:pStyle w:val="TextBody"/>
        <w:bidi w:val="0"/>
        <w:spacing w:before="0" w:after="0"/>
        <w:ind w:left="7200" w:right="0" w:firstLine="720"/>
        <w:jc w:val="right"/>
        <w:rPr>
          <w:caps w:val="false"/>
          <w:smallCaps w:val="false"/>
        </w:rPr>
      </w:pPr>
      <w:r>
        <w:rPr>
          <w:caps w:val="false"/>
          <w:smallCaps w:val="false"/>
        </w:rPr>
        <w:t> </w:t>
      </w:r>
    </w:p>
    <w:p>
      <w:pPr>
        <w:pStyle w:val="TextBody"/>
        <w:bidi w:val="0"/>
        <w:spacing w:before="0" w:after="0"/>
        <w:ind w:left="7200" w:right="0" w:firstLine="720"/>
        <w:jc w:val="righ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84</w:t>
      </w:r>
    </w:p>
    <w:p>
      <w:pPr>
        <w:pStyle w:val="TextBody"/>
        <w:bidi w:val="0"/>
        <w:spacing w:before="0" w:after="0"/>
        <w:ind w:left="0" w:right="0" w:hanging="0"/>
        <w:jc w:val="right"/>
        <w:rPr>
          <w:caps w:val="false"/>
          <w:smallCaps w:val="false"/>
        </w:rPr>
      </w:pPr>
      <w:bookmarkStart w:id="37" w:name="ex_923478.htm"/>
      <w:bookmarkStart w:id="38" w:name="ksex_923478"/>
      <w:bookmarkEnd w:id="37"/>
      <w:bookmarkEnd w:id="38"/>
      <w:r>
        <w:rPr>
          <w:caps w:val="false"/>
          <w:smallCaps w:val="false"/>
        </w:rPr>
        <w:t> </w:t>
      </w:r>
      <w:r>
        <w:br w:type="page"/>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21.1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SUBSIDIARIES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49"/>
        <w:gridCol w:w="60"/>
        <w:gridCol w:w="1130"/>
        <w:gridCol w:w="60"/>
        <w:gridCol w:w="4806"/>
      </w:tblGrid>
      <w:tr>
        <w:trPr/>
        <w:tc>
          <w:tcPr>
            <w:tcW w:w="4149"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Name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of </w:t>
            </w:r>
          </w:p>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Incorporation</w:t>
            </w:r>
          </w:p>
        </w:tc>
        <w:tc>
          <w:tcPr>
            <w:tcW w:w="60" w:type="dxa"/>
            <w:tcBorders/>
            <w:vAlign w:val="center"/>
          </w:tcPr>
          <w:p>
            <w:pPr>
              <w:pStyle w:val="TableContents"/>
              <w:bidi w:val="0"/>
              <w:spacing w:before="0" w:after="283"/>
              <w:jc w:val="left"/>
              <w:rPr/>
            </w:pPr>
            <w:r>
              <w:rPr/>
              <w:t> </w:t>
            </w:r>
          </w:p>
        </w:tc>
        <w:tc>
          <w:tcPr>
            <w:tcW w:w="4806"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Names Under Which Subsidiary Does Business</w:t>
            </w:r>
          </w:p>
        </w:tc>
      </w:tr>
      <w:tr>
        <w:trPr/>
        <w:tc>
          <w:tcPr>
            <w:tcW w:w="4149"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Alabama, Inc.</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Mobile</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Peterbilt Truck Center, Mobile</w:t>
            </w:r>
          </w:p>
        </w:tc>
      </w:tr>
      <w:tr>
        <w:trPr/>
        <w:tc>
          <w:tcPr>
            <w:tcW w:w="4149" w:type="dxa"/>
            <w:tcBorders/>
            <w:shd w:fill="CCEEFF" w:val="clear"/>
            <w:vAlign w:val="center"/>
          </w:tcPr>
          <w:p>
            <w:pPr>
              <w:pStyle w:val="TableContents"/>
              <w:bidi w:val="0"/>
              <w:spacing w:before="0" w:after="283"/>
              <w:jc w:val="left"/>
              <w:rPr/>
            </w:pPr>
            <w:r>
              <w:rPr/>
              <w:t>Rush Truck Centers of Arizona, Inc.</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Delaware</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Truck Center, Flagstaff</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Peterbilt Truck Center, Flagstaff</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Truck Center, Phoenix</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Peterbilt Truck Center, Phoenix</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Truck Center, Phoenix East</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Peterbilt Truck Center, Phoenix East</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Truck Center, Tucson</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Peterbilt Truck Center, Tucson</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Truck Center, Yuma</w:t>
            </w:r>
          </w:p>
        </w:tc>
      </w:tr>
      <w:tr>
        <w:trPr/>
        <w:tc>
          <w:tcPr>
            <w:tcW w:w="4149"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0"/>
              <w:ind w:left="0" w:right="0" w:hanging="0"/>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Peterbilt Truck Center, Yuma</w:t>
            </w:r>
          </w:p>
        </w:tc>
      </w:tr>
      <w:tr>
        <w:trPr/>
        <w:tc>
          <w:tcPr>
            <w:tcW w:w="4149"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Arkansas, Inc.</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Jonesboro</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Truck Center, Lowell</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Isuzu Trucks, Springdale</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Truck Center, North Little Rock</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Truck Center, Russellville</w:t>
            </w:r>
          </w:p>
        </w:tc>
      </w:tr>
      <w:tr>
        <w:trPr/>
        <w:tc>
          <w:tcPr>
            <w:tcW w:w="4149"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Medium Duty Truck Centers of California, Inc.</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Ceres</w:t>
            </w:r>
          </w:p>
        </w:tc>
      </w:tr>
      <w:tr>
        <w:trPr/>
        <w:tc>
          <w:tcPr>
            <w:tcW w:w="4149"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California, Inc.</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Fontana</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Peterbilt Truck Center, Fontana</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Truck Center, Fontana Collision Center</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Medium Duty Truck Center, Fontana</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Peterbilt Medium Duty Truck Center, Fontana</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Isuzu Trucks, Fontana</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Towing Systems, Fontana</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Truck Center, Fontana Used Trucks</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Truck Center, Fontana Vocational Service</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Truck Center, Long Beach</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Peterbilt Truck Center, Long Beach</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Peterbilt Truck Center, Pico Rivera</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Truck Center, Pico Rivera</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Peterbilt Truck Center, Los Angeles</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Truck Center, Los Angeles</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Peterbilt Truck Center, Otay Mesa</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Truck Center, Otay Mesa</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Truck Center, San Diego</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Peterbilt Truck Center, San Diego</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Truck Center, Sylmar</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Peterbilt Truck Center, Sylmar</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Peterbilt Truck Center, Ventura</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Truck Center, Ventura</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Truck Center, Victorville</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Peterbilt Truck Center, Victorville</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Truck Center, Whittier</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Isuzu Trucks, Whittier</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Peterbilt Truck Center, Whittier</w:t>
            </w:r>
          </w:p>
        </w:tc>
      </w:tr>
      <w:tr>
        <w:trPr/>
        <w:tc>
          <w:tcPr>
            <w:tcW w:w="4149"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Medium Duty Truck Centers of Colorado, Inc.</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Medium Duty Truck Center, Denver</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06" w:type="dxa"/>
            <w:tcBorders/>
            <w:shd w:fill="FFFFFF" w:val="clear"/>
            <w:vAlign w:val="center"/>
          </w:tcPr>
          <w:p>
            <w:pPr>
              <w:pStyle w:val="TableContents"/>
              <w:bidi w:val="0"/>
              <w:spacing w:before="0" w:after="283"/>
              <w:jc w:val="left"/>
              <w:rPr/>
            </w:pPr>
            <w:r>
              <w:rPr/>
              <w:t>Rush Medium Duty Ford Trucks, Denver</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06" w:type="dxa"/>
            <w:tcBorders/>
            <w:shd w:fill="CCEEFF" w:val="clear"/>
            <w:vAlign w:val="center"/>
          </w:tcPr>
          <w:p>
            <w:pPr>
              <w:pStyle w:val="TableContents"/>
              <w:bidi w:val="0"/>
              <w:spacing w:before="0" w:after="283"/>
              <w:jc w:val="left"/>
              <w:rPr/>
            </w:pPr>
            <w:r>
              <w:rPr/>
              <w:t>Rush Towing Systems, Denver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865" w:type="dxa"/>
        <w:jc w:val="left"/>
        <w:tblInd w:w="0" w:type="dxa"/>
        <w:tblLayout w:type="fixed"/>
        <w:tblCellMar>
          <w:top w:w="0" w:type="dxa"/>
          <w:left w:w="0" w:type="dxa"/>
          <w:bottom w:w="0" w:type="dxa"/>
          <w:right w:w="0" w:type="dxa"/>
        </w:tblCellMar>
      </w:tblPr>
      <w:tblGrid>
        <w:gridCol w:w="3035"/>
        <w:gridCol w:w="60"/>
        <w:gridCol w:w="770"/>
        <w:gridCol w:w="60"/>
        <w:gridCol w:w="4940"/>
      </w:tblGrid>
      <w:tr>
        <w:trPr/>
        <w:tc>
          <w:tcPr>
            <w:tcW w:w="303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Colorado, Inc.</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Colorado Springs</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Peterbilt Truck Center, Colorado Springs</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Truck Center, Denver</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Peterbilt Truck Center, Denver</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Isuzu Trucks, Denver</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Truck Center, Greeley</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Peterbilt Truck Center, Greeley</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Truck Center, Pueblo</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Peterbilt Truck Center, Pueblo</w:t>
            </w:r>
          </w:p>
        </w:tc>
      </w:tr>
      <w:tr>
        <w:trPr/>
        <w:tc>
          <w:tcPr>
            <w:tcW w:w="303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Florida, Inc.</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Haines City</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Peterbilt Truck Center, Haines City</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Truck Center, Jacksonville</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Peterbilt Truck Center, Jacksonville</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Truck Center, Jacksonville East</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Peterbilt Truck Center, Jacksonville East</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Truck Center, Lake City</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Peterbilt Truck Center, Lake City</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Truck Center, Orlando</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Peterbilt Truck Center, Orlando</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Isuzu Trucks, Orlando</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Isuzu Truck Center, Orlando</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Truck Center, Orlando Light &amp; Medium Duty</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Truck Center, Orlando North</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Isuzu Trucks, Orlando North</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Truck Center, Orlando South</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Peterbilt Truck Center, Orlando South</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Truck Center, Orlando Used Trucks</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Truck Center, Tampa</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Peterbilt Truck Center, Tampa</w:t>
            </w:r>
          </w:p>
        </w:tc>
      </w:tr>
      <w:tr>
        <w:trPr/>
        <w:tc>
          <w:tcPr>
            <w:tcW w:w="303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Georgia, Inc.</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Bus Center, Atlanta</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Truck Center, Atlanta Collision Center</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Truck Center, Atlanta</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Isuzu Trucks, Atlanta</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Medium Duty Truck Center, Atlanta</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Truck Center, Augusta</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Truck Center, Columbus</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Truck Center, Doraville</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Isuzu Trucks, Doraville</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Truck Center, Gainesville</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Truck Center, Macon</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Truck Center, Smyrna</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Truck Center, Tifton</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Bus Center, Tifton</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Truck Center, Valdosta</w:t>
            </w:r>
          </w:p>
        </w:tc>
      </w:tr>
      <w:tr>
        <w:trPr/>
        <w:tc>
          <w:tcPr>
            <w:tcW w:w="303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Idaho, Inc.</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International Truck Center, Boise</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Truck Center, Boise</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International Truck Center, Idaho Falls</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Truck Center, Idaho Falls</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International Truck Center, Lewiston</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Truck Center, Lewiston</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left"/>
              <w:rPr/>
            </w:pPr>
            <w:r>
              <w:rPr/>
              <w:t>Rush International Truck Center, Twin Falls</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left"/>
              <w:rPr/>
            </w:pPr>
            <w:r>
              <w:rPr/>
              <w:t>Rush Truck Center, Twin Falls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495" w:type="dxa"/>
        <w:jc w:val="left"/>
        <w:tblInd w:w="0" w:type="dxa"/>
        <w:tblLayout w:type="fixed"/>
        <w:tblCellMar>
          <w:top w:w="0" w:type="dxa"/>
          <w:left w:w="0" w:type="dxa"/>
          <w:bottom w:w="0" w:type="dxa"/>
          <w:right w:w="0" w:type="dxa"/>
        </w:tblCellMar>
      </w:tblPr>
      <w:tblGrid>
        <w:gridCol w:w="3485"/>
        <w:gridCol w:w="60"/>
        <w:gridCol w:w="770"/>
        <w:gridCol w:w="60"/>
        <w:gridCol w:w="5120"/>
      </w:tblGrid>
      <w:tr>
        <w:trPr/>
        <w:tc>
          <w:tcPr>
            <w:tcW w:w="3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Illinois, Inc.</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House of Trucks, Willowbrook</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Truck Center, Bloomington</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Carol Stream</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Truck Center, Champaign</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Chicago</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Truck Center, Chicago Light and Medium Duty</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Effingham</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Truck Center, Elk Grove</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Huntley</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Truck Center, Joliet</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Quincy</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Truck Center, Pontoon Beach</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Springfield</w:t>
            </w:r>
          </w:p>
        </w:tc>
      </w:tr>
      <w:tr>
        <w:trPr/>
        <w:tc>
          <w:tcPr>
            <w:tcW w:w="3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Indiana, Inc.</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Gary</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Indianapolis</w:t>
            </w:r>
          </w:p>
        </w:tc>
      </w:tr>
      <w:tr>
        <w:trPr/>
        <w:tc>
          <w:tcPr>
            <w:tcW w:w="3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Kansas, Inc.</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Olathe</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Salina</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Truck Center, Topeka</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Wichita</w:t>
            </w:r>
          </w:p>
        </w:tc>
      </w:tr>
      <w:tr>
        <w:trPr/>
        <w:tc>
          <w:tcPr>
            <w:tcW w:w="3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Kentucky, Inc.</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Bowling Green</w:t>
            </w:r>
          </w:p>
        </w:tc>
      </w:tr>
      <w:tr>
        <w:trPr/>
        <w:tc>
          <w:tcPr>
            <w:tcW w:w="3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Missouri, Inc.</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Cape Girardeau</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Truck Center, Jefferson City</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Joplin</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Truck Center, Kansas City</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Kansas City Used Truck</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Truck Center, St. Joseph</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St. Peters</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Truck Center, Springfield</w:t>
            </w:r>
          </w:p>
        </w:tc>
      </w:tr>
      <w:tr>
        <w:trPr/>
        <w:tc>
          <w:tcPr>
            <w:tcW w:w="3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Nebraska, Inc.</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Grand Island</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Truck Center, North Platte</w:t>
            </w:r>
          </w:p>
        </w:tc>
      </w:tr>
      <w:tr>
        <w:trPr/>
        <w:tc>
          <w:tcPr>
            <w:tcW w:w="3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Nevada, Inc.</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Las Vegas</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Peterbilt Truck Center, Las Vegas</w:t>
            </w:r>
          </w:p>
        </w:tc>
      </w:tr>
      <w:tr>
        <w:trPr/>
        <w:tc>
          <w:tcPr>
            <w:tcW w:w="3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New Mexico, Inc.</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Albuquerque</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Peterbilt Truck Center, Albuquerque</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Farmington</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Peterbilt Truck Center, Farmington</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Las Cruces</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Peterbilt Truck Center, Las Cruces</w:t>
            </w:r>
          </w:p>
        </w:tc>
      </w:tr>
      <w:tr>
        <w:trPr/>
        <w:tc>
          <w:tcPr>
            <w:tcW w:w="348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North Carolina, Inc.</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Charlotte</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International Truck Center, Charlotte</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Isuzu Trucks, Charlotte</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Truck Center, Charlotte Collision Center</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Hickory</w:t>
            </w:r>
          </w:p>
        </w:tc>
      </w:tr>
      <w:tr>
        <w:trPr/>
        <w:tc>
          <w:tcPr>
            <w:tcW w:w="348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Ohio, Inc.</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Akron</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Bus Center, Akron</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Truck Center, Cincinnati</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Bus Center, Cincinnati</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Isuzu Trucks, Cincinnati</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Cleveland</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Bus Center, Cleveland</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Columbus</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Bus Center, Columbus</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Columbus Used Trucks</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Truck Center, Dayton</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Bus Center, Dayton</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Isuzu Trucks, Dayton</w:t>
            </w:r>
          </w:p>
        </w:tc>
      </w:tr>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pPr>
            <w:r>
              <w:rPr/>
              <w:t>Rush Truck Center, Lima</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0" w:type="dxa"/>
            <w:tcBorders/>
            <w:shd w:fill="FFFFFF" w:val="clear"/>
            <w:vAlign w:val="center"/>
          </w:tcPr>
          <w:p>
            <w:pPr>
              <w:pStyle w:val="TableContents"/>
              <w:bidi w:val="0"/>
              <w:spacing w:before="0" w:after="283"/>
              <w:jc w:val="left"/>
              <w:rPr/>
            </w:pPr>
            <w:r>
              <w:rPr/>
              <w:t>Rush Bus Center, Lima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300" w:type="dxa"/>
        <w:jc w:val="left"/>
        <w:tblInd w:w="0" w:type="dxa"/>
        <w:tblLayout w:type="fixed"/>
        <w:tblCellMar>
          <w:top w:w="0" w:type="dxa"/>
          <w:left w:w="0" w:type="dxa"/>
          <w:bottom w:w="0" w:type="dxa"/>
          <w:right w:w="0" w:type="dxa"/>
        </w:tblCellMar>
      </w:tblPr>
      <w:tblGrid>
        <w:gridCol w:w="3365"/>
        <w:gridCol w:w="60"/>
        <w:gridCol w:w="770"/>
        <w:gridCol w:w="60"/>
        <w:gridCol w:w="5045"/>
      </w:tblGrid>
      <w:tr>
        <w:trPr/>
        <w:tc>
          <w:tcPr>
            <w:tcW w:w="336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Oklahoma, Inc.</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Perfection Equipment</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Perfection Truck Parts &amp; Equipment, Oklahoma City</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Perfection Crane Repair</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Truck Center, Ardmore</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Peterbilt Truck Center, Ardmore</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Truck Center, Oklahoma City</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Peterbilt Truck Center, Oklahoma City</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Isuzu Trucks, Oklahoma City</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Truck Center, Tulsa</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Peterbilt Truck Center, Tulsa</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Truck Rigging</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Used Truck Center, Tulsa</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Truck Center, Tulsa Collision Center</w:t>
            </w:r>
          </w:p>
        </w:tc>
      </w:tr>
      <w:tr>
        <w:trPr/>
        <w:tc>
          <w:tcPr>
            <w:tcW w:w="336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Pennsylvania, Inc.</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36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Tennessee, Inc.</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Memphis</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Truck Center, Memphis Collision Center</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Truck Center, Memphis West</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Truck Center, Nashville</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Truck Center, Nashville Central</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Peterbilt Truck Center, Nashville</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Towing Systems, Nashville</w:t>
            </w:r>
          </w:p>
        </w:tc>
      </w:tr>
      <w:tr>
        <w:trPr/>
        <w:tc>
          <w:tcPr>
            <w:tcW w:w="336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Texas, L.P.</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Texas</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Custom Vehicle Solutions</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House of Trucks, Dallas</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Crane and Refuse Systems International</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Truck Center, Abilene</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Peterbilt Truck Center, Abilene</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Truck Center, Amarillo</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Peterbilt Truck Center, Amarillo</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Truck Center, Arlington</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Peterbilt Truck Center, Arlington</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Bus Center, Arlington</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Truck Center, Austin</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Peterbilt Truck Center, Austin</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Isuzu Trucks, Austin</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Bus Center, Austin</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Peterbilt Truck Center, Austin North</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Truck Center, Austin North</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Truck Center, Beaumont</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Peterbilt Truck Center, Beaumont</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Truck Center, Brownsville</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Peterbilt Truck Center, Brownsville</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Truck Center, Bryan</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Truck Center, College Station</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Peterbilt Truck Center, College Station</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Isuzu Trucks, College Station</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Truck Center, Corpus Christi</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Peterbilt Truck Center, Corpus Christi</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Isuzu Trucks, Corpus Christi</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Bus Center, Corpus Christi</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45" w:type="dxa"/>
            <w:tcBorders/>
            <w:shd w:fill="FFFFFF" w:val="clear"/>
            <w:vAlign w:val="center"/>
          </w:tcPr>
          <w:p>
            <w:pPr>
              <w:pStyle w:val="TableContents"/>
              <w:bidi w:val="0"/>
              <w:spacing w:before="0" w:after="283"/>
              <w:jc w:val="left"/>
              <w:rPr/>
            </w:pPr>
            <w:r>
              <w:rPr/>
              <w:t>Rush Truck Center, Cotulla</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45" w:type="dxa"/>
            <w:tcBorders/>
            <w:shd w:fill="CCEEFF" w:val="clear"/>
            <w:vAlign w:val="center"/>
          </w:tcPr>
          <w:p>
            <w:pPr>
              <w:pStyle w:val="TableContents"/>
              <w:bidi w:val="0"/>
              <w:spacing w:before="0" w:after="283"/>
              <w:jc w:val="left"/>
              <w:rPr/>
            </w:pPr>
            <w:r>
              <w:rPr/>
              <w:t>Rush Peterbilt Truck Center, Cotulla</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165" w:type="dxa"/>
        <w:jc w:val="left"/>
        <w:tblInd w:w="0" w:type="dxa"/>
        <w:tblLayout w:type="fixed"/>
        <w:tblCellMar>
          <w:top w:w="0" w:type="dxa"/>
          <w:left w:w="0" w:type="dxa"/>
          <w:bottom w:w="0" w:type="dxa"/>
          <w:right w:w="0" w:type="dxa"/>
        </w:tblCellMar>
      </w:tblPr>
      <w:tblGrid>
        <w:gridCol w:w="60"/>
        <w:gridCol w:w="60"/>
        <w:gridCol w:w="60"/>
        <w:gridCol w:w="60"/>
        <w:gridCol w:w="4925"/>
      </w:tblGrid>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Truck Center, Dalhart</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Peterbilt Truck Center, Dalhart</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Truck Center, Dallas</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Peterbilt Truck Center, Dallas</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Medium Duty Truck Center, Dallas</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Isuzu Trucks, Dallas</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Bus Center, Dallas</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Bus Center, Dallas #2</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Truck Center, Dallas Light and Medium Duty</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Truck Center, Dallas Medium Duty</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Truck Center, Dallas South</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Truck Center, Dallas TRP</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Peterbilt Truck Center, Dallas South</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Truck Center, Denton</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Truck Center, El Paso</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Peterbilt Truck Center, El Paso</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Isuzu Trucks, El Paso</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Truck Center, Fort Worth</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Peterbilt Truck Center, Fort Worth</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Bus Center, Fort Worth</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Truck Center, Houston</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Peterbilt Truck Center, Houston</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Bus Center, Houston</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Towing Systems, Houston</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Truck Center, Houston Used Trucks</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Truck Center, Houston Medium Duty</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Truck Center, Houston Northwest</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Peterbilt Truck Center, Houston Northwest</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Truck Center, Laredo</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Peterbilt Truck Center, Laredo</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Bus Center, Laredo</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Truck Center, Laredo Northwest</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Peterbilt Truck Center, Laredo Northwest</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Truck Center, Lubbock</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Peterbilt Truck Center, Lubbock</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Truck Center, Lufkin</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Peterbilt Truck Center, Lufkin</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Bus Center, Lufkin</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Truck Center, Odessa</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Peterbilt Truck Center, Odessa</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Truck Center, Pharr</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Peterbilt Truck Center, Pharr</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Bus Center, Pharr</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Truck Center, San Antonio</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Peterbilt Truck Center, San Antonio</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Bus Center, San Antonio</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Refuse Systems</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Towing Systems, San Antonio</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Truck Center, Sealy</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Peterbilt Truck Center, Sealy</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Isuzu Trucks, Sealy</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Bus Center, Sealy</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Truck Center, Texarkana</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Peterbilt Truck Center, Texarkana</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Bus Center, Texarkana</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Truck Center, Tyler</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Peterbilt Truck Center, Tyler</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Bus Center, Tyler</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Truck Center, Victoria</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Peterbilt Truck Center, Victoria</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Truck Center, Waco</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Medium Duty Truck Center, Waco</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Peterbilt Truck Center, Waco</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Isuzu Trucks, Waco</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Bus Center, Waco</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Truck Center, Wichita Falls</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283"/>
              <w:jc w:val="left"/>
              <w:rPr/>
            </w:pPr>
            <w:r>
              <w:rPr/>
              <w:t>Rush Bus Center, Wichita Falls</w:t>
            </w:r>
          </w:p>
        </w:tc>
      </w:tr>
      <w:tr>
        <w:trPr/>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5" w:type="dxa"/>
            <w:tcBorders/>
            <w:shd w:fill="FFFFFF" w:val="clear"/>
            <w:vAlign w:val="center"/>
          </w:tcPr>
          <w:p>
            <w:pPr>
              <w:pStyle w:val="TableContents"/>
              <w:bidi w:val="0"/>
              <w:spacing w:before="0" w:after="283"/>
              <w:jc w:val="left"/>
              <w:rPr/>
            </w:pPr>
            <w:r>
              <w:rPr/>
              <w:t>Rush Peterbilt Truck Center, Wichita Falls</w:t>
            </w:r>
          </w:p>
        </w:tc>
      </w:tr>
      <w:tr>
        <w:trPr/>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World Wide Tires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400" w:type="dxa"/>
        <w:jc w:val="left"/>
        <w:tblInd w:w="0" w:type="dxa"/>
        <w:tblLayout w:type="fixed"/>
        <w:tblCellMar>
          <w:top w:w="0" w:type="dxa"/>
          <w:left w:w="0" w:type="dxa"/>
          <w:bottom w:w="0" w:type="dxa"/>
          <w:right w:w="0" w:type="dxa"/>
        </w:tblCellMar>
      </w:tblPr>
      <w:tblGrid>
        <w:gridCol w:w="2945"/>
        <w:gridCol w:w="60"/>
        <w:gridCol w:w="770"/>
        <w:gridCol w:w="60"/>
        <w:gridCol w:w="4565"/>
      </w:tblGrid>
      <w:tr>
        <w:trPr/>
        <w:tc>
          <w:tcPr>
            <w:tcW w:w="294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Utah, Inc.</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International Truck Center, Ogden</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Rush Truck Center, Ogden</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Rush Truck Center, Farr West</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Rush International Truck Center, Salt Lake City</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Rush Truck Center, Salt Lake City</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Rush International Truck Center, Springville</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Rush Truck Center, Springville</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Rush International Truck Center, St. George</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Rush Truck Center, St. George</w:t>
            </w:r>
          </w:p>
        </w:tc>
      </w:tr>
      <w:tr>
        <w:trPr/>
        <w:tc>
          <w:tcPr>
            <w:tcW w:w="294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Centers of Virginia, Inc.</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Chester</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Rush Truck Center, Richmond</w:t>
            </w:r>
          </w:p>
        </w:tc>
      </w:tr>
      <w:tr>
        <w:trPr/>
        <w:tc>
          <w:tcPr>
            <w:tcW w:w="294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Leasing, Inc.</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Crane Systems</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Rush Idealease, Charlotte</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Rush Refuse Systems</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Augusta Idealease</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Boise Idealease</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Champaign Idealease</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Charlotte Idealease</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Chicago Idealease</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Cincinnati Idealease</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Cleveland Idealease</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Columbus Idealease</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Dayton Idealease</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Effingham Idealease</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Hickory Idealease</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Indianapolis Idealease</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Indy Idealease</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Joplin Idealease</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Kansas City Idealease</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Lima Idealease</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Lowell Idealease</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Macon Idealease</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Memphis Idealease</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Norfolk Idealease</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North Little Rock Idealease</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Quincy Idealease</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Richmond Idealease</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Salina Idealease</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Salt Lake City Idealease</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Springfield Idealease</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65" w:type="dxa"/>
            <w:tcBorders/>
            <w:shd w:fill="CCEEFF" w:val="clear"/>
            <w:vAlign w:val="center"/>
          </w:tcPr>
          <w:p>
            <w:pPr>
              <w:pStyle w:val="TableContents"/>
              <w:bidi w:val="0"/>
              <w:spacing w:before="0" w:after="283"/>
              <w:jc w:val="left"/>
              <w:rPr/>
            </w:pPr>
            <w:r>
              <w:rPr/>
              <w:t>St. Louis Idealease</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65" w:type="dxa"/>
            <w:tcBorders/>
            <w:shd w:fill="FFFFFF" w:val="clear"/>
            <w:vAlign w:val="center"/>
          </w:tcPr>
          <w:p>
            <w:pPr>
              <w:pStyle w:val="TableContents"/>
              <w:bidi w:val="0"/>
              <w:spacing w:before="0" w:after="283"/>
              <w:jc w:val="left"/>
              <w:rPr/>
            </w:pPr>
            <w:r>
              <w:rPr/>
              <w:t>Wichita Idealease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705" w:type="dxa"/>
        <w:jc w:val="left"/>
        <w:tblInd w:w="0" w:type="dxa"/>
        <w:tblLayout w:type="fixed"/>
        <w:tblCellMar>
          <w:top w:w="0" w:type="dxa"/>
          <w:left w:w="0" w:type="dxa"/>
          <w:bottom w:w="0" w:type="dxa"/>
          <w:right w:w="0" w:type="dxa"/>
        </w:tblCellMar>
      </w:tblPr>
      <w:tblGrid>
        <w:gridCol w:w="3545"/>
        <w:gridCol w:w="60"/>
        <w:gridCol w:w="1340"/>
        <w:gridCol w:w="60"/>
        <w:gridCol w:w="4700"/>
      </w:tblGrid>
      <w:tr>
        <w:trPr/>
        <w:tc>
          <w:tcPr>
            <w:tcW w:w="354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Centres of Canada Limited</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Ontario, Canada</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Centres, Belleville</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pPr>
            <w:r>
              <w:rPr/>
              <w:t>Rush Truck Centres, Cornwall</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pPr>
            <w:r>
              <w:rPr/>
              <w:t>Rush Truck Centres, Kemptville</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pPr>
            <w:r>
              <w:rPr/>
              <w:t>Rush Isuzu Trucks, Kemptville</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pPr>
            <w:r>
              <w:rPr/>
              <w:t>Rush Truck Centres, Kemptville Collision Centre</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pPr>
            <w:r>
              <w:rPr/>
              <w:t>Rush Truck Centres, Kingston</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pPr>
            <w:r>
              <w:rPr/>
              <w:t>Rush Truck Centres, Markham</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pPr>
            <w:r>
              <w:rPr/>
              <w:t>Rush Isuzu Trucks, Markham</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pPr>
            <w:r>
              <w:rPr/>
              <w:t>Rush Truck Centres, Mississauga</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pPr>
            <w:r>
              <w:rPr/>
              <w:t>Rush Isuzu Trucks, Mississauga</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pPr>
            <w:r>
              <w:rPr/>
              <w:t>Rush Truck Centres, Oshawa</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pPr>
            <w:r>
              <w:rPr/>
              <w:t>Rush Truck Centres, Ottawa East</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pPr>
            <w:r>
              <w:rPr/>
              <w:t>Rush Truck Centres, Pembroke</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pPr>
            <w:r>
              <w:rPr/>
              <w:t>Rush Truck Centres, St. Catharines</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pPr>
            <w:r>
              <w:rPr/>
              <w:t>Rush Truck Centres, Sudbury</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pPr>
            <w:r>
              <w:rPr/>
              <w:t>Rush Isuzu Trucks, Sudbury</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pPr>
            <w:r>
              <w:rPr/>
              <w:t>Rush Truck Centres, Timmins</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pPr>
            <w:r>
              <w:rPr/>
              <w:t>Rush Truck Leasing, Belleville Idealease</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pPr>
            <w:r>
              <w:rPr/>
              <w:t>Rush Truck Leasing, Kemptville Idealease</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pPr>
            <w:r>
              <w:rPr/>
              <w:t>Rush Truck Leasing, Kingston Idealease</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pPr>
            <w:r>
              <w:rPr/>
              <w:t>Rush Truck Leasing, Markham Idealease</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pPr>
            <w:r>
              <w:rPr/>
              <w:t>Rush Truck Leasing, Mississauga Idealease</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pPr>
            <w:r>
              <w:rPr/>
              <w:t>Rush Truck Leasing, Oshawa Idealease</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pPr>
            <w:r>
              <w:rPr/>
              <w:t>Rush Truck Leasing, Ottawa Idealease</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pPr>
            <w:r>
              <w:rPr/>
              <w:t>Rush Truck Leasing, St. Catharines Idealease</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pPr>
            <w:r>
              <w:rPr/>
              <w:t>Rush Truck Leasing, Sudbury Idealease</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pPr>
            <w:r>
              <w:rPr/>
              <w:t>Rush Truck Leasing, Timmins Idealease</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pPr>
            <w:r>
              <w:rPr/>
              <w:t>Rush Bus Centres, Elgin</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pPr>
            <w:r>
              <w:rPr/>
              <w:t>Rush Bus Centres, St. Roch de l’Achigan</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pPr>
            <w:r>
              <w:rPr/>
              <w:t>Rush Bus Centres, Woodstock</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pPr>
            <w:r>
              <w:rPr/>
              <w:t>Rush Truck Leasing</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RTCC Leasing Limited</w:t>
            </w:r>
          </w:p>
        </w:tc>
      </w:tr>
      <w:tr>
        <w:trPr/>
        <w:tc>
          <w:tcPr>
            <w:tcW w:w="354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Advance Premium Finance, Inc.</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California</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AiRush, Inc.</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Associated Acceptance, Inc.</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Texas</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Automotive Industry Insurance</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pPr>
            <w:r>
              <w:rPr/>
              <w:t>Associated Truck Insurance Services</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283"/>
              <w:jc w:val="left"/>
              <w:rPr/>
            </w:pPr>
            <w:r>
              <w:rPr/>
              <w:t>Rush Truck Insurance Services</w:t>
            </w:r>
          </w:p>
        </w:tc>
      </w:tr>
      <w:tr>
        <w:trPr/>
        <w:tc>
          <w:tcPr>
            <w:tcW w:w="354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Associated Acceptance of Florida, Inc.</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Associated Acceptance of Georgia, Inc.</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Associated Acceptance of Illinois, Inc.</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Associated Acceptance of Oklahoma, Inc.</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Brauntex Indemnity Company</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Texas</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Commercial Fleet Technologies, Inc.</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Partsriver, Inc.</w:t>
            </w:r>
          </w:p>
        </w:tc>
      </w:tr>
      <w:tr>
        <w:trPr/>
        <w:tc>
          <w:tcPr>
            <w:tcW w:w="354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Idealease of Chicago LLC</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Illinois</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International General Agency, Inc.</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Texas</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Los Cuernos, Inc.</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Los Cuernos Ranch</w:t>
            </w:r>
          </w:p>
        </w:tc>
      </w:tr>
      <w:tr>
        <w:trPr/>
        <w:tc>
          <w:tcPr>
            <w:tcW w:w="354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Rig Tough, Inc.</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Truck Center, Birmingham</w:t>
            </w:r>
          </w:p>
        </w:tc>
      </w:tr>
      <w:tr>
        <w:trPr/>
        <w:tc>
          <w:tcPr>
            <w:tcW w:w="354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RTC Nevada, LLC</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Accessories Corporation</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Chrome Country</w:t>
            </w:r>
          </w:p>
        </w:tc>
      </w:tr>
      <w:tr>
        <w:trPr/>
        <w:tc>
          <w:tcPr>
            <w:tcW w:w="354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Administrative Services, Inc.</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Momentum Holdings, Inc.</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RushCare, Inc.</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Rushco, Inc.</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Logistics, Inc.</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Real Estate Holdings, Inc.</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Retail Centers, Inc.</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Rushtex, Inc.</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Rush Canada Real Estate Holdings Limited</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Ontario</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Truck &amp; Trailer Finance, Inc.</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vAlign w:val="center"/>
          </w:tcPr>
          <w:p>
            <w:pPr>
              <w:pStyle w:val="TableContents"/>
              <w:bidi w:val="0"/>
              <w:spacing w:before="0" w:after="283"/>
              <w:jc w:val="left"/>
              <w:rPr/>
            </w:pPr>
            <w:r>
              <w:rPr/>
              <w:t> </w:t>
            </w:r>
          </w:p>
        </w:tc>
        <w:tc>
          <w:tcPr>
            <w:tcW w:w="470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r>
        <w:trPr/>
        <w:tc>
          <w:tcPr>
            <w:tcW w:w="354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1187394B.C. Ltd.</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tc>
      </w:tr>
    </w:tbl>
    <w:p>
      <w:pPr>
        <w:pStyle w:val="TextBody"/>
        <w:bidi w:val="0"/>
        <w:spacing w:before="0" w:after="0"/>
        <w:ind w:left="7200" w:right="0" w:firstLine="72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39" w:name="ex_922226.htm"/>
      <w:bookmarkStart w:id="40" w:name="ksex_922226"/>
      <w:bookmarkEnd w:id="39"/>
      <w:bookmarkEnd w:id="40"/>
      <w:r>
        <w:rPr>
          <w:rFonts w:ascii="Times New Roman" w:hAnsi="Times New Roman"/>
          <w:caps w:val="false"/>
          <w:smallCaps w:val="false"/>
          <w:sz w:val="20"/>
        </w:rPr>
        <w:t>EXHIBIT 23.1</w:t>
      </w:r>
      <w:r>
        <w:br w:type="page"/>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following Registration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Form S-8 No. 333-242488 pertaining to the Rush Enterprises, Inc. Amended and Restated 2007 Long-Term Incentive Plan and Rush Enterprises, Inc. Amended and Restated 2004 Employee Stock Purchase Plan,</w:t>
            </w:r>
          </w:p>
        </w:tc>
      </w:tr>
      <w:tr>
        <w:trPr/>
        <w:tc>
          <w:tcPr>
            <w:tcW w:w="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Form S-8 No. 333-219878 pertaining to the Rush Enterprises, Inc. Amended and Restated 2007 Long-Term Incentive Plan,</w:t>
            </w:r>
          </w:p>
        </w:tc>
      </w:tr>
      <w:tr>
        <w:trPr/>
        <w:tc>
          <w:tcPr>
            <w:tcW w:w="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Form S-8 No. 333-198080 pertaining to the Rush Enterprises, Inc. 2007 Long-Term Incentive Plan,</w:t>
            </w:r>
          </w:p>
        </w:tc>
      </w:tr>
      <w:tr>
        <w:trPr/>
        <w:tc>
          <w:tcPr>
            <w:tcW w:w="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Form S-8 No. 333-170732 pertaining to the Rush Enterprises, Inc. Deferred Compensation Plan,</w:t>
            </w:r>
          </w:p>
        </w:tc>
      </w:tr>
      <w:tr>
        <w:trPr/>
        <w:tc>
          <w:tcPr>
            <w:tcW w:w="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Form S-8 No. 333-138556 pertaining to the Rush Enterprises, Inc. 2006 Non-Employee Director Stock Plan, and</w:t>
            </w:r>
          </w:p>
        </w:tc>
      </w:tr>
      <w:tr>
        <w:trPr/>
        <w:tc>
          <w:tcPr>
            <w:tcW w:w="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100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Form S-8 No. 333-275820 pertaining to the Rush Enterprises, Inc. Amended and Restated 2007 Long-Term Incentive Plan and Rush Enterprises, Inc. Amended and Restated 2004 Employee Stock Purchase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of our reports dated February 25, 2026, with respect to the consolidated financial statements of Rush Enterprises, Inc. and subsidiaries and the effectiveness of internal control over financial reporting of Rush Enterprises, Inc. and subsidiaries, included in this Annual Report (Form 10-K) of Rush Enterprises, Inc.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 Antonio, Texas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February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0" w:right="0" w:firstLine="72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41" w:name="ex_922227.htm"/>
      <w:bookmarkStart w:id="42" w:name="ksex_922227"/>
      <w:bookmarkEnd w:id="41"/>
      <w:bookmarkEnd w:id="42"/>
      <w:r>
        <w:rPr>
          <w:caps w:val="false"/>
          <w:smallCaps w:val="false"/>
        </w:rPr>
        <w:t> </w:t>
      </w:r>
      <w:r>
        <w:br w:type="page"/>
      </w:r>
    </w:p>
    <w:p>
      <w:pPr>
        <w:pStyle w:val="TextBody"/>
        <w:bidi w:val="0"/>
        <w:spacing w:before="0" w:after="0"/>
        <w:ind w:left="7200" w:right="0" w:firstLine="720"/>
        <w:jc w:val="right"/>
        <w:rPr>
          <w:rFonts w:ascii="Times New Roman" w:hAnsi="Times New Roman"/>
          <w:caps w:val="false"/>
          <w:smallCaps w:val="false"/>
          <w:sz w:val="20"/>
        </w:rPr>
      </w:pPr>
      <w:r>
        <w:rPr>
          <w:rFonts w:ascii="Times New Roman" w:hAnsi="Times New Roman"/>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W. M. “Rusty” Rush,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annual report on Form 10-K of Rush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50" w:type="dxa"/>
        <w:jc w:val="left"/>
        <w:tblInd w:w="0" w:type="dxa"/>
        <w:tblLayout w:type="fixed"/>
        <w:tblCellMar>
          <w:top w:w="0" w:type="dxa"/>
          <w:left w:w="0" w:type="dxa"/>
          <w:bottom w:w="0" w:type="dxa"/>
          <w:right w:w="0" w:type="dxa"/>
        </w:tblCellMar>
      </w:tblPr>
      <w:tblGrid>
        <w:gridCol w:w="2705"/>
        <w:gridCol w:w="320"/>
        <w:gridCol w:w="3125"/>
      </w:tblGrid>
      <w:tr>
        <w:trPr/>
        <w:tc>
          <w:tcPr>
            <w:tcW w:w="2705"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Date: February 25,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W. M. “RUSTY” RUSH</w:t>
            </w:r>
          </w:p>
        </w:tc>
      </w:tr>
      <w:tr>
        <w:trPr/>
        <w:tc>
          <w:tcPr>
            <w:tcW w:w="27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 M. “Rusty” Rush</w:t>
            </w:r>
          </w:p>
        </w:tc>
      </w:tr>
      <w:tr>
        <w:trPr/>
        <w:tc>
          <w:tcPr>
            <w:tcW w:w="27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Chief Executive Officer and</w:t>
            </w:r>
          </w:p>
        </w:tc>
      </w:tr>
      <w:tr>
        <w:trPr/>
        <w:tc>
          <w:tcPr>
            <w:tcW w:w="27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w:t>
            </w:r>
          </w:p>
        </w:tc>
      </w:tr>
      <w:tr>
        <w:trPr/>
        <w:tc>
          <w:tcPr>
            <w:tcW w:w="27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0" w:right="0" w:firstLine="72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43" w:name="ex_922228.htm"/>
      <w:bookmarkStart w:id="44" w:name="ksex_922228"/>
      <w:bookmarkEnd w:id="43"/>
      <w:bookmarkEnd w:id="44"/>
      <w:r>
        <w:rPr>
          <w:caps w:val="false"/>
          <w:smallCaps w:val="false"/>
        </w:rPr>
        <w:t> </w:t>
      </w:r>
      <w:r>
        <w:br w:type="page"/>
      </w:r>
    </w:p>
    <w:p>
      <w:pPr>
        <w:pStyle w:val="TextBody"/>
        <w:bidi w:val="0"/>
        <w:spacing w:before="0" w:after="0"/>
        <w:ind w:left="7200" w:right="0" w:firstLine="720"/>
        <w:jc w:val="right"/>
        <w:rPr>
          <w:rFonts w:ascii="Times New Roman" w:hAnsi="Times New Roman"/>
          <w:caps w:val="false"/>
          <w:smallCaps w:val="false"/>
          <w:sz w:val="20"/>
        </w:rPr>
      </w:pPr>
      <w:r>
        <w:rPr>
          <w:rFonts w:ascii="Times New Roman" w:hAnsi="Times New Roman"/>
          <w:caps w:val="false"/>
          <w:smallCaps w:val="false"/>
          <w:sz w:val="20"/>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Steven L. Keller,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annual report on Form 10-K of Rush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2705"/>
        <w:gridCol w:w="320"/>
        <w:gridCol w:w="3635"/>
      </w:tblGrid>
      <w:tr>
        <w:trPr/>
        <w:tc>
          <w:tcPr>
            <w:tcW w:w="2705" w:type="dxa"/>
            <w:tcBorders/>
            <w:vAlign w:val="center"/>
          </w:tcPr>
          <w:p>
            <w:pPr>
              <w:pStyle w:val="TableContents"/>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Date: February 25,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STEVEN L. KELLER</w:t>
            </w:r>
          </w:p>
        </w:tc>
      </w:tr>
      <w:tr>
        <w:trPr/>
        <w:tc>
          <w:tcPr>
            <w:tcW w:w="27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L. Keller</w:t>
            </w:r>
          </w:p>
        </w:tc>
      </w:tr>
      <w:tr>
        <w:trPr/>
        <w:tc>
          <w:tcPr>
            <w:tcW w:w="27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r>
      <w:tr>
        <w:trPr/>
        <w:tc>
          <w:tcPr>
            <w:tcW w:w="27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0" w:right="0" w:firstLine="72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45" w:name="ex_922229.htm"/>
      <w:bookmarkStart w:id="46" w:name="ksex_922229"/>
      <w:bookmarkEnd w:id="45"/>
      <w:bookmarkEnd w:id="46"/>
      <w:r>
        <w:rPr>
          <w:caps w:val="false"/>
          <w:smallCaps w:val="false"/>
        </w:rPr>
        <w:t> </w:t>
      </w:r>
      <w:r>
        <w:br w:type="page"/>
      </w:r>
    </w:p>
    <w:p>
      <w:pPr>
        <w:pStyle w:val="TextBody"/>
        <w:bidi w:val="0"/>
        <w:spacing w:before="0" w:after="0"/>
        <w:ind w:left="7200" w:right="0" w:firstLine="720"/>
        <w:jc w:val="right"/>
        <w:rPr>
          <w:rFonts w:ascii="Times New Roman" w:hAnsi="Times New Roman"/>
          <w:caps w:val="false"/>
          <w:smallCaps w:val="false"/>
          <w:sz w:val="20"/>
        </w:rPr>
      </w:pPr>
      <w:r>
        <w:rPr>
          <w:rFonts w:ascii="Times New Roman" w:hAnsi="Times New Roman"/>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br/>
      </w:r>
      <w:r>
        <w:rPr>
          <w:rFonts w:ascii="Times New Roman" w:hAnsi="Times New Roman"/>
          <w:b/>
          <w:caps w:val="false"/>
          <w:smallCaps w:val="false"/>
          <w:sz w:val="20"/>
        </w:rPr>
        <w:t xml:space="preserve">18 U.S.C. SECTION 1350, </w:t>
      </w:r>
      <w:r>
        <w:rPr>
          <w:rFonts w:ascii="Times New Roman" w:hAnsi="Times New Roman"/>
          <w:caps w:val="false"/>
          <w:smallCaps w:val="false"/>
          <w:sz w:val="20"/>
        </w:rPr>
        <w:br/>
      </w:r>
      <w:r>
        <w:rPr>
          <w:rFonts w:ascii="Times New Roman" w:hAnsi="Times New Roman"/>
          <w:b/>
          <w:caps w:val="false"/>
          <w:smallCaps w:val="false"/>
          <w:sz w:val="20"/>
        </w:rPr>
        <w:t>AS ADOPTED PURSUANT TO</w:t>
      </w:r>
      <w:r>
        <w:rPr>
          <w:rFonts w:ascii="Times New Roman" w:hAnsi="Times New Roman"/>
          <w:caps w:val="false"/>
          <w:smallCaps w:val="false"/>
          <w:sz w:val="20"/>
        </w:rPr>
        <w:br/>
      </w: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this annual report of Rush Enterprises, Inc. (the “Company”) on Form 10-K for the year ended December 31, 2025 as filed with the Securities and Exchange Commission on the date hereof (the “Report”), I, W. M. “Rusty” Rush, President, Chief Executive Officer and Chairman of the Board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60"/>
        <w:gridCol w:w="545"/>
        <w:gridCol w:w="3125"/>
      </w:tblGrid>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/S/ W. M. “RUSTY” RUSH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 M. “Rusty” Rush</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Chief Executive Officer and</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0" w:right="0" w:firstLine="72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47" w:name="ex_922230.htm"/>
      <w:bookmarkStart w:id="48" w:name="ksex_922230"/>
      <w:bookmarkEnd w:id="47"/>
      <w:bookmarkEnd w:id="48"/>
      <w:r>
        <w:rPr>
          <w:caps w:val="false"/>
          <w:smallCaps w:val="false"/>
        </w:rPr>
        <w:t> </w:t>
      </w:r>
      <w:r>
        <w:br w:type="page"/>
      </w:r>
    </w:p>
    <w:p>
      <w:pPr>
        <w:pStyle w:val="TextBody"/>
        <w:bidi w:val="0"/>
        <w:spacing w:before="0" w:after="0"/>
        <w:ind w:left="7200" w:right="0" w:firstLine="720"/>
        <w:jc w:val="right"/>
        <w:rPr>
          <w:rFonts w:ascii="Times New Roman" w:hAnsi="Times New Roman"/>
          <w:caps w:val="false"/>
          <w:smallCaps w:val="false"/>
          <w:sz w:val="20"/>
        </w:rPr>
      </w:pPr>
      <w:r>
        <w:rPr>
          <w:rFonts w:ascii="Times New Roman" w:hAnsi="Times New Roman"/>
          <w:caps w:val="false"/>
          <w:smallCaps w:val="false"/>
          <w:sz w:val="20"/>
        </w:rPr>
        <w:t>EXHIBIT 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br/>
      </w:r>
      <w:r>
        <w:rPr>
          <w:rFonts w:ascii="Times New Roman" w:hAnsi="Times New Roman"/>
          <w:b/>
          <w:caps w:val="false"/>
          <w:smallCaps w:val="false"/>
          <w:sz w:val="20"/>
        </w:rPr>
        <w:t xml:space="preserve">18 U.S.C. SECTION 1350, </w:t>
      </w:r>
      <w:r>
        <w:rPr>
          <w:rFonts w:ascii="Times New Roman" w:hAnsi="Times New Roman"/>
          <w:caps w:val="false"/>
          <w:smallCaps w:val="false"/>
          <w:sz w:val="20"/>
        </w:rPr>
        <w:br/>
      </w:r>
      <w:r>
        <w:rPr>
          <w:rFonts w:ascii="Times New Roman" w:hAnsi="Times New Roman"/>
          <w:b/>
          <w:caps w:val="false"/>
          <w:smallCaps w:val="false"/>
          <w:sz w:val="20"/>
        </w:rPr>
        <w:t>AS ADOPTED PURSUANT TO</w:t>
      </w:r>
      <w:r>
        <w:rPr>
          <w:rFonts w:ascii="Times New Roman" w:hAnsi="Times New Roman"/>
          <w:caps w:val="false"/>
          <w:smallCaps w:val="false"/>
          <w:sz w:val="20"/>
        </w:rPr>
        <w:br/>
      </w: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this annual report of Rush Enterprises, Inc. (the “Company”) on Form 10-K for the year ended December 31, 2025 as filed with the Securities and Exchange Commission on the date hereof (the “Report”), I, Steven L. Keller, Chief Financial Officer and Treasurer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60"/>
        <w:gridCol w:w="545"/>
        <w:gridCol w:w="2225"/>
      </w:tblGrid>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STEVEN L. KELLER</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L. Keller</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Treasurer</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012019/000110465908051789/a08-18770_1ex3d1.htm" TargetMode="External"/><Relationship Id="rId4" Type="http://schemas.openxmlformats.org/officeDocument/2006/relationships/hyperlink" Target="http://www.sec.gov/Archives/edgar/data/1012019/000143774923022761/ex_553893.htm" TargetMode="External"/><Relationship Id="rId5" Type="http://schemas.openxmlformats.org/officeDocument/2006/relationships/hyperlink" Target="http://www.sec.gov/Archives/edgar/data/1012019/000143774925036807/ex_895175.htm" TargetMode="External"/><Relationship Id="rId6" Type="http://schemas.openxmlformats.org/officeDocument/2006/relationships/hyperlink" Target="http://www.sec.gov/Archives/edgar/data/1012019/0000950129-96-000812.txt" TargetMode="External"/><Relationship Id="rId7" Type="http://schemas.openxmlformats.org/officeDocument/2006/relationships/hyperlink" Target="http://www.sec.gov/Archives/edgar/data/1012019/000091205702026743/a2083861zex-4_1.htm" TargetMode="External"/><Relationship Id="rId8" Type="http://schemas.openxmlformats.org/officeDocument/2006/relationships/hyperlink" Target="http://www.sec.gov/Archives/edgar/data/1012019/000143774923033263/ex_601669.htm" TargetMode="External"/><Relationship Id="rId9" Type="http://schemas.openxmlformats.org/officeDocument/2006/relationships/hyperlink" Target="http://www.sec.gov/Archives/edgar/data/1012019/000143774923015487/ex_524442.htm" TargetMode="External"/><Relationship Id="rId10" Type="http://schemas.openxmlformats.org/officeDocument/2006/relationships/hyperlink" Target="http://www.sec.gov/Archives/edgar/data/1012019/000095012311024520/c13928exv10w10.htm" TargetMode="External"/><Relationship Id="rId11" Type="http://schemas.openxmlformats.org/officeDocument/2006/relationships/hyperlink" Target="http://www.sec.gov/Archives/edgar/data/1012019/000143774923015487/ex_524441.htm" TargetMode="External"/><Relationship Id="rId12" Type="http://schemas.openxmlformats.org/officeDocument/2006/relationships/hyperlink" Target="http://www.sec.gov/Archives/edgar/data/1012019/000143774921003645/ex_228230.htm" TargetMode="External"/><Relationship Id="rId13" Type="http://schemas.openxmlformats.org/officeDocument/2006/relationships/hyperlink" Target="http://www.sec.gov/Archives/edgar/data/1012019/000143774921003645/ex_228231.htm" TargetMode="External"/><Relationship Id="rId14" Type="http://schemas.openxmlformats.org/officeDocument/2006/relationships/hyperlink" Target="http://www.sec.gov/Archives/edgar/data/1012019/000143774921013172/ex_252721.htm" TargetMode="External"/><Relationship Id="rId15" Type="http://schemas.openxmlformats.org/officeDocument/2006/relationships/hyperlink" Target="http://www.sec.gov/Archives/edgar/data/1012019/000143774915000385/ex10-1.htm" TargetMode="External"/><Relationship Id="rId16" Type="http://schemas.openxmlformats.org/officeDocument/2006/relationships/hyperlink" Target="http://www.sec.gov/Archives/edgar/data/1012019/000110465908047652/a08-20031_1ex10d1.htm" TargetMode="External"/><Relationship Id="rId17" Type="http://schemas.openxmlformats.org/officeDocument/2006/relationships/hyperlink" Target="http://www.sec.gov/Archives/edgar/data/1012019/000143774921003645/ex_228228.htm" TargetMode="External"/><Relationship Id="rId18" Type="http://schemas.openxmlformats.org/officeDocument/2006/relationships/hyperlink" Target="http://www.sec.gov/Archives/edgar/data/1012019/000095013400002832/0000950134-00-002832.txt" TargetMode="External"/><Relationship Id="rId19" Type="http://schemas.openxmlformats.org/officeDocument/2006/relationships/hyperlink" Target="http://www.sec.gov/Archives/edgar/data/1012019/000143774923031173/ex_594369.htm" TargetMode="External"/><Relationship Id="rId20" Type="http://schemas.openxmlformats.org/officeDocument/2006/relationships/hyperlink" Target="http://www.sec.gov/Archives/edgar/data/1012019/000143774921022435/ex_285039.htm" TargetMode="External"/><Relationship Id="rId21" Type="http://schemas.openxmlformats.org/officeDocument/2006/relationships/hyperlink" Target="http://www.sec.gov/Archives/edgar/data/1012019/000143774923016766/ex_530333.htm" TargetMode="External"/><Relationship Id="rId22" Type="http://schemas.openxmlformats.org/officeDocument/2006/relationships/hyperlink" Target="http://www.sec.gov/Archives/edgar/data/1012019/000143774924037874/ex_758867.htm" TargetMode="External"/><Relationship Id="rId23" Type="http://schemas.openxmlformats.org/officeDocument/2006/relationships/hyperlink" Target="http://www.sec.gov/Archives/edgar/data/1012019/000095012311001052/c10658exv10w2.htm" TargetMode="External"/><Relationship Id="rId24" Type="http://schemas.openxmlformats.org/officeDocument/2006/relationships/hyperlink" Target="http://www.sec.gov/Archives/edgar/data/1012019/000143774921022435/ex_285040.htm" TargetMode="External"/><Relationship Id="rId25" Type="http://schemas.openxmlformats.org/officeDocument/2006/relationships/hyperlink" Target="http://www.sec.gov/Archives/edgar/data/1012019/000143774922028345/ex_452566.htm" TargetMode="External"/><Relationship Id="rId26" Type="http://schemas.openxmlformats.org/officeDocument/2006/relationships/hyperlink" Target="http://www.sec.gov/Archives/edgar/data/1012019/000143774923035261/ex_609471.htm" TargetMode="External"/><Relationship Id="rId27" Type="http://schemas.openxmlformats.org/officeDocument/2006/relationships/hyperlink" Target="http://www.sec.gov/Archives/edgar/data/1012019/000143774925004794/ex_781162.htm" TargetMode="External"/><Relationship Id="rId28" Type="http://schemas.openxmlformats.org/officeDocument/2006/relationships/hyperlink" Target="http://www.sec.gov/Archives/edgar/data/1012019/000143774925030484/ex_866211.htm" TargetMode="External"/><Relationship Id="rId29" Type="http://schemas.openxmlformats.org/officeDocument/2006/relationships/hyperlink" Target="http://www.sec.gov/Archives/edgar/data/1012019/000143774921022435/ex_285041.htm" TargetMode="External"/><Relationship Id="rId30" Type="http://schemas.openxmlformats.org/officeDocument/2006/relationships/hyperlink" Target="http://www.sec.gov/Archives/edgar/data/1012019/000143774921022435/ex_285042.htm" TargetMode="External"/><Relationship Id="rId31" Type="http://schemas.openxmlformats.org/officeDocument/2006/relationships/hyperlink" Target="http://www.sec.gov/Archives/edgar/data/1012019/000143774923030420/ex_591845.htm" TargetMode="External"/><Relationship Id="rId32" Type="http://schemas.openxmlformats.org/officeDocument/2006/relationships/hyperlink" Target="http://www.sec.gov/Archives/edgar/data/1012019/000143774921023441/ex_290053.htm" TargetMode="External"/><Relationship Id="rId33" Type="http://schemas.openxmlformats.org/officeDocument/2006/relationships/hyperlink" Target="http://www.sec.gov/Archives/edgar/data/1012019/000143774924012083/ex_654030.htm" TargetMode="External"/><Relationship Id="rId34" Type="http://schemas.openxmlformats.org/officeDocument/2006/relationships/hyperlink" Target="http://www.sec.gov/Archives/edgar/data/1012019/000143774924037874/ex_758871.htm" TargetMode="External"/><Relationship Id="rId35" Type="http://schemas.openxmlformats.org/officeDocument/2006/relationships/hyperlink" Target="http://www.sec.gov/Archives/edgar/data/1012019/000143774924037874/ex_758872.htm" TargetMode="External"/><Relationship Id="rId36" Type="http://schemas.openxmlformats.org/officeDocument/2006/relationships/hyperlink" Target="http://www.sec.gov/Archives/edgar/data/1012019/000143774924037874/ex_758868.htm" TargetMode="External"/><Relationship Id="rId37" Type="http://schemas.openxmlformats.org/officeDocument/2006/relationships/hyperlink" Target="http://www.sec.gov/Archives/edgar/data/1012019/000143774924037874/ex_758869.htm" TargetMode="External"/><Relationship Id="rId38" Type="http://schemas.openxmlformats.org/officeDocument/2006/relationships/hyperlink" Target="http://www.sec.gov/Archives/edgar/data/1012019/000143774924037874/ex_758870.htm" TargetMode="External"/><Relationship Id="rId39" Type="http://schemas.openxmlformats.org/officeDocument/2006/relationships/hyperlink" Target="http://www.sec.gov/Archives/edgar/data/1012019/000143774922014419/ex_384030.htm" TargetMode="External"/><Relationship Id="rId40" Type="http://schemas.openxmlformats.org/officeDocument/2006/relationships/hyperlink" Target="http://www.sec.gov/Archives/edgar/data/1012019/000143774924019483/ex_684779.htm" TargetMode="External"/><Relationship Id="rId41" Type="http://schemas.openxmlformats.org/officeDocument/2006/relationships/hyperlink" Target="http://www.sec.gov/Archives/edgar/data/1012019/000143774922017535/ex_397876.htm" TargetMode="External"/><Relationship Id="rId42" Type="http://schemas.openxmlformats.org/officeDocument/2006/relationships/hyperlink" Target="http://www.sec.gov/Archives/edgar/data/1012019/000143774922017535/ex_397875.htm" TargetMode="External"/><Relationship Id="rId43" Type="http://schemas.openxmlformats.org/officeDocument/2006/relationships/hyperlink" Target="http://www.sec.gov/Archives/edgar/data/1012019/000143774923016766/ex_530334.htm" TargetMode="External"/><Relationship Id="rId44" Type="http://schemas.openxmlformats.org/officeDocument/2006/relationships/hyperlink" Target="http://www.sec.gov/Archives/edgar/data/1012019/000143774924019483/ex_684780.htm" TargetMode="External"/><Relationship Id="rId45" Type="http://schemas.openxmlformats.org/officeDocument/2006/relationships/hyperlink" Target="http://www.sec.gov/Archives/edgar/data/1012019/000143774925020786/ex_832213.htm" TargetMode="External"/><Relationship Id="rId46" Type="http://schemas.openxmlformats.org/officeDocument/2006/relationships/hyperlink" Target="http://www.sec.gov/Archives/edgar/data/1012019/000143774925004794/ex_780762.htm" TargetMode="External"/><Relationship Id="rId47" Type="http://schemas.openxmlformats.org/officeDocument/2006/relationships/hyperlink" Target="http://www.sec.gov/Archives/edgar/data/1012019/000143774924005362/ex_628006.htm" TargetMode="Externa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52618</Words>
  <Characters>291586</Characters>
  <CharactersWithSpaces>348665</CharactersWithSpaces>
  <Paragraphs>13025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