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1"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6" w:lineRule="exact"/>
        <w:rPr>
          <w:sz w:val="24"/>
          <w:szCs w:val="24"/>
          <w:color w:val="auto"/>
        </w:rPr>
      </w:pPr>
    </w:p>
    <w:p>
      <w:pPr>
        <w:ind w:left="190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3345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5180" cy="8255"/>
                    </a:xfrm>
                    <a:prstGeom prst="rect">
                      <a:avLst/>
                    </a:prstGeom>
                    <a:noFill/>
                  </pic:spPr>
                </pic:pic>
              </a:graphicData>
            </a:graphic>
          </wp:anchor>
        </w:drawing>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92"/>
              </w:rPr>
              <w:t>Commission File Number 0-20797</w:t>
            </w:r>
          </w:p>
        </w:tc>
      </w:tr>
      <w:tr>
        <w:trPr>
          <w:trHeight w:val="418"/>
        </w:trPr>
        <w:tc>
          <w:tcPr>
            <w:tcW w:w="2540" w:type="dxa"/>
            <w:vAlign w:val="bottom"/>
          </w:tcPr>
          <w:p>
            <w:pPr>
              <w:spacing w:after="0"/>
              <w:rPr>
                <w:sz w:val="24"/>
                <w:szCs w:val="24"/>
                <w:color w:val="auto"/>
              </w:rPr>
            </w:pPr>
          </w:p>
        </w:tc>
        <w:tc>
          <w:tcPr>
            <w:tcW w:w="73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540" w:type="dxa"/>
            <w:vAlign w:val="bottom"/>
          </w:tcPr>
          <w:p>
            <w:pPr>
              <w:jc w:val="center"/>
              <w:ind w:right="310"/>
              <w:spacing w:after="0"/>
              <w:rPr>
                <w:sz w:val="20"/>
                <w:szCs w:val="20"/>
                <w:color w:val="auto"/>
              </w:rPr>
            </w:pPr>
            <w:r>
              <w:rPr>
                <w:rFonts w:ascii="Arial" w:cs="Arial" w:eastAsia="Arial" w:hAnsi="Arial"/>
                <w:sz w:val="18"/>
                <w:szCs w:val="18"/>
                <w:color w:val="auto"/>
                <w:w w:val="85"/>
              </w:rPr>
              <w:t>Texas</w:t>
            </w:r>
          </w:p>
        </w:tc>
        <w:tc>
          <w:tcPr>
            <w:tcW w:w="7340" w:type="dxa"/>
            <w:vAlign w:val="bottom"/>
          </w:tcPr>
          <w:p>
            <w:pPr>
              <w:jc w:val="right"/>
              <w:ind w:right="550"/>
              <w:spacing w:after="0"/>
              <w:rPr>
                <w:sz w:val="20"/>
                <w:szCs w:val="20"/>
                <w:color w:val="auto"/>
              </w:rPr>
            </w:pPr>
            <w:r>
              <w:rPr>
                <w:rFonts w:ascii="Arial" w:cs="Arial" w:eastAsia="Arial" w:hAnsi="Arial"/>
                <w:sz w:val="18"/>
                <w:szCs w:val="18"/>
                <w:color w:val="auto"/>
              </w:rPr>
              <w:t>74-1733016</w:t>
            </w:r>
          </w:p>
        </w:tc>
      </w:tr>
      <w:tr>
        <w:trPr>
          <w:trHeight w:val="216"/>
        </w:trPr>
        <w:tc>
          <w:tcPr>
            <w:tcW w:w="254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734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2540" w:type="dxa"/>
            <w:vAlign w:val="bottom"/>
          </w:tcPr>
          <w:p>
            <w:pPr>
              <w:jc w:val="center"/>
              <w:ind w:right="290"/>
              <w:spacing w:after="0"/>
              <w:rPr>
                <w:sz w:val="20"/>
                <w:szCs w:val="20"/>
                <w:color w:val="auto"/>
              </w:rPr>
            </w:pPr>
            <w:r>
              <w:rPr>
                <w:rFonts w:ascii="Arial" w:cs="Arial" w:eastAsia="Arial" w:hAnsi="Arial"/>
                <w:sz w:val="18"/>
                <w:szCs w:val="18"/>
                <w:color w:val="auto"/>
                <w:w w:val="92"/>
              </w:rPr>
              <w:t>incorporation or organization)</w:t>
            </w:r>
          </w:p>
        </w:tc>
        <w:tc>
          <w:tcPr>
            <w:tcW w:w="7340" w:type="dxa"/>
            <w:vAlign w:val="bottom"/>
          </w:tcPr>
          <w:p>
            <w:pPr>
              <w:spacing w:after="0"/>
              <w:rPr>
                <w:sz w:val="20"/>
                <w:szCs w:val="20"/>
                <w:color w:val="auto"/>
              </w:rPr>
            </w:pPr>
          </w:p>
        </w:tc>
      </w:tr>
      <w:tr>
        <w:trPr>
          <w:trHeight w:val="418"/>
        </w:trPr>
        <w:tc>
          <w:tcPr>
            <w:tcW w:w="2540" w:type="dxa"/>
            <w:vAlign w:val="bottom"/>
          </w:tcPr>
          <w:p>
            <w:pPr>
              <w:spacing w:after="0"/>
              <w:rPr>
                <w:sz w:val="24"/>
                <w:szCs w:val="24"/>
                <w:color w:val="auto"/>
              </w:rPr>
            </w:pPr>
          </w:p>
        </w:tc>
        <w:tc>
          <w:tcPr>
            <w:tcW w:w="7340" w:type="dxa"/>
            <w:vAlign w:val="bottom"/>
          </w:tcPr>
          <w:p>
            <w:pPr>
              <w:jc w:val="center"/>
              <w:ind w:right="267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540" w:type="dxa"/>
            <w:vAlign w:val="bottom"/>
          </w:tcPr>
          <w:p>
            <w:pPr>
              <w:spacing w:after="0"/>
              <w:rPr>
                <w:sz w:val="18"/>
                <w:szCs w:val="18"/>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540" w:type="dxa"/>
            <w:vAlign w:val="bottom"/>
          </w:tcPr>
          <w:p>
            <w:pPr>
              <w:spacing w:after="0"/>
              <w:rPr>
                <w:sz w:val="18"/>
                <w:szCs w:val="18"/>
                <w:color w:val="auto"/>
              </w:rPr>
            </w:pPr>
          </w:p>
        </w:tc>
        <w:tc>
          <w:tcPr>
            <w:tcW w:w="7340" w:type="dxa"/>
            <w:vAlign w:val="bottom"/>
          </w:tcPr>
          <w:p>
            <w:pPr>
              <w:jc w:val="center"/>
              <w:ind w:right="267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94"/>
              </w:rPr>
              <w:t>(Zip Code)</w:t>
            </w:r>
          </w:p>
        </w:tc>
      </w:tr>
      <w:tr>
        <w:trPr>
          <w:trHeight w:val="418"/>
        </w:trPr>
        <w:tc>
          <w:tcPr>
            <w:tcW w:w="2540" w:type="dxa"/>
            <w:vAlign w:val="bottom"/>
          </w:tcPr>
          <w:p>
            <w:pPr>
              <w:spacing w:after="0"/>
              <w:rPr>
                <w:sz w:val="24"/>
                <w:szCs w:val="24"/>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90"/>
              </w:rPr>
              <w:t>(830) 302-5200</w:t>
            </w:r>
          </w:p>
        </w:tc>
      </w:tr>
      <w:tr>
        <w:trPr>
          <w:trHeight w:val="230"/>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202" w:lineRule="exact"/>
        <w:rPr>
          <w:sz w:val="24"/>
          <w:szCs w:val="24"/>
          <w:color w:val="auto"/>
        </w:rPr>
      </w:pPr>
    </w:p>
    <w:p>
      <w:pPr>
        <w:jc w:val="both"/>
        <w:ind w:firstLine="486"/>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260"/>
        <w:spacing w:after="0" w:line="207" w:lineRule="exact"/>
        <w:tabs>
          <w:tab w:leader="none" w:pos="6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486"/>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5260"/>
        <w:spacing w:after="0" w:line="207" w:lineRule="exact"/>
        <w:tabs>
          <w:tab w:leader="none" w:pos="6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640" w:val="left"/>
          <w:tab w:leader="none" w:pos="5300" w:val="left"/>
          <w:tab w:leader="none" w:pos="7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0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060"/>
        <w:spacing w:after="0" w:line="207" w:lineRule="exact"/>
        <w:tabs>
          <w:tab w:leader="none" w:pos="7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April 30, 2021.</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90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Number of Shares</w:t>
            </w:r>
          </w:p>
        </w:tc>
      </w:tr>
      <w:tr>
        <w:trPr>
          <w:trHeight w:val="190"/>
        </w:trPr>
        <w:tc>
          <w:tcPr>
            <w:tcW w:w="1300" w:type="dxa"/>
            <w:vAlign w:val="bottom"/>
          </w:tcPr>
          <w:p>
            <w:pPr>
              <w:spacing w:after="0"/>
              <w:rPr>
                <w:sz w:val="16"/>
                <w:szCs w:val="16"/>
                <w:color w:val="auto"/>
              </w:rPr>
            </w:pPr>
          </w:p>
        </w:tc>
        <w:tc>
          <w:tcPr>
            <w:tcW w:w="3520" w:type="dxa"/>
            <w:vAlign w:val="bottom"/>
            <w:gridSpan w:val="3"/>
          </w:tcPr>
          <w:p>
            <w:pPr>
              <w:spacing w:after="0" w:line="190" w:lineRule="exact"/>
              <w:rPr>
                <w:sz w:val="20"/>
                <w:szCs w:val="20"/>
                <w:color w:val="auto"/>
              </w:rPr>
            </w:pPr>
            <w:r>
              <w:rPr>
                <w:rFonts w:ascii="Arial" w:cs="Arial" w:eastAsia="Arial" w:hAnsi="Arial"/>
                <w:sz w:val="18"/>
                <w:szCs w:val="18"/>
                <w:color w:val="auto"/>
              </w:rPr>
              <w:t>Title of Class</w:t>
            </w:r>
          </w:p>
        </w:tc>
        <w:tc>
          <w:tcPr>
            <w:tcW w:w="2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00" w:type="dxa"/>
            <w:vAlign w:val="bottom"/>
            <w:gridSpan w:val="2"/>
          </w:tcPr>
          <w:p>
            <w:pPr>
              <w:jc w:val="center"/>
              <w:ind w:right="2000"/>
              <w:spacing w:after="0" w:line="190" w:lineRule="exact"/>
              <w:rPr>
                <w:sz w:val="20"/>
                <w:szCs w:val="20"/>
                <w:color w:val="auto"/>
              </w:rPr>
            </w:pPr>
            <w:r>
              <w:rPr>
                <w:rFonts w:ascii="Arial" w:cs="Arial" w:eastAsia="Arial" w:hAnsi="Arial"/>
                <w:sz w:val="18"/>
                <w:szCs w:val="18"/>
                <w:color w:val="auto"/>
                <w:w w:val="88"/>
              </w:rPr>
              <w:t>Outstanding</w:t>
            </w: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2"/>
        </w:trPr>
        <w:tc>
          <w:tcPr>
            <w:tcW w:w="4820" w:type="dxa"/>
            <w:vAlign w:val="bottom"/>
            <w:gridSpan w:val="4"/>
          </w:tcPr>
          <w:p>
            <w:pPr>
              <w:ind w:left="500"/>
              <w:spacing w:after="0"/>
              <w:rPr>
                <w:sz w:val="20"/>
                <w:szCs w:val="20"/>
                <w:color w:val="auto"/>
              </w:rPr>
            </w:pPr>
            <w:r>
              <w:rPr>
                <w:rFonts w:ascii="Arial" w:cs="Arial" w:eastAsia="Arial" w:hAnsi="Arial"/>
                <w:sz w:val="18"/>
                <w:szCs w:val="18"/>
                <w:color w:val="auto"/>
              </w:rPr>
              <w:t>Class A Common Stock, $.01 Par Value</w:t>
            </w:r>
          </w:p>
        </w:tc>
        <w:tc>
          <w:tcPr>
            <w:tcW w:w="2520" w:type="dxa"/>
            <w:vAlign w:val="bottom"/>
          </w:tcPr>
          <w:p>
            <w:pPr>
              <w:spacing w:after="0"/>
              <w:rPr>
                <w:sz w:val="19"/>
                <w:szCs w:val="19"/>
                <w:color w:val="auto"/>
              </w:rPr>
            </w:pPr>
          </w:p>
        </w:tc>
        <w:tc>
          <w:tcPr>
            <w:tcW w:w="1880" w:type="dxa"/>
            <w:vAlign w:val="bottom"/>
            <w:gridSpan w:val="2"/>
          </w:tcPr>
          <w:p>
            <w:pPr>
              <w:jc w:val="center"/>
              <w:ind w:left="930"/>
              <w:spacing w:after="0"/>
              <w:rPr>
                <w:sz w:val="20"/>
                <w:szCs w:val="20"/>
                <w:color w:val="auto"/>
              </w:rPr>
            </w:pPr>
            <w:r>
              <w:rPr>
                <w:rFonts w:ascii="Arial" w:cs="Arial" w:eastAsia="Arial" w:hAnsi="Arial"/>
                <w:sz w:val="18"/>
                <w:szCs w:val="18"/>
                <w:color w:val="auto"/>
                <w:w w:val="90"/>
              </w:rPr>
              <w:t>42,946,092</w:t>
            </w:r>
          </w:p>
        </w:tc>
        <w:tc>
          <w:tcPr>
            <w:tcW w:w="2020" w:type="dxa"/>
            <w:vAlign w:val="bottom"/>
          </w:tcPr>
          <w:p>
            <w:pPr>
              <w:spacing w:after="0"/>
              <w:rPr>
                <w:sz w:val="19"/>
                <w:szCs w:val="19"/>
                <w:color w:val="auto"/>
              </w:rPr>
            </w:pPr>
          </w:p>
        </w:tc>
      </w:tr>
      <w:tr>
        <w:trPr>
          <w:trHeight w:val="230"/>
        </w:trPr>
        <w:tc>
          <w:tcPr>
            <w:tcW w:w="4820" w:type="dxa"/>
            <w:vAlign w:val="bottom"/>
            <w:gridSpan w:val="4"/>
          </w:tcPr>
          <w:p>
            <w:pPr>
              <w:ind w:left="500"/>
              <w:spacing w:after="0"/>
              <w:rPr>
                <w:sz w:val="20"/>
                <w:szCs w:val="20"/>
                <w:color w:val="auto"/>
              </w:rPr>
            </w:pPr>
            <w:r>
              <w:rPr>
                <w:rFonts w:ascii="Arial" w:cs="Arial" w:eastAsia="Arial" w:hAnsi="Arial"/>
                <w:sz w:val="18"/>
                <w:szCs w:val="18"/>
                <w:color w:val="auto"/>
              </w:rPr>
              <w:t>Class B Common Stock, $.01 Par Value</w:t>
            </w:r>
          </w:p>
        </w:tc>
        <w:tc>
          <w:tcPr>
            <w:tcW w:w="2520" w:type="dxa"/>
            <w:vAlign w:val="bottom"/>
          </w:tcPr>
          <w:p>
            <w:pPr>
              <w:spacing w:after="0"/>
              <w:rPr>
                <w:sz w:val="20"/>
                <w:szCs w:val="20"/>
                <w:color w:val="auto"/>
              </w:rPr>
            </w:pPr>
          </w:p>
        </w:tc>
        <w:tc>
          <w:tcPr>
            <w:tcW w:w="1880" w:type="dxa"/>
            <w:vAlign w:val="bottom"/>
            <w:gridSpan w:val="2"/>
          </w:tcPr>
          <w:p>
            <w:pPr>
              <w:jc w:val="center"/>
              <w:ind w:left="930"/>
              <w:spacing w:after="0"/>
              <w:rPr>
                <w:sz w:val="20"/>
                <w:szCs w:val="20"/>
                <w:color w:val="auto"/>
              </w:rPr>
            </w:pPr>
            <w:r>
              <w:rPr>
                <w:rFonts w:ascii="Arial" w:cs="Arial" w:eastAsia="Arial" w:hAnsi="Arial"/>
                <w:sz w:val="18"/>
                <w:szCs w:val="18"/>
                <w:color w:val="auto"/>
                <w:w w:val="90"/>
              </w:rPr>
              <w:t>12,630,339</w:t>
            </w:r>
          </w:p>
        </w:tc>
        <w:tc>
          <w:tcPr>
            <w:tcW w:w="2020" w:type="dxa"/>
            <w:vAlign w:val="bottom"/>
          </w:tcPr>
          <w:p>
            <w:pPr>
              <w:spacing w:after="0"/>
              <w:rPr>
                <w:sz w:val="20"/>
                <w:szCs w:val="20"/>
                <w:color w:val="auto"/>
              </w:rPr>
            </w:pPr>
          </w:p>
        </w:tc>
      </w:tr>
      <w:tr>
        <w:trPr>
          <w:trHeight w:val="432"/>
        </w:trPr>
        <w:tc>
          <w:tcPr>
            <w:tcW w:w="4820" w:type="dxa"/>
            <w:vAlign w:val="bottom"/>
            <w:gridSpan w:val="4"/>
          </w:tcPr>
          <w:p>
            <w:pPr>
              <w:ind w:left="50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3"/>
        </w:trPr>
        <w:tc>
          <w:tcPr>
            <w:tcW w:w="1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09"/>
        </w:trPr>
        <w:tc>
          <w:tcPr>
            <w:tcW w:w="1300" w:type="dxa"/>
            <w:vAlign w:val="bottom"/>
            <w:tcBorders>
              <w:left w:val="single" w:sz="8" w:color="auto"/>
              <w:bottom w:val="single" w:sz="8" w:color="auto"/>
            </w:tcBorders>
          </w:tcPr>
          <w:p>
            <w:pPr>
              <w:spacing w:after="0"/>
              <w:rPr>
                <w:sz w:val="18"/>
                <w:szCs w:val="18"/>
                <w:color w:val="auto"/>
              </w:rPr>
            </w:pPr>
          </w:p>
        </w:tc>
        <w:tc>
          <w:tcPr>
            <w:tcW w:w="2820" w:type="dxa"/>
            <w:vAlign w:val="bottom"/>
            <w:tcBorders>
              <w:bottom w:val="single" w:sz="8" w:color="auto"/>
              <w:right w:val="single" w:sz="8" w:color="auto"/>
            </w:tcBorders>
            <w:gridSpan w:val="2"/>
          </w:tcPr>
          <w:p>
            <w:pPr>
              <w:ind w:left="100"/>
              <w:spacing w:after="0" w:line="189" w:lineRule="exact"/>
              <w:rPr>
                <w:sz w:val="20"/>
                <w:szCs w:val="20"/>
                <w:color w:val="auto"/>
              </w:rPr>
            </w:pPr>
            <w:r>
              <w:rPr>
                <w:rFonts w:ascii="Arial" w:cs="Arial" w:eastAsia="Arial" w:hAnsi="Arial"/>
                <w:sz w:val="18"/>
                <w:szCs w:val="18"/>
                <w:color w:val="auto"/>
              </w:rPr>
              <w:t>Title of each class</w:t>
            </w: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center"/>
              <w:ind w:right="710"/>
              <w:spacing w:after="0" w:line="189" w:lineRule="exact"/>
              <w:rPr>
                <w:sz w:val="20"/>
                <w:szCs w:val="20"/>
                <w:color w:val="auto"/>
              </w:rPr>
            </w:pPr>
            <w:r>
              <w:rPr>
                <w:rFonts w:ascii="Arial" w:cs="Arial" w:eastAsia="Arial" w:hAnsi="Arial"/>
                <w:sz w:val="18"/>
                <w:szCs w:val="18"/>
                <w:color w:val="auto"/>
                <w:w w:val="92"/>
              </w:rPr>
              <w:t>Trading Symbol(s)</w:t>
            </w:r>
          </w:p>
        </w:tc>
        <w:tc>
          <w:tcPr>
            <w:tcW w:w="3900" w:type="dxa"/>
            <w:vAlign w:val="bottom"/>
            <w:tcBorders>
              <w:bottom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78"/>
        </w:trPr>
        <w:tc>
          <w:tcPr>
            <w:tcW w:w="4120" w:type="dxa"/>
            <w:vAlign w:val="bottom"/>
            <w:tcBorders>
              <w:left w:val="single" w:sz="8" w:color="auto"/>
              <w:right w:val="single" w:sz="8" w:color="auto"/>
            </w:tcBorders>
            <w:gridSpan w:val="3"/>
          </w:tcPr>
          <w:p>
            <w:pPr>
              <w:ind w:left="620"/>
              <w:spacing w:after="0" w:line="178" w:lineRule="exact"/>
              <w:rPr>
                <w:sz w:val="20"/>
                <w:szCs w:val="20"/>
                <w:color w:val="auto"/>
              </w:rPr>
            </w:pPr>
            <w:r>
              <w:rPr>
                <w:rFonts w:ascii="Arial" w:cs="Arial" w:eastAsia="Arial" w:hAnsi="Arial"/>
                <w:sz w:val="18"/>
                <w:szCs w:val="18"/>
                <w:color w:val="auto"/>
              </w:rPr>
              <w:t>Class A Common Stock, $0.01 par value</w:t>
            </w:r>
          </w:p>
        </w:tc>
        <w:tc>
          <w:tcPr>
            <w:tcW w:w="700" w:type="dxa"/>
            <w:vAlign w:val="bottom"/>
          </w:tcPr>
          <w:p>
            <w:pPr>
              <w:spacing w:after="0"/>
              <w:rPr>
                <w:sz w:val="15"/>
                <w:szCs w:val="15"/>
                <w:color w:val="auto"/>
              </w:rPr>
            </w:pPr>
          </w:p>
        </w:tc>
        <w:tc>
          <w:tcPr>
            <w:tcW w:w="2520" w:type="dxa"/>
            <w:vAlign w:val="bottom"/>
            <w:tcBorders>
              <w:right w:val="single" w:sz="8" w:color="auto"/>
            </w:tcBorders>
          </w:tcPr>
          <w:p>
            <w:pPr>
              <w:jc w:val="center"/>
              <w:ind w:right="690"/>
              <w:spacing w:after="0" w:line="178" w:lineRule="exact"/>
              <w:rPr>
                <w:sz w:val="20"/>
                <w:szCs w:val="20"/>
                <w:color w:val="auto"/>
              </w:rPr>
            </w:pPr>
            <w:r>
              <w:rPr>
                <w:rFonts w:ascii="Arial" w:cs="Arial" w:eastAsia="Arial" w:hAnsi="Arial"/>
                <w:sz w:val="18"/>
                <w:szCs w:val="18"/>
                <w:color w:val="auto"/>
                <w:w w:val="98"/>
              </w:rPr>
              <w:t>RUSHA</w:t>
            </w:r>
          </w:p>
        </w:tc>
        <w:tc>
          <w:tcPr>
            <w:tcW w:w="3900" w:type="dxa"/>
            <w:vAlign w:val="bottom"/>
            <w:tcBorders>
              <w:right w:val="single" w:sz="8" w:color="auto"/>
            </w:tcBorders>
            <w:gridSpan w:val="3"/>
          </w:tcPr>
          <w:p>
            <w:pPr>
              <w:jc w:val="center"/>
              <w:ind w:right="40"/>
              <w:spacing w:after="0" w:line="178"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120" w:type="dxa"/>
            <w:vAlign w:val="bottom"/>
            <w:tcBorders>
              <w:left w:val="single" w:sz="8" w:color="auto"/>
              <w:bottom w:val="single" w:sz="8" w:color="auto"/>
              <w:right w:val="single" w:sz="8" w:color="auto"/>
            </w:tcBorders>
            <w:gridSpan w:val="3"/>
          </w:tcPr>
          <w:p>
            <w:pPr>
              <w:ind w:left="620"/>
              <w:spacing w:after="0"/>
              <w:rPr>
                <w:sz w:val="20"/>
                <w:szCs w:val="20"/>
                <w:color w:val="auto"/>
              </w:rPr>
            </w:pPr>
            <w:r>
              <w:rPr>
                <w:rFonts w:ascii="Arial" w:cs="Arial" w:eastAsia="Arial" w:hAnsi="Arial"/>
                <w:sz w:val="18"/>
                <w:szCs w:val="18"/>
                <w:color w:val="auto"/>
              </w:rPr>
              <w:t>Class B Common Stock, $0.01 par value</w:t>
            </w:r>
          </w:p>
        </w:tc>
        <w:tc>
          <w:tcPr>
            <w:tcW w:w="7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5"/>
              </w:rPr>
              <w:t>RUSHB</w:t>
            </w:r>
          </w:p>
        </w:tc>
        <w:tc>
          <w:tcPr>
            <w:tcW w:w="3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NASDAQ Global Select Market</w:t>
            </w:r>
          </w:p>
        </w:tc>
      </w:tr>
      <w:tr>
        <w:trPr>
          <w:trHeight w:val="567"/>
        </w:trPr>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28"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16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308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6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1240" w:type="dxa"/>
            <w:vAlign w:val="bottom"/>
            <w:tcBorders>
              <w:top w:val="single" w:sz="8" w:color="0000EE"/>
            </w:tcBorders>
            <w:gridSpan w:val="2"/>
          </w:tcPr>
          <w:p>
            <w:pPr>
              <w:ind w:left="58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320" w:type="dxa"/>
            <w:vAlign w:val="bottom"/>
            <w:tcBorders>
              <w:top w:val="single" w:sz="8" w:color="0000EE"/>
            </w:tcBorders>
            <w:gridSpan w:val="3"/>
          </w:tcPr>
          <w:p>
            <w:pPr>
              <w:spacing w:after="0"/>
              <w:rPr>
                <w:sz w:val="24"/>
                <w:szCs w:val="24"/>
                <w:color w:val="auto"/>
              </w:rPr>
            </w:pPr>
          </w:p>
        </w:tc>
        <w:tc>
          <w:tcPr>
            <w:tcW w:w="736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tcBorders>
              <w:bottom w:val="single" w:sz="8" w:color="0000EE"/>
            </w:tcBorders>
            <w:gridSpan w:val="13"/>
          </w:tcPr>
          <w:p>
            <w:pPr>
              <w:ind w:left="20"/>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 March 31, 2021 (unaudited) and December 31, 2020</w:t>
              </w:r>
            </w:hyperlink>
          </w:p>
        </w:tc>
        <w:tc>
          <w:tcPr>
            <w:tcW w:w="3160" w:type="dxa"/>
            <w:vAlign w:val="bottom"/>
            <w:gridSpan w:val="5"/>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18"/>
          </w:tcPr>
          <w:p>
            <w:pPr>
              <w:ind w:left="20"/>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Income and Comprehensive Income - For the Three Months Ended March 31, 2021 and 2020</w:t>
              </w:r>
            </w:hyperlink>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0000EE"/>
            </w:tcBorders>
            <w:gridSpan w:val="3"/>
            <w:vMerge w:val="restart"/>
          </w:tcPr>
          <w:p>
            <w:pPr>
              <w:ind w:left="20"/>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w:t>
              </w:r>
            </w:hyperlink>
          </w:p>
        </w:tc>
        <w:tc>
          <w:tcPr>
            <w:tcW w:w="7920" w:type="dxa"/>
            <w:vAlign w:val="bottom"/>
            <w:tcBorders>
              <w:top w:val="single" w:sz="8" w:color="0000EE"/>
            </w:tcBorders>
            <w:gridSpan w:val="14"/>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0000EE"/>
            </w:tcBorders>
            <w:gridSpan w:val="3"/>
            <w:vMerge w:val="continue"/>
          </w:tcPr>
          <w:p>
            <w:pPr>
              <w:spacing w:after="0"/>
              <w:rPr>
                <w:sz w:val="5"/>
                <w:szCs w:val="5"/>
                <w:color w:val="auto"/>
              </w:rPr>
            </w:pPr>
          </w:p>
        </w:tc>
        <w:tc>
          <w:tcPr>
            <w:tcW w:w="7920" w:type="dxa"/>
            <w:vAlign w:val="bottom"/>
            <w:gridSpan w:val="14"/>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18"/>
          </w:tcPr>
          <w:p>
            <w:pPr>
              <w:ind w:left="20"/>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Shareholders’ Equity – For the Three Months Ended March 31, 2021 and 2020 (unaudited)</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80" w:type="dxa"/>
            <w:vAlign w:val="bottom"/>
            <w:tcBorders>
              <w:top w:val="single" w:sz="8" w:color="0000EE"/>
            </w:tcBorders>
            <w:gridSpan w:val="16"/>
          </w:tcPr>
          <w:p>
            <w:pPr>
              <w:ind w:left="20"/>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 For the Three Months Ended March 31, 2021 and 2020 (unaudited)</w:t>
              </w:r>
            </w:hyperlink>
          </w:p>
        </w:tc>
        <w:tc>
          <w:tcPr>
            <w:tcW w:w="62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1"/>
          </w:tcPr>
          <w:p>
            <w:pPr>
              <w:ind w:left="20"/>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 (unaudited)</w:t>
              </w:r>
            </w:hyperlink>
          </w:p>
        </w:tc>
        <w:tc>
          <w:tcPr>
            <w:tcW w:w="3840" w:type="dxa"/>
            <w:vAlign w:val="bottom"/>
            <w:tcBorders>
              <w:top w:val="single" w:sz="8" w:color="0000EE"/>
            </w:tcBorders>
            <w:gridSpan w:val="4"/>
          </w:tcPr>
          <w:p>
            <w:pPr>
              <w:spacing w:after="0"/>
              <w:rPr>
                <w:sz w:val="24"/>
                <w:szCs w:val="24"/>
                <w:color w:val="auto"/>
              </w:rPr>
            </w:pPr>
          </w:p>
        </w:tc>
        <w:tc>
          <w:tcPr>
            <w:tcW w:w="1320" w:type="dxa"/>
            <w:vAlign w:val="bottom"/>
            <w:gridSpan w:val="3"/>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40" w:type="dxa"/>
            <w:vAlign w:val="bottom"/>
            <w:tcBorders>
              <w:left w:val="single" w:sz="8" w:color="0000EE"/>
            </w:tcBorders>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0"/>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66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9200" w:type="dxa"/>
            <w:vAlign w:val="bottom"/>
            <w:gridSpan w:val="18"/>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6">
              <w:r>
                <w:rPr>
                  <w:rFonts w:ascii="Arial" w:cs="Arial" w:eastAsia="Arial" w:hAnsi="Arial"/>
                  <w:sz w:val="18"/>
                  <w:szCs w:val="18"/>
                  <w:color w:val="0000EE"/>
                </w:rPr>
                <w:t>Risk Factors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6">
              <w:r>
                <w:rPr>
                  <w:rFonts w:ascii="Arial" w:cs="Arial" w:eastAsia="Arial" w:hAnsi="Arial"/>
                  <w:sz w:val="18"/>
                  <w:szCs w:val="18"/>
                  <w:color w:val="0000EE"/>
                </w:rPr>
                <w:t>Unregistered Sales of Equity Securities and Use of Proceeds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6">
              <w:r>
                <w:rPr>
                  <w:rFonts w:ascii="Arial" w:cs="Arial" w:eastAsia="Arial" w:hAnsi="Arial"/>
                  <w:sz w:val="18"/>
                  <w:szCs w:val="18"/>
                  <w:color w:val="0000EE"/>
                </w:rPr>
                <w:t>Defaults Upon Senior Securities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6">
              <w:r>
                <w:rPr>
                  <w:rFonts w:ascii="Arial" w:cs="Arial" w:eastAsia="Arial" w:hAnsi="Arial"/>
                  <w:sz w:val="18"/>
                  <w:szCs w:val="18"/>
                  <w:color w:val="0000EE"/>
                </w:rPr>
                <w:t>Mine Safety Disclosures</w:t>
              </w:r>
            </w:hyperlink>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42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134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860" w:type="dxa"/>
            <w:vAlign w:val="bottom"/>
            <w:gridSpan w:val="13"/>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13"/>
          </w:tcPr>
          <w:p>
            <w:pPr>
              <w:jc w:val="center"/>
              <w:ind w:left="2630"/>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7"/>
        </w:trPr>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Arial" w:cs="Arial" w:eastAsia="Arial" w:hAnsi="Arial"/>
                <w:sz w:val="18"/>
                <w:szCs w:val="18"/>
                <w:color w:val="auto"/>
                <w:w w:val="88"/>
              </w:rPr>
              <w:t>(In Thousands, Except Shares and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312,048</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187,171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172,481</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858,291</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1,357,726</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1,183,437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1,203,719</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60,577</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292,142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292,142</w:t>
            </w:r>
          </w:p>
        </w:tc>
      </w:tr>
      <w:tr>
        <w:trPr>
          <w:trHeight w:val="216"/>
        </w:trPr>
        <w:tc>
          <w:tcPr>
            <w:tcW w:w="80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3,008,423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2,985,393</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Floor plan notes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550,304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511,786</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26,448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26,373</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136,329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110,728</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74,209</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151,830</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1,026,794</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369,587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387,982</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90,740</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51,155</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34,246</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118,064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126,439</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7"/>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2021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ind w:left="340"/>
              <w:spacing w:after="0"/>
              <w:rPr>
                <w:sz w:val="20"/>
                <w:szCs w:val="20"/>
                <w:color w:val="auto"/>
              </w:rPr>
            </w:pPr>
            <w:r>
              <w:rPr>
                <w:rFonts w:ascii="Arial" w:cs="Arial" w:eastAsia="Arial" w:hAnsi="Arial"/>
                <w:sz w:val="18"/>
                <w:szCs w:val="18"/>
                <w:color w:val="auto"/>
              </w:rPr>
              <w:t>2020</w:t>
            </w: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7"/>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w w:val="99"/>
              </w:rPr>
              <w:t>authorized; 42,885,268 Class A shares and 12,659,918 Class B shares outstanding in 2021;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42,503,925 Class A shares and 12,470,308 Class B shares outstanding in 2020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449,790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437,646</w:t>
            </w:r>
          </w:p>
        </w:tc>
      </w:tr>
      <w:tr>
        <w:trPr>
          <w:trHeight w:val="202"/>
        </w:trPr>
        <w:tc>
          <w:tcPr>
            <w:tcW w:w="8000" w:type="dxa"/>
            <w:vAlign w:val="bottom"/>
            <w:gridSpan w:val="7"/>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Treasury stock, at cost: 12,999 Class A shares and 228,849 Class B shares in 2021; and 10,335 Class A</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shares and 73,437 Class B shares in 2020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(2,879)</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867,119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831,850</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1,268,037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3,008,423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2,985,393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20" w:type="dxa"/>
            <w:vAlign w:val="bottom"/>
            <w:gridSpan w:val="3"/>
          </w:tcPr>
          <w:p>
            <w:pPr>
              <w:jc w:val="center"/>
              <w:ind w:right="690"/>
              <w:spacing w:after="0"/>
              <w:rPr>
                <w:sz w:val="20"/>
                <w:szCs w:val="20"/>
                <w:color w:val="auto"/>
              </w:rPr>
            </w:pPr>
            <w:r>
              <w:rPr>
                <w:rFonts w:ascii="Arial" w:cs="Arial" w:eastAsia="Arial" w:hAnsi="Arial"/>
                <w:sz w:val="18"/>
                <w:szCs w:val="18"/>
                <w:color w:val="auto"/>
                <w:w w:val="95"/>
              </w:rPr>
              <w:t>RUSH ENTERPRISES, INC. AND SUBSIDIARIES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300" w:type="dxa"/>
            <w:vAlign w:val="bottom"/>
            <w:gridSpan w:val="8"/>
          </w:tcPr>
          <w:p>
            <w:pPr>
              <w:jc w:val="center"/>
              <w:ind w:left="290"/>
              <w:spacing w:after="0" w:line="196" w:lineRule="exact"/>
              <w:rPr>
                <w:sz w:val="20"/>
                <w:szCs w:val="20"/>
                <w:color w:val="auto"/>
              </w:rPr>
            </w:pPr>
            <w:r>
              <w:rPr>
                <w:rFonts w:ascii="Arial" w:cs="Arial" w:eastAsia="Arial" w:hAnsi="Arial"/>
                <w:sz w:val="18"/>
                <w:szCs w:val="18"/>
                <w:color w:val="auto"/>
                <w:w w:val="96"/>
              </w:rPr>
              <w:t>CONSOLIDATED STATEMENTS OF INCOME AND COMPREHENSIVE INCOME</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gridSpan w:val="3"/>
          </w:tcPr>
          <w:p>
            <w:pPr>
              <w:jc w:val="center"/>
              <w:ind w:right="690"/>
              <w:spacing w:after="0"/>
              <w:rPr>
                <w:sz w:val="20"/>
                <w:szCs w:val="20"/>
                <w:color w:val="auto"/>
              </w:rPr>
            </w:pPr>
            <w:r>
              <w:rPr>
                <w:rFonts w:ascii="Arial" w:cs="Arial" w:eastAsia="Arial" w:hAnsi="Arial"/>
                <w:sz w:val="18"/>
                <w:szCs w:val="18"/>
                <w:color w:val="auto"/>
                <w:w w:val="89"/>
              </w:rPr>
              <w:t>(In Thousands, Except Per Share Amounts)</w:t>
            </w: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gridSpan w:val="3"/>
          </w:tcPr>
          <w:p>
            <w:pPr>
              <w:jc w:val="center"/>
              <w:ind w:right="690"/>
              <w:spacing w:after="0"/>
              <w:rPr>
                <w:sz w:val="20"/>
                <w:szCs w:val="20"/>
                <w:color w:val="auto"/>
              </w:rPr>
            </w:pPr>
            <w:r>
              <w:rPr>
                <w:rFonts w:ascii="Arial" w:cs="Arial" w:eastAsia="Arial" w:hAnsi="Arial"/>
                <w:sz w:val="18"/>
                <w:szCs w:val="18"/>
                <w:color w:val="auto"/>
                <w:w w:val="93"/>
              </w:rPr>
              <w:t>(Unaudited)</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650"/>
              <w:spacing w:after="0" w:line="191"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New and used commercial vehicle sales</w:t>
            </w:r>
          </w:p>
        </w:tc>
        <w:tc>
          <w:tcPr>
            <w:tcW w:w="4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747,719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789,554</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415,737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427,978</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Lease and rental</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58,227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60,781</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1,231,806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1,286,663</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Cost of products sold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677,092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728,539</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261,842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271,415</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Lease and rental</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Total cost of products sold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986,992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244,814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234,501</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174,955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185,074</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14,330</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35,197</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Income before taxes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56,637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31,669</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4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45,333</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Earnings per common share: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4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4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0.79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54,727</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57,734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0.18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w:t>
            </w:r>
          </w:p>
        </w:tc>
        <w:tc>
          <w:tcPr>
            <w:tcW w:w="430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20" w:type="dxa"/>
            <w:vAlign w:val="bottom"/>
            <w:gridSpan w:val="7"/>
          </w:tcPr>
          <w:p>
            <w:pPr>
              <w:jc w:val="center"/>
              <w:ind w:right="80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6"/>
                <w:szCs w:val="16"/>
                <w:color w:val="auto"/>
                <w:w w:val="93"/>
              </w:rPr>
              <w:t>Common Stock</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20" w:type="dxa"/>
            <w:vAlign w:val="bottom"/>
            <w:gridSpan w:val="3"/>
          </w:tcPr>
          <w:p>
            <w:pPr>
              <w:jc w:val="center"/>
              <w:ind w:left="499"/>
              <w:spacing w:after="0"/>
              <w:rPr>
                <w:sz w:val="20"/>
                <w:szCs w:val="20"/>
                <w:color w:val="auto"/>
              </w:rPr>
            </w:pPr>
            <w:r>
              <w:rPr>
                <w:rFonts w:ascii="Arial" w:cs="Arial" w:eastAsia="Arial" w:hAnsi="Arial"/>
                <w:sz w:val="16"/>
                <w:szCs w:val="16"/>
                <w:color w:val="auto"/>
                <w:w w:val="86"/>
              </w:rPr>
              <w:t>Shares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9"/>
              <w:spacing w:after="0"/>
              <w:rPr>
                <w:sz w:val="20"/>
                <w:szCs w:val="20"/>
                <w:color w:val="auto"/>
              </w:rPr>
            </w:pPr>
            <w:r>
              <w:rPr>
                <w:rFonts w:ascii="Arial" w:cs="Arial" w:eastAsia="Arial" w:hAnsi="Arial"/>
                <w:sz w:val="16"/>
                <w:szCs w:val="16"/>
                <w:color w:val="auto"/>
                <w:w w:val="89"/>
              </w:rPr>
              <w:t>$0.01</w:t>
            </w:r>
          </w:p>
        </w:tc>
        <w:tc>
          <w:tcPr>
            <w:tcW w:w="24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Other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color w:val="auto"/>
                <w:w w:val="92"/>
              </w:rPr>
              <w:t>Outstanding</w:t>
            </w:r>
          </w:p>
        </w:tc>
        <w:tc>
          <w:tcPr>
            <w:tcW w:w="140" w:type="dxa"/>
            <w:vAlign w:val="bottom"/>
          </w:tcPr>
          <w:p>
            <w:pPr>
              <w:spacing w:after="0"/>
              <w:rPr>
                <w:sz w:val="18"/>
                <w:szCs w:val="18"/>
                <w:color w:val="auto"/>
              </w:rPr>
            </w:pPr>
          </w:p>
        </w:tc>
        <w:tc>
          <w:tcPr>
            <w:tcW w:w="660" w:type="dxa"/>
            <w:vAlign w:val="bottom"/>
          </w:tcPr>
          <w:p>
            <w:pPr>
              <w:jc w:val="center"/>
              <w:ind w:right="79"/>
              <w:spacing w:after="0"/>
              <w:rPr>
                <w:sz w:val="20"/>
                <w:szCs w:val="20"/>
                <w:color w:val="auto"/>
              </w:rPr>
            </w:pPr>
            <w:r>
              <w:rPr>
                <w:rFonts w:ascii="Arial" w:cs="Arial" w:eastAsia="Arial" w:hAnsi="Arial"/>
                <w:sz w:val="16"/>
                <w:szCs w:val="16"/>
                <w:color w:val="auto"/>
                <w:w w:val="88"/>
              </w:rPr>
              <w:t>Par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Paid-In</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Retained</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Comprehensive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80" w:type="dxa"/>
            <w:vAlign w:val="bottom"/>
          </w:tcPr>
          <w:p>
            <w:pPr>
              <w:spacing w:after="0"/>
              <w:rPr>
                <w:sz w:val="17"/>
                <w:szCs w:val="17"/>
                <w:color w:val="auto"/>
              </w:rPr>
            </w:pPr>
          </w:p>
        </w:tc>
        <w:tc>
          <w:tcPr>
            <w:tcW w:w="10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Class A</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6"/>
              </w:rPr>
              <w:t>Class B</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9"/>
              <w:spacing w:after="0"/>
              <w:rPr>
                <w:sz w:val="20"/>
                <w:szCs w:val="20"/>
                <w:color w:val="auto"/>
              </w:rPr>
            </w:pPr>
            <w:r>
              <w:rPr>
                <w:rFonts w:ascii="Arial" w:cs="Arial" w:eastAsia="Arial" w:hAnsi="Arial"/>
                <w:sz w:val="16"/>
                <w:szCs w:val="16"/>
                <w:color w:val="auto"/>
                <w:w w:val="87"/>
              </w:rPr>
              <w:t>Value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8"/>
              </w:rPr>
              <w:t>Earnings</w:t>
            </w: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Income</w:t>
            </w:r>
          </w:p>
        </w:tc>
        <w:tc>
          <w:tcPr>
            <w:tcW w:w="8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Total</w:t>
            </w:r>
          </w:p>
        </w:tc>
      </w:tr>
      <w:tr>
        <w:trPr>
          <w:trHeight w:val="196"/>
        </w:trPr>
        <w:tc>
          <w:tcPr>
            <w:tcW w:w="3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12,470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437,646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(2,879)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831,850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869</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9"/>
              </w:rPr>
              <w:t>$ 1,268,037</w:t>
            </w:r>
          </w:p>
        </w:tc>
      </w:tr>
      <w:tr>
        <w:trPr>
          <w:trHeight w:val="203"/>
        </w:trPr>
        <w:tc>
          <w:tcPr>
            <w:tcW w:w="3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and stock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5,416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5,419</w:t>
            </w:r>
          </w:p>
        </w:tc>
      </w:tr>
      <w:tr>
        <w:trPr>
          <w:trHeight w:val="193"/>
        </w:trPr>
        <w:tc>
          <w:tcPr>
            <w:tcW w:w="3280" w:type="dxa"/>
            <w:vAlign w:val="bottom"/>
          </w:tcPr>
          <w:p>
            <w:pPr>
              <w:spacing w:after="0"/>
              <w:rPr>
                <w:sz w:val="20"/>
                <w:szCs w:val="20"/>
                <w:color w:val="auto"/>
              </w:rPr>
            </w:pPr>
            <w:r>
              <w:rPr>
                <w:rFonts w:ascii="Arial" w:cs="Arial" w:eastAsia="Arial" w:hAnsi="Arial"/>
                <w:sz w:val="16"/>
                <w:szCs w:val="16"/>
                <w:color w:val="auto"/>
              </w:rPr>
              <w:t>Stock-based compensation related to stock</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w w:val="94"/>
              </w:rPr>
              <w:t>options, restricted shares and employee stock</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11,520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11,520</w:t>
            </w:r>
          </w:p>
        </w:tc>
      </w:tr>
      <w:tr>
        <w:trPr>
          <w:trHeight w:val="205"/>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share awards</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(6,780)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(6,777)</w:t>
            </w:r>
          </w:p>
        </w:tc>
      </w:tr>
      <w:tr>
        <w:trPr>
          <w:trHeight w:val="193"/>
        </w:trPr>
        <w:tc>
          <w:tcPr>
            <w:tcW w:w="328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1,989</w:t>
            </w:r>
          </w:p>
        </w:tc>
      </w:tr>
      <w:tr>
        <w:trPr>
          <w:trHeight w:val="205"/>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(6,483)</w:t>
            </w:r>
          </w:p>
        </w:tc>
      </w:tr>
      <w:tr>
        <w:trPr>
          <w:trHeight w:val="211"/>
        </w:trPr>
        <w:tc>
          <w:tcPr>
            <w:tcW w:w="3280" w:type="dxa"/>
            <w:vAlign w:val="bottom"/>
          </w:tcPr>
          <w:p>
            <w:pPr>
              <w:spacing w:after="0"/>
              <w:rPr>
                <w:sz w:val="20"/>
                <w:szCs w:val="20"/>
                <w:color w:val="auto"/>
              </w:rPr>
            </w:pPr>
            <w:r>
              <w:rPr>
                <w:rFonts w:ascii="Arial" w:cs="Arial" w:eastAsia="Arial" w:hAnsi="Arial"/>
                <w:sz w:val="16"/>
                <w:szCs w:val="16"/>
                <w:color w:val="auto"/>
              </w:rPr>
              <w:t>Dividend Class A common stock</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(7,684)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(7,684)</w:t>
            </w:r>
          </w:p>
        </w:tc>
      </w:tr>
      <w:tr>
        <w:trPr>
          <w:trHeight w:val="221"/>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B common stock</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(2,380)</w:t>
            </w:r>
          </w:p>
        </w:tc>
      </w:tr>
      <w:tr>
        <w:trPr>
          <w:trHeight w:val="211"/>
        </w:trPr>
        <w:tc>
          <w:tcPr>
            <w:tcW w:w="32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255</w:t>
            </w:r>
          </w:p>
        </w:tc>
      </w:tr>
      <w:tr>
        <w:trPr>
          <w:trHeight w:val="221"/>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45,333</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45,333</w:t>
            </w:r>
          </w:p>
        </w:tc>
      </w:tr>
      <w:tr>
        <w:trPr>
          <w:trHeight w:val="196"/>
        </w:trPr>
        <w:tc>
          <w:tcPr>
            <w:tcW w:w="32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83"/>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2021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42,885</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12,660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449,790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15"/>
                <w:szCs w:val="15"/>
                <w:b w:val="1"/>
                <w:bCs w:val="1"/>
                <w:color w:val="auto"/>
              </w:rPr>
              <w:t>(9,362</w:t>
            </w:r>
            <w:r>
              <w:rPr>
                <w:rFonts w:ascii="Arial" w:cs="Arial" w:eastAsia="Arial" w:hAnsi="Arial"/>
                <w:sz w:val="28"/>
                <w:szCs w:val="28"/>
                <w:b w:val="1"/>
                <w:bCs w:val="1"/>
                <w:color w:val="auto"/>
                <w:vertAlign w:val="superscript"/>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867,119</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1,124</w:t>
            </w:r>
          </w:p>
        </w:tc>
        <w:tc>
          <w:tcPr>
            <w:tcW w:w="1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9"/>
              </w:rPr>
              <w:t>$ 1,309,229</w:t>
            </w:r>
          </w:p>
        </w:tc>
      </w:tr>
      <w:tr>
        <w:trPr>
          <w:trHeight w:val="605"/>
        </w:trPr>
        <w:tc>
          <w:tcPr>
            <w:tcW w:w="3280" w:type="dxa"/>
            <w:vAlign w:val="bottom"/>
            <w:tcBorders>
              <w:top w:val="single" w:sz="8" w:color="CCEEFF"/>
            </w:tcBorders>
          </w:tcPr>
          <w:p>
            <w:pPr>
              <w:spacing w:after="0"/>
              <w:rPr>
                <w:sz w:val="24"/>
                <w:szCs w:val="24"/>
                <w:color w:val="auto"/>
              </w:rPr>
            </w:pPr>
          </w:p>
        </w:tc>
        <w:tc>
          <w:tcPr>
            <w:tcW w:w="18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6"/>
                <w:szCs w:val="16"/>
                <w:color w:val="auto"/>
                <w:w w:val="93"/>
              </w:rPr>
              <w:t>Common Stock</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color w:val="auto"/>
                <w:w w:val="95"/>
              </w:rPr>
              <w:t>Accumulated</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020" w:type="dxa"/>
            <w:vAlign w:val="bottom"/>
            <w:gridSpan w:val="3"/>
          </w:tcPr>
          <w:p>
            <w:pPr>
              <w:jc w:val="center"/>
              <w:ind w:left="499"/>
              <w:spacing w:after="0"/>
              <w:rPr>
                <w:sz w:val="20"/>
                <w:szCs w:val="20"/>
                <w:color w:val="auto"/>
              </w:rPr>
            </w:pPr>
            <w:r>
              <w:rPr>
                <w:rFonts w:ascii="Arial" w:cs="Arial" w:eastAsia="Arial" w:hAnsi="Arial"/>
                <w:sz w:val="16"/>
                <w:szCs w:val="16"/>
                <w:color w:val="auto"/>
                <w:w w:val="86"/>
              </w:rPr>
              <w:t>Shares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9"/>
              <w:spacing w:after="0"/>
              <w:rPr>
                <w:sz w:val="20"/>
                <w:szCs w:val="20"/>
                <w:color w:val="auto"/>
              </w:rPr>
            </w:pPr>
            <w:r>
              <w:rPr>
                <w:rFonts w:ascii="Arial" w:cs="Arial" w:eastAsia="Arial" w:hAnsi="Arial"/>
                <w:sz w:val="16"/>
                <w:szCs w:val="16"/>
                <w:color w:val="auto"/>
                <w:w w:val="89"/>
              </w:rPr>
              <w:t>$0.01</w:t>
            </w:r>
          </w:p>
        </w:tc>
        <w:tc>
          <w:tcPr>
            <w:tcW w:w="24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Other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color w:val="auto"/>
                <w:w w:val="92"/>
              </w:rPr>
              <w:t>Outstanding</w:t>
            </w:r>
          </w:p>
        </w:tc>
        <w:tc>
          <w:tcPr>
            <w:tcW w:w="140" w:type="dxa"/>
            <w:vAlign w:val="bottom"/>
          </w:tcPr>
          <w:p>
            <w:pPr>
              <w:spacing w:after="0"/>
              <w:rPr>
                <w:sz w:val="18"/>
                <w:szCs w:val="18"/>
                <w:color w:val="auto"/>
              </w:rPr>
            </w:pPr>
          </w:p>
        </w:tc>
        <w:tc>
          <w:tcPr>
            <w:tcW w:w="660" w:type="dxa"/>
            <w:vAlign w:val="bottom"/>
          </w:tcPr>
          <w:p>
            <w:pPr>
              <w:jc w:val="center"/>
              <w:ind w:right="79"/>
              <w:spacing w:after="0"/>
              <w:rPr>
                <w:sz w:val="20"/>
                <w:szCs w:val="20"/>
                <w:color w:val="auto"/>
              </w:rPr>
            </w:pPr>
            <w:r>
              <w:rPr>
                <w:rFonts w:ascii="Arial" w:cs="Arial" w:eastAsia="Arial" w:hAnsi="Arial"/>
                <w:sz w:val="16"/>
                <w:szCs w:val="16"/>
                <w:color w:val="auto"/>
                <w:w w:val="88"/>
              </w:rPr>
              <w:t>Par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Paid-In</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Retained</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Comprehensive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80" w:type="dxa"/>
            <w:vAlign w:val="bottom"/>
          </w:tcPr>
          <w:p>
            <w:pPr>
              <w:spacing w:after="0"/>
              <w:rPr>
                <w:sz w:val="17"/>
                <w:szCs w:val="17"/>
                <w:color w:val="auto"/>
              </w:rPr>
            </w:pPr>
          </w:p>
        </w:tc>
        <w:tc>
          <w:tcPr>
            <w:tcW w:w="10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Class A</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6"/>
              </w:rPr>
              <w:t>Class B</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9"/>
              <w:spacing w:after="0"/>
              <w:rPr>
                <w:sz w:val="20"/>
                <w:szCs w:val="20"/>
                <w:color w:val="auto"/>
              </w:rPr>
            </w:pPr>
            <w:r>
              <w:rPr>
                <w:rFonts w:ascii="Arial" w:cs="Arial" w:eastAsia="Arial" w:hAnsi="Arial"/>
                <w:sz w:val="16"/>
                <w:szCs w:val="16"/>
                <w:color w:val="auto"/>
                <w:w w:val="87"/>
              </w:rPr>
              <w:t>Value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8"/>
              </w:rPr>
              <w:t>Earnings</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Income(Loss)</w:t>
            </w:r>
          </w:p>
        </w:tc>
        <w:tc>
          <w:tcPr>
            <w:tcW w:w="8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Total</w:t>
            </w:r>
          </w:p>
        </w:tc>
      </w:tr>
      <w:tr>
        <w:trPr>
          <w:trHeight w:val="196"/>
        </w:trPr>
        <w:tc>
          <w:tcPr>
            <w:tcW w:w="3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41,930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397,267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(304,129)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92"/>
              </w:rPr>
              <w:t>1,065,553</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9"/>
              </w:rPr>
              <w:t>$ 1,159,493</w:t>
            </w:r>
          </w:p>
        </w:tc>
      </w:tr>
      <w:tr>
        <w:trPr>
          <w:trHeight w:val="203"/>
        </w:trPr>
        <w:tc>
          <w:tcPr>
            <w:tcW w:w="328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960" w:type="dxa"/>
            <w:vAlign w:val="bottom"/>
            <w:gridSpan w:val="3"/>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and stock awards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1,422</w:t>
            </w:r>
          </w:p>
        </w:tc>
      </w:tr>
      <w:tr>
        <w:trPr>
          <w:trHeight w:val="193"/>
        </w:trPr>
        <w:tc>
          <w:tcPr>
            <w:tcW w:w="3280" w:type="dxa"/>
            <w:vAlign w:val="bottom"/>
          </w:tcPr>
          <w:p>
            <w:pPr>
              <w:spacing w:after="0"/>
              <w:rPr>
                <w:sz w:val="20"/>
                <w:szCs w:val="20"/>
                <w:color w:val="auto"/>
              </w:rPr>
            </w:pPr>
            <w:r>
              <w:rPr>
                <w:rFonts w:ascii="Arial" w:cs="Arial" w:eastAsia="Arial" w:hAnsi="Arial"/>
                <w:sz w:val="16"/>
                <w:szCs w:val="16"/>
                <w:color w:val="auto"/>
              </w:rPr>
              <w:t>Stock-based compensation related to stock</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w w:val="94"/>
              </w:rPr>
              <w:t>options, restricted shares and employee stock</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8,553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8,553</w:t>
            </w:r>
          </w:p>
        </w:tc>
      </w:tr>
      <w:tr>
        <w:trPr>
          <w:trHeight w:val="206"/>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share awards</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(2,414)</w:t>
            </w:r>
          </w:p>
        </w:tc>
      </w:tr>
      <w:tr>
        <w:trPr>
          <w:trHeight w:val="193"/>
        </w:trPr>
        <w:tc>
          <w:tcPr>
            <w:tcW w:w="328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1,901</w:t>
            </w:r>
          </w:p>
        </w:tc>
      </w:tr>
      <w:tr>
        <w:trPr>
          <w:trHeight w:val="206"/>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(19,902)</w:t>
            </w:r>
          </w:p>
        </w:tc>
      </w:tr>
      <w:tr>
        <w:trPr>
          <w:trHeight w:val="211"/>
        </w:trPr>
        <w:tc>
          <w:tcPr>
            <w:tcW w:w="3280" w:type="dxa"/>
            <w:vAlign w:val="bottom"/>
          </w:tcPr>
          <w:p>
            <w:pPr>
              <w:spacing w:after="0"/>
              <w:rPr>
                <w:sz w:val="20"/>
                <w:szCs w:val="20"/>
                <w:color w:val="auto"/>
              </w:rPr>
            </w:pPr>
            <w:r>
              <w:rPr>
                <w:rFonts w:ascii="Arial" w:cs="Arial" w:eastAsia="Arial" w:hAnsi="Arial"/>
                <w:sz w:val="16"/>
                <w:szCs w:val="16"/>
                <w:color w:val="auto"/>
              </w:rPr>
              <w:t>Dividend Class A common stock</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(3,646)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(3,646)</w:t>
            </w:r>
          </w:p>
        </w:tc>
      </w:tr>
      <w:tr>
        <w:trPr>
          <w:trHeight w:val="221"/>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B common stock</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(1,108)</w:t>
            </w:r>
          </w:p>
        </w:tc>
      </w:tr>
      <w:tr>
        <w:trPr>
          <w:trHeight w:val="211"/>
        </w:trPr>
        <w:tc>
          <w:tcPr>
            <w:tcW w:w="32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(1,930)</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(1,930)</w:t>
            </w:r>
          </w:p>
        </w:tc>
      </w:tr>
      <w:tr>
        <w:trPr>
          <w:trHeight w:val="22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23,107</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23,107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3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960" w:type="dxa"/>
            <w:vAlign w:val="bottom"/>
            <w:gridSpan w:val="3"/>
          </w:tcPr>
          <w:p>
            <w:pPr>
              <w:spacing w:after="0"/>
              <w:rPr>
                <w:sz w:val="17"/>
                <w:szCs w:val="17"/>
                <w:color w:val="auto"/>
              </w:rPr>
            </w:pPr>
          </w:p>
        </w:tc>
      </w:tr>
      <w:tr>
        <w:trPr>
          <w:trHeight w:val="28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41,299</w:t>
            </w:r>
          </w:p>
        </w:tc>
        <w:tc>
          <w:tcPr>
            <w:tcW w:w="2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12,616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406,725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gridSpan w:val="2"/>
            <w:shd w:val="clear" w:color="auto" w:fill="CCEEFF"/>
          </w:tcPr>
          <w:p>
            <w:pPr>
              <w:jc w:val="right"/>
              <w:ind w:right="80"/>
              <w:spacing w:after="0" w:line="243" w:lineRule="exact"/>
              <w:rPr>
                <w:sz w:val="20"/>
                <w:szCs w:val="20"/>
                <w:color w:val="auto"/>
              </w:rPr>
            </w:pPr>
            <w:r>
              <w:rPr>
                <w:rFonts w:ascii="Arial" w:cs="Arial" w:eastAsia="Arial" w:hAnsi="Arial"/>
                <w:sz w:val="15"/>
                <w:szCs w:val="15"/>
                <w:b w:val="1"/>
                <w:bCs w:val="1"/>
                <w:color w:val="auto"/>
              </w:rPr>
              <w:t>(324,031</w:t>
            </w:r>
            <w:r>
              <w:rPr>
                <w:rFonts w:ascii="Arial" w:cs="Arial" w:eastAsia="Arial" w:hAnsi="Arial"/>
                <w:sz w:val="28"/>
                <w:szCs w:val="28"/>
                <w:b w:val="1"/>
                <w:bCs w:val="1"/>
                <w:color w:val="auto"/>
                <w:vertAlign w:val="superscript"/>
              </w:rPr>
              <w:t>)</w:t>
            </w: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92"/>
              </w:rPr>
              <w:t>1,083,906</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gridSpan w:val="2"/>
            <w:shd w:val="clear" w:color="auto" w:fill="CCEEFF"/>
          </w:tcPr>
          <w:p>
            <w:pPr>
              <w:jc w:val="right"/>
              <w:ind w:right="80"/>
              <w:spacing w:after="0" w:line="243" w:lineRule="exact"/>
              <w:rPr>
                <w:sz w:val="20"/>
                <w:szCs w:val="20"/>
                <w:color w:val="auto"/>
              </w:rPr>
            </w:pPr>
            <w:r>
              <w:rPr>
                <w:rFonts w:ascii="Arial" w:cs="Arial" w:eastAsia="Arial" w:hAnsi="Arial"/>
                <w:sz w:val="15"/>
                <w:szCs w:val="15"/>
                <w:b w:val="1"/>
                <w:bCs w:val="1"/>
                <w:color w:val="auto"/>
              </w:rPr>
              <w:t>(1,593</w:t>
            </w:r>
            <w:r>
              <w:rPr>
                <w:rFonts w:ascii="Arial" w:cs="Arial" w:eastAsia="Arial" w:hAnsi="Arial"/>
                <w:sz w:val="28"/>
                <w:szCs w:val="28"/>
                <w:b w:val="1"/>
                <w:bCs w:val="1"/>
                <w:color w:val="auto"/>
                <w:vertAlign w:val="superscript"/>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$ 1,165,476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0"/>
              </w:rPr>
              <w:t>(In Thousands)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45,333</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23,107</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42,601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45,192</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w w:val="91"/>
              </w:rPr>
              <w:t>Stock-based compensation expense related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11,520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8,553</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(7,160)</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(30,893)</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153,569</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6,002</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(11,673)</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Payments on floor plan notes payable – 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(15,077)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(16,701)</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(25,495)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(15,257)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r>
      <w:tr>
        <w:trPr>
          <w:trHeight w:val="209"/>
        </w:trPr>
        <w:tc>
          <w:tcPr>
            <w:tcW w:w="8000" w:type="dxa"/>
            <w:vAlign w:val="bottom"/>
            <w:tcBorders>
              <w:top w:val="single" w:sz="8" w:color="CCEEFF"/>
            </w:tcBorders>
            <w:gridSpan w:val="6"/>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138,815</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(49,489)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(47,333)</w:t>
            </w:r>
          </w:p>
        </w:tc>
      </w:tr>
      <w:tr>
        <w:trPr>
          <w:trHeight w:val="209"/>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Draws (payments) on floor plan notes payable – non-trade,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(92,579)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20,125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28,226</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(45,450)</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(2,012)</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(9,914)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(4,754)</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(19,902)</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8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(135,562)</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(44,080)</w:t>
            </w: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312,048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181,620</w:t>
            </w:r>
          </w:p>
        </w:tc>
      </w:tr>
      <w:tr>
        <w:trPr>
          <w:trHeight w:val="210"/>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316,070</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137,540</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7,262</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12,556</w:t>
            </w:r>
          </w:p>
        </w:tc>
      </w:tr>
      <w:tr>
        <w:trPr>
          <w:trHeight w:val="216"/>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Income taxes paid (refunded),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12,673</w:t>
            </w: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2020. Results of operations for interim periods are not necessarily indicative of results that may be expected for any other interim periods or the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15, 2020, the Board of Directors of the Company declared a 3-for-2 stock split of the Company’s Class A common stock and Class B common stock, to be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The Company is unable to predict the impact that the COVID-19 pandemic will have on its future business and operating results due to numerous uncertainties, including the duration and severity of the outbreak.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Standards Update 2020-04, </w:t>
      </w:r>
      <w:r>
        <w:rPr>
          <w:rFonts w:ascii="Arial" w:cs="Arial" w:eastAsia="Arial" w:hAnsi="Arial"/>
          <w:sz w:val="16"/>
          <w:szCs w:val="16"/>
          <w:i w:val="1"/>
          <w:iCs w:val="1"/>
          <w:color w:val="auto"/>
        </w:rPr>
        <w:t>Reference Rate Reform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848): Facilitation of the Effects of Reference Rate Reform on Financial Reporting </w:t>
      </w:r>
      <w:r>
        <w:rPr>
          <w:rFonts w:ascii="Arial" w:cs="Arial" w:eastAsia="Arial" w:hAnsi="Arial"/>
          <w:sz w:val="16"/>
          <w:szCs w:val="16"/>
          <w:color w:val="auto"/>
        </w:rPr>
        <w:t>("ASU 2020-04"). In January 2021, the FASB issued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Update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clarified the scope and application of the original guidance. The guidance in these standards applies to contract accounting, hedging relationships, and other transactions affected by reference rate reform if certain criteria are met, and provides optional expedients and exceptions for a limited time to ease the potential burden in accounting for reference rate reform. The amendments apply only to contracts and hedging relationships that reference LIBOR or another reference rate expected to be discontinued due to reference rate reform. ASU 2020-04 is effective upon issuance and generally can be applied to applicable contract modifications through December 31, 2022. LIBOR benchmarking is utilized in the Company’s working capital and floorplan facilities. The Company is in the process of completing its evaluation of the impact that the adoption of the provisions from this standard will have on its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w:t>
      </w:r>
      <w:r>
        <w:rPr>
          <w:rFonts w:ascii="Arial" w:cs="Arial" w:eastAsia="Arial" w:hAnsi="Arial"/>
          <w:sz w:val="18"/>
          <w:szCs w:val="18"/>
          <w:b w:val="1"/>
          <w:bCs w:val="1"/>
          <w:color w:val="auto"/>
        </w:rPr>
        <w:t xml:space="preserve">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March 31, 2021 and December 31, 2020,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March 31, 2021, and is reported in Other Assets on the Consolidated Balance Sheet.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$5.3 million as of March 31, 2021 and $5.2 million as of December 31, 2020, and is included in the investment in RTC Canada. As of March 31, 2021, the Company’s investment in RTC Canada is $33.2 million. The Company’s equity income in RTC Canada is included in Other income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$6.5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March 31, 2021 and $0.5 million for the three months ended March 31, 2020. The Company estimates that amortization expense relating to the ERP Platform will be approximately $1.5 million in 2021 and $1.2 million per year for the next four years.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880" w:type="dxa"/>
            <w:vAlign w:val="bottom"/>
            <w:gridSpan w:val="4"/>
          </w:tcPr>
          <w:p>
            <w:pPr>
              <w:jc w:val="right"/>
              <w:ind w:right="323"/>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6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1060" w:type="dxa"/>
            <w:vAlign w:val="bottom"/>
            <w:vMerge w:val="restart"/>
          </w:tcPr>
          <w:p>
            <w:pPr>
              <w:jc w:val="right"/>
              <w:ind w:right="87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8"/>
              </w:rPr>
              <w:t>45,333</w:t>
            </w:r>
          </w:p>
        </w:tc>
        <w:tc>
          <w:tcPr>
            <w:tcW w:w="1060" w:type="dxa"/>
            <w:vAlign w:val="bottom"/>
            <w:vMerge w:val="restart"/>
          </w:tcPr>
          <w:p>
            <w:pPr>
              <w:jc w:val="right"/>
              <w:ind w:right="903"/>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8"/>
              </w:rPr>
              <w:t>23,107</w:t>
            </w:r>
          </w:p>
        </w:tc>
        <w:tc>
          <w:tcPr>
            <w:tcW w:w="0" w:type="dxa"/>
            <w:vAlign w:val="bottom"/>
          </w:tcPr>
          <w:p>
            <w:pPr>
              <w:spacing w:after="0"/>
              <w:rPr>
                <w:sz w:val="1"/>
                <w:szCs w:val="1"/>
                <w:color w:val="auto"/>
              </w:rPr>
            </w:pPr>
          </w:p>
        </w:tc>
      </w:tr>
      <w:tr>
        <w:trPr>
          <w:trHeight w:val="217"/>
        </w:trPr>
        <w:tc>
          <w:tcPr>
            <w:tcW w:w="602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10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0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55,567</w:t>
            </w:r>
          </w:p>
        </w:tc>
        <w:tc>
          <w:tcPr>
            <w:tcW w:w="10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54,727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10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2,167</w:t>
            </w:r>
          </w:p>
        </w:tc>
        <w:tc>
          <w:tcPr>
            <w:tcW w:w="10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1"/>
              </w:rPr>
              <w:t>Denominator for diluted earnings per share – adjusted weighted average shares</w:t>
            </w:r>
          </w:p>
        </w:tc>
        <w:tc>
          <w:tcPr>
            <w:tcW w:w="106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8"/>
              </w:rPr>
              <w:t>57,734</w:t>
            </w:r>
          </w:p>
        </w:tc>
        <w:tc>
          <w:tcPr>
            <w:tcW w:w="106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8"/>
              </w:rPr>
              <w:t>55,989</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10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06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0.82</w:t>
            </w: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1060" w:type="dxa"/>
            <w:vAlign w:val="bottom"/>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0.79</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three months ended March 31, 2021 and 2020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31,</w:t>
            </w:r>
          </w:p>
        </w:tc>
      </w:tr>
      <w:tr>
        <w:trPr>
          <w:trHeight w:val="230"/>
        </w:trPr>
        <w:tc>
          <w:tcPr>
            <w:tcW w:w="6020" w:type="dxa"/>
            <w:vAlign w:val="bottom"/>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anti-dilutive options</w:t>
            </w: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w:t>
            </w:r>
          </w:p>
        </w:tc>
      </w:tr>
      <w:tr>
        <w:trPr>
          <w:trHeight w:val="20"/>
        </w:trPr>
        <w:tc>
          <w:tcPr>
            <w:tcW w:w="60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w:t>
      </w:r>
      <w:r>
        <w:rPr>
          <w:rFonts w:ascii="Arial" w:cs="Arial" w:eastAsia="Arial" w:hAnsi="Arial"/>
          <w:sz w:val="18"/>
          <w:szCs w:val="18"/>
          <w:b w:val="1"/>
          <w:bCs w:val="1"/>
          <w:color w:val="auto"/>
        </w:rPr>
        <w:t xml:space="preserve">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which requires the measurement and recognition of compensation expense for all share-based payment awards made to the Company’s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$11.5 million for the three months ended March 31, 2021, and $8.6 million for the three months ended March 31,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the Company had $12.3 million of unrecognized compensation cost related to non-vested employee stock options to be recognized over a weighted-average period of 2.6 years and $14.6 million of unrecognized compensation cost related to non-vested restricted stock awards to be recognized over a weighted-average period of 1.7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2021, and December 31, 2020. The carrying value of current assets and current liabilities approximates the fair value due to the short maturity of these items.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Information</w:t>
      </w:r>
    </w:p>
    <w:p>
      <w:pPr>
        <w:spacing w:after="0" w:line="229"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March 31, 2021 and 2020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Truck</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Segment</w:t>
            </w:r>
          </w:p>
        </w:tc>
        <w:tc>
          <w:tcPr>
            <w:tcW w:w="2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Totals</w:t>
            </w: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2021</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1,228,111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3,695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1,231,806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55,950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56,432</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56,637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2,958,832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3,008,423</w:t>
            </w:r>
          </w:p>
        </w:tc>
      </w:t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2020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1,283,379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3,284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1,286,663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35,451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31,993</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31,669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3,203,704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3,242,658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$3.3 million as a component of accrued liabilities as of March 31, 2021 and December 31, 2020,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$150,000 accrued for the payment of interest as of March 31, 2021 and December 31, 2020. No amounts were accrued for penalties.</w:t>
      </w:r>
    </w:p>
    <w:p>
      <w:pPr>
        <w:spacing w:after="0" w:line="18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2021, the tax years ended December 31, 2017 through 2020 remained subject to audit by federal tax authorities, and the tax years ended December 31, 2016 through 2020, remained subject to audit by state tax authorities.</w:t>
      </w:r>
    </w:p>
    <w:p>
      <w:pPr>
        <w:spacing w:after="0" w:line="184" w:lineRule="exact"/>
        <w:rPr>
          <w:sz w:val="20"/>
          <w:szCs w:val="20"/>
          <w:color w:val="auto"/>
        </w:rPr>
      </w:pPr>
    </w:p>
    <w:p>
      <w:pPr>
        <w:jc w:val="both"/>
        <w:ind w:right="80" w:firstLine="648"/>
        <w:spacing w:after="0" w:line="308" w:lineRule="auto"/>
        <w:rPr>
          <w:sz w:val="20"/>
          <w:szCs w:val="20"/>
          <w:color w:val="auto"/>
        </w:rPr>
      </w:pPr>
      <w:r>
        <w:rPr>
          <w:rFonts w:ascii="Arial" w:cs="Arial" w:eastAsia="Arial" w:hAnsi="Arial"/>
          <w:sz w:val="17"/>
          <w:szCs w:val="17"/>
          <w:color w:val="auto"/>
        </w:rPr>
        <w:t>The effective tax rate of 20% for the three months ended March 31, 2021 is lower than the statutory federal rate of 21% primarily due to the tax benefit related to the gain associated with the vesting and exercise of equity awards granted through the Company’s long-term incentive plan.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29" w:lineRule="exact"/>
        <w:rPr>
          <w:sz w:val="20"/>
          <w:szCs w:val="20"/>
          <w:color w:val="auto"/>
        </w:rPr>
      </w:pPr>
    </w:p>
    <w:p>
      <w:pPr>
        <w:jc w:val="both"/>
        <w:ind w:right="80" w:firstLine="648"/>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ectPr>
          <w:pgSz w:w="11900" w:h="16838" w:orient="portrait"/>
          <w:cols w:equalWidth="0" w:num="1">
            <w:col w:w="11320"/>
          </w:cols>
          <w:pgMar w:left="320" w:top="125" w:right="259" w:bottom="1440" w:gutter="0" w:footer="0" w:header="0"/>
        </w:sectPr>
      </w:pP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ended March 31, 2021 and 2020 (in thousands):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Three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30"/>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March 31, 2021</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March 31, 2020</w:t>
            </w:r>
          </w:p>
        </w:tc>
        <w:tc>
          <w:tcPr>
            <w:tcW w:w="80" w:type="dxa"/>
            <w:vAlign w:val="bottom"/>
          </w:tcPr>
          <w:p>
            <w:pPr>
              <w:spacing w:after="0"/>
              <w:rPr>
                <w:sz w:val="20"/>
                <w:szCs w:val="20"/>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vehicle sales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789,554</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Parts revenue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240,436</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236,597</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vehicle repair service revenue</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191,381</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Finance revenue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3,904</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2,355</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revenue</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3,883</w:t>
            </w: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1,225,882</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Company's performance obligations and associated revenues are generally transferred to customers at a point in time. The Company did not have any material contract assets or contract liabilities on the balance sheet as of March 31, 2021.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March 31, 2021, in the amount of $5.2 million and as of December 31, 2020, in the amount of $5.6 million is reflected in Other Assets on the Consolidated Balance Sheet.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Rental and lease income during the three months ended March 31, 2021 and March 31, 2020 consisted of the following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Three Months</w:t>
            </w:r>
          </w:p>
        </w:tc>
      </w:tr>
      <w:tr>
        <w:trPr>
          <w:trHeight w:val="216"/>
        </w:trPr>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30"/>
        </w:trPr>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March 31, 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1"/>
              </w:rPr>
              <w:t>March 31, 2020</w:t>
            </w:r>
          </w:p>
        </w:tc>
        <w:tc>
          <w:tcPr>
            <w:tcW w:w="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50,705</w:t>
            </w: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53,172</w:t>
            </w:r>
          </w:p>
        </w:tc>
        <w:tc>
          <w:tcPr>
            <w:tcW w:w="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Nonlease payments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7,609</w:t>
            </w:r>
          </w:p>
        </w:tc>
        <w:tc>
          <w:tcPr>
            <w:tcW w:w="80" w:type="dxa"/>
            <w:vAlign w:val="bottom"/>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60,781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55"/>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 xml:space="preserve"> Accumulated Other Comprehensive Income</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160" w:type="dxa"/>
            <w:vAlign w:val="bottom"/>
            <w:gridSpan w:val="6"/>
          </w:tcPr>
          <w:p>
            <w:pPr>
              <w:ind w:left="660"/>
              <w:spacing w:after="0"/>
              <w:rPr>
                <w:sz w:val="20"/>
                <w:szCs w:val="20"/>
                <w:color w:val="auto"/>
              </w:rPr>
            </w:pPr>
            <w:r>
              <w:rPr>
                <w:rFonts w:ascii="Arial" w:cs="Arial" w:eastAsia="Arial" w:hAnsi="Arial"/>
                <w:sz w:val="18"/>
                <w:szCs w:val="18"/>
                <w:color w:val="auto"/>
                <w:w w:val="96"/>
              </w:rPr>
              <w:t>The following table shows the components of accumulated other comprehensive income (loss) (in thousands):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exchange rate of one US Dollar to 1.2562 Canadian dollars as of March 31, 2021. The adjustment is reflected in Other Assets on the 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84"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leasing and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Provision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the Three</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Write offs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Months Ended</w:t>
            </w: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Against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Balance</w:t>
            </w: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Allowance,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0"/>
        </w:trPr>
        <w:tc>
          <w:tcPr>
            <w:tcW w:w="66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of Recoveries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receivables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r>
      <w:tr>
        <w:trPr>
          <w:trHeight w:val="426"/>
        </w:trPr>
        <w:tc>
          <w:tcPr>
            <w:tcW w:w="660" w:type="dxa"/>
            <w:vAlign w:val="bottom"/>
          </w:tcPr>
          <w:p>
            <w:pPr>
              <w:spacing w:after="0"/>
              <w:rPr>
                <w:sz w:val="24"/>
                <w:szCs w:val="24"/>
                <w:color w:val="auto"/>
              </w:rPr>
            </w:pPr>
          </w:p>
        </w:tc>
        <w:tc>
          <w:tcPr>
            <w:tcW w:w="380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w:t>
      </w:r>
      <w:r>
        <w:rPr>
          <w:rFonts w:ascii="Arial" w:cs="Arial" w:eastAsia="Arial" w:hAnsi="Arial"/>
          <w:sz w:val="16"/>
          <w:szCs w:val="16"/>
          <w:color w:val="auto"/>
        </w:rPr>
        <w:t>’</w:t>
      </w:r>
      <w:r>
        <w:rPr>
          <w:rFonts w:ascii="Arial" w:cs="Arial" w:eastAsia="Arial" w:hAnsi="Arial"/>
          <w:sz w:val="16"/>
          <w:szCs w:val="16"/>
          <w:i w:val="1"/>
          <w:iCs w:val="1"/>
          <w:color w:val="auto"/>
        </w:rPr>
        <w:t>s behalf from time to time in other reports, filings with the Securities and Exchange Commission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news releases, conferences, website postings or otherwise) that are not statements of historical fact constitute </w:t>
      </w:r>
      <w:r>
        <w:rPr>
          <w:rFonts w:ascii="Arial" w:cs="Arial" w:eastAsia="Arial" w:hAnsi="Arial"/>
          <w:sz w:val="16"/>
          <w:szCs w:val="16"/>
          <w:color w:val="auto"/>
        </w:rPr>
        <w:t>“</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within the meaning of the Private Securities Litigation Reform Act of 1995, Section 27A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Section 21E of the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notwithstanding that such statements are not specifically identified. Forward-looking statements include statements about the Company</w:t>
      </w:r>
      <w:r>
        <w:rPr>
          <w:rFonts w:ascii="Arial" w:cs="Arial" w:eastAsia="Arial" w:hAnsi="Arial"/>
          <w:sz w:val="16"/>
          <w:szCs w:val="16"/>
          <w:color w:val="auto"/>
        </w:rPr>
        <w:t>’</w:t>
      </w:r>
      <w:r>
        <w:rPr>
          <w:rFonts w:ascii="Arial" w:cs="Arial" w:eastAsia="Arial" w:hAnsi="Arial"/>
          <w:sz w:val="16"/>
          <w:szCs w:val="16"/>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Arial" w:cs="Arial" w:eastAsia="Arial" w:hAnsi="Arial"/>
          <w:sz w:val="16"/>
          <w:szCs w:val="16"/>
          <w:color w:val="auto"/>
        </w:rPr>
        <w:t>’</w:t>
      </w:r>
      <w:r>
        <w:rPr>
          <w:rFonts w:ascii="Arial" w:cs="Arial" w:eastAsia="Arial" w:hAnsi="Arial"/>
          <w:sz w:val="16"/>
          <w:szCs w:val="16"/>
          <w:i w:val="1"/>
          <w:iCs w:val="1"/>
          <w:color w:val="auto"/>
        </w:rPr>
        <w:t>s management as well as assumptions made by and information currently available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management. Use of the words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intend</w:t>
      </w:r>
      <w:r>
        <w:rPr>
          <w:rFonts w:ascii="Arial" w:cs="Arial" w:eastAsia="Arial" w:hAnsi="Arial"/>
          <w:sz w:val="16"/>
          <w:szCs w:val="16"/>
          <w:color w:val="auto"/>
        </w:rPr>
        <w:t>”</w:t>
      </w:r>
      <w:r>
        <w:rPr>
          <w:rFonts w:ascii="Arial" w:cs="Arial" w:eastAsia="Arial" w:hAnsi="Arial"/>
          <w:sz w:val="16"/>
          <w:szCs w:val="16"/>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the year ended December 31, 2020,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Inc. PacLease</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Leasing Corporation. Navistar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Corporation. International</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Blue Bird Investment Corporation. IC Bus</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IC Bus, LLC. Hino</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Hino Motors, Ltd. Isuzu</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Isuzu Motors Limited. Ford Motor Credit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Ford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SAP</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15, 2020, our Board of Directors declared a 3-for-2 stock split of our Class A common stock and Class B common stock, to be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dealership network has remained operational since the beginning of the COVID-19 pandemic. Despite our dealerships remaining open, the COVID-19 pandemic had a significant negative impact on our revenues for 2020. While the COVID-19 pandemic is not over, business conditions have improved significantly. We expect the general economic recovery to continue as more states fully re-open and businesses return to operating at full or close-to-full capacity. Based on current market conditions and the steps we have taken to reduce expenses, we believe the worst of the pandemic’s effect on our business is behind 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commercial vehicle manufacturers that we represent resumed operations following any COVID-19 related shutdowns in 2020. However, supply chain delays related to manufacturing components have forced some of the manufacturers we represent to temporarily cease production and may limit the commercial vehicle industry’s ability to meet commercial vehicle sales demand throughout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respect to our parts, service and collision center (collectively, “Aftermarket Products and Services”) departments, with some minor exceptions, our parts supply chain has remained relatively uninterrupted to-date. We believe that the investments we have made over the years in our aftermarket strategic initiatives enabled us to mitigate the impact of the COVID-19 pandemic on our Aftermarket Products and Service business.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our rental and leasing operations in 2020, we allowed certain credit-worthy customers that serve industries that were dramatically impacted by the COVID-19 pandemic to skip up to three months of lease payments and either extend the lease term by three months or increase the remaining payments to keep the same lease term. These customers have resumed payments.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our total net liquidity was approximately $421.6 million, including $316.1 million in cash and $105.5 million available under our various credit agreements, excluding our floor plan credit agreements. Our working capital facility (“the Working Capital Facility”) with BMO Harris Bank N.A. (“BMO Harris”) includes up to $100.0 million of revolving credit loans that are available to us for working capital, capital expenditures and other general corporate purposes. We currently have no outstanding draws on this line of credit. For further discussion of our liquidity, see the Liquidity and Capital Resources discussion set forth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A.C.T. Research Co., LLC (“A. C.T. Research”), a commercial vehicle industry data and forecasting service provider, currently forecasts new U.S. Class 8 retail truck sales to be 248,400 units in 2021, which would represent a 26.9% increase compared to 2020. We expect our market share of new Class 8 truck sales to range between 5.5% and 6.0% in 2021. This market share percentage would result in the sale of approximately 13,600 to 14,900 of new Class 8 trucks in 2021, based on A.C.T. Research’s current U.S. retail sales estimate of 248,400 units.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new U.S. Class 4-7 retail commercial vehicle sales, A.C.T. Research currently forecasts sales to be 251,500 units in 2021, which would represent an 8.4% increase compared to 2020. We expect our market share of new Class 4 through 7 commercial vehicle sales to range between 4.3% and 5.0% in 2021. This market share percentage would result in the sale of approximately 10,800 to 12,500 of new Class 4 through 7 commercial vehicles in 2021, based on A.C.T. Research’s current U.S. retail sales estimates of 251,500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sell approximately 1,600 light-duty vehicles and approximately 7,000 to 7,500 used commercial vehicles in 2021. We expect lease and rental revenue to increase 6% to 9% during 2021, compared to 2020.</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our Aftermarket Products and Services revenues were down slightly compared to the first quarter of 2020, they improved over the fourth quarter of 2020, and we expect to see gradual improvement as the year progresses. While parts supply chain constraints are expected to impact the industry over the next two quarters, we do not believe these constraints will have a significant overall effect on our Aftermarket Products and Services revenues for 2021. We continue to make progress on our strategic initiatives to increase our Aftermarket Products and Services revenues. We believe our Aftermarket Products and Services revenues will increase 8% to 10% in 2021, compared to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was tested for impairment during the fourth quarter of 2020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15, 2020, our Board of Directors declared a 3-for-2 stock split of our Class A common stock and Class B common stock, to be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2021 and 2020.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and used commercial vehicle sales</w:t>
            </w:r>
          </w:p>
        </w:tc>
        <w:tc>
          <w:tcPr>
            <w:tcW w:w="3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Parts and service sales</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33.8</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and rental</w:t>
            </w:r>
          </w:p>
        </w:tc>
        <w:tc>
          <w:tcPr>
            <w:tcW w:w="3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Finance and insurance</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7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assets</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7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Equity in earnings of unconsolidated entities</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7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76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0"/>
        </w:trPr>
        <w:tc>
          <w:tcPr>
            <w:tcW w:w="6700" w:type="dxa"/>
            <w:vAlign w:val="bottom"/>
            <w:gridSpan w:val="3"/>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5"/>
        </w:trPr>
        <w:tc>
          <w:tcPr>
            <w:tcW w:w="8860" w:type="dxa"/>
            <w:vAlign w:val="bottom"/>
            <w:gridSpan w:val="6"/>
          </w:tcPr>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New and used commercial vehicle sales</w:t>
            </w:r>
          </w:p>
        </w:tc>
        <w:tc>
          <w:tcPr>
            <w:tcW w:w="3500" w:type="dxa"/>
            <w:vAlign w:val="bottom"/>
            <w:gridSpan w:val="3"/>
          </w:tcPr>
          <w:p>
            <w:pPr>
              <w:jc w:val="right"/>
              <w:ind w:right="80"/>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and service sales</w:t>
            </w:r>
          </w:p>
        </w:tc>
        <w:tc>
          <w:tcPr>
            <w:tcW w:w="3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Lease and rental</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and insurance</w:t>
            </w:r>
          </w:p>
        </w:tc>
        <w:tc>
          <w:tcPr>
            <w:tcW w:w="3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1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r>
      <w:tr>
        <w:trPr>
          <w:trHeight w:val="426"/>
        </w:trPr>
        <w:tc>
          <w:tcPr>
            <w:tcW w:w="112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jc w:val="right"/>
              <w:ind w:right="890"/>
              <w:spacing w:after="0"/>
              <w:rPr>
                <w:sz w:val="20"/>
                <w:szCs w:val="20"/>
                <w:color w:val="auto"/>
              </w:rPr>
            </w:pPr>
            <w:r>
              <w:rPr>
                <w:rFonts w:ascii="Arial" w:cs="Arial" w:eastAsia="Arial" w:hAnsi="Arial"/>
                <w:sz w:val="18"/>
                <w:szCs w:val="18"/>
                <w:color w:val="auto"/>
              </w:rPr>
              <w:t>18</w:t>
            </w: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Vehicle unit sales:</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New heavy-duty vehicles</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2,995</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3,078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2,334</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New light-duty vehicles</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unit sales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5,724</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Used vehicles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Vehicle revenues: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New heavy-duty vehicles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450.0</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470.8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188.2</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New light-duty vehicles</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656.6</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Used vehicle 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b w:val="1"/>
                <w:bCs w:val="1"/>
                <w:color w:val="auto"/>
              </w:rPr>
              <w:t>Other vehicle revenues:</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Dealership absorption ratio:</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122.6% absorption ratio for the first quarter of 2021 and a 114.3% absorption ratio for the first quarter of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decreased $54.9 million, or 4.3%, in the first quarter of 2021, compared to the first quarter of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decreased $12.2 million, or 2.9%, in the first quarter of 2021, compared to the first quarter of 2020. Although Aftermarket Products and Services revenues were down slightly compared to the first quarter of 2020, they were up 5.3% compared to the fourth quarter of 2020. The increase over the fourth quarter of 2020 is primarily due to the overall economic recovery in the U.S. and continued increase in activity from the industries that we serve.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decreased $41.8 million, or 5.3%, in the first quarter of 2021, compared to the first quarter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2,995 new Class 8 trucks in the first quarter of 2021, a 2.7% decrease compared to 3,078 new Class 8 trucks in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due to the timing of certain large fleet deliveries in the first quarter of 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2,334 new Class 4 through 7 commercial vehicles, including 140 buses, in the first quarter of 2021, a 28.5% decrease compared to 3,264 new medium-duty commercial vehicles, including 216 buses, in the first quarter of 2020. Our first quarter 2021 Class 4 through 7 commercial vehicle sales were down primarily due to decreased activity from our lease and rental and food service customers and production shutdowns from some of the manufacturers we represent related to component supply issues.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395 new light-duty vehicles in the first quarter of 2021, a 47.9% increase compared to 267 new light-duty vehicles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sold 1,924 used commercial vehicles in the first quarter of 2021, a 23.5% increase compared to 1,558 used commercial vehicles in the first quarter of 2020. The increase in used truck sales in the first quarter of 2021 was primarily due to increased demand for used trucks in light of the supply constraints on new commercial vehicle production. We believe overall used truck values and demand will remain strong through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vehicle lease and rental revenues decreased $2.6 million, or 4.2%, in the first quarter of 2021, compared to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due to the reduction in the rental fleet compared to the first quarter of 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increased $2.0 million, or 44.7%, in the first quarter of 2021, compared to the first quarter of 2020. The increase in finance and insurance revenues was due to sales of finance and insurance products to a higher percentage of new and used commercial vehicle purchasers in the first quarter of 2021. Finance and insurance revenues have limited direct costs and, therefore, contribute a disproportionate share of our operating profits.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decreased $0.2 million, or 5.8%, in the first quarter of 2021, compared to the first quarter of 2020. Other income consists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Gross profit increased $10.3 million, or 4.4%, in the first quarter of 2021, compared to the first quarter of 2020. Gross profit as a percentage of sales increased to 19.9% in the first quarter of 2021, from 18.2% in the first quarter of 2020. This increase in gross profit as a percentage of sales is a result of increased gross margins related to used commercial vehicle sales and a change in our overall product sales mix. Commercial vehicle sales, a lower margin revenue item, decreased as a percentage of total revenues to 60.7% in 2021, from 61.4% in 2020. Aftermarket Products and Services revenues, a higher margin revenue item, increased as a percentage of total revenues to 33.8% in 2021, from 33.3% in 2020.</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37.0% in the first quarter of 2021, compared to 36.6% in the first quarter of 2020. Gross profit from our Aftermarket Products and Services operations decreased to $153.9 million in the first quarter of 2021, from $156.6 million in the first quarter of 2020. Historically, gross margins on parts sales range from 27% to 28% and gross margins on service and collision center operations range from 67% to 68%. Gross profits from parts sales represented 59.5% of total gross profit for Aftermarket Products and Services operations in the first quarter of 2021 and 58.8% in the first quarter of 2020. Service and collision center operations represented 40.5% of total gross profit for Aftermarket Products and Services operations in the first quarter of 2021 and 41.2% in the first quarter of 2020. We expect blended gross margins on Aftermarket Products and Services operations to range from 36.5% to 37.5% in 2021.</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8 truck sales were 8.9% in the first quarter of 2021 and in the first quarter of 2020. In 2021, we expect overall gross margins from new heavy-duty truck sales of approximately 7.5% to 8.5%.</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Gross margins on new Class 4 through 7 commercial vehicle sales increased to 7.1% in the first quarter of 2021, from 6.1% in the first quarter of 2020. This increase is primarily due to the mix of purchasers during the first quarter of 2021. For 2021, we expect overall gross margins from new medium-duty commercial vehicle sales of approximately 6.5% to 7.5%, but this will largely depend upon the mix of purchasers and types of vehicles sold.</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Gross margins on used commercial vehicle sales increased to 18.1% in the first quarter of 2021, from 5.7% in the first quarter of 2020. This increase in margins in the first quarter of 2021 was primarily due to the increase in used truck values due to the strong demand for used commercial vehicles. The lower margins that we recognized in 2020 were due to weak demand for used trucks in early 2020 caused by the COVID-19 pandemic and write-downs of used truck inventory to appropriately value our inventory for market conditions caused by the oversupply of used trucks in the U.S. used truck market. We expect margins on used commercial vehicles to be approximately 10% to 14% in 2021.</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from truck lease and rental sales increased to 18.4% in the first quarter of 2021, from 14.1% in the first quarter of 2020. This increase is primarily related to increased rental fleet utilization.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decreased $10.1 million, or 5.5%, in the first quarter of 2021, compared to the first quarter of 2020. This decrease resulted from expense reductions necessitated by the COVID-19 pandemic and decreased selling expense, compared to 2020. SG&amp;A expenses as a percentage of total revenues decreased to 14.2% in the first quarter of 2021, from 14.4% in the first quarter of 2020. Annual SG&amp;A expenses as a percentage of total revenues have ranged from 12.4% to 14.0% over the last five years. For 2021, we expect SG&amp;A expenses as a percentage of total revenues to range from 13.0% to 14.0%, due to the increase in revenues from sales of new and used commercial vehicles and Aftermarket Products and Services. For 2021, we expect the selling portion of SG&amp;A expenses to be approximately 25.0% to 30.0% of new and used commercial vehicle gross profit.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decreased $0.6 million, or 4.2%, in the first quarter of 2021, compared to the first quarter of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decreased $4.3 million, or 89.4%, in the first quarter of 2021, compared to the first quarter of 2020. This decrease in interest expense is a result of the decrease in inventory levels and lower floor plan interest rates in 2021, compared to 2020. We expect net interest expense in 2021 to decrease compared to 2020, but the amount of the decrease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increased $25.0 million, or 78.8%, in the first quarter of 2021, compared to the first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taxes increased $2.7 million, or 32.0%, in the first quarter of 2021, compared to the first quarter of 2020. We provided for taxes at a 20.0% effective rate in the first quarter of 2021 and 28.0% in the first quarter of 2020. The tax rate in the first quarter of 2021 was primarily impacted by the tax benefit related to the gain associated with vesting and exercise of equity awards granted through our long-term incentive plan. We expect our effective tax rate to be approximately 23.0% to 25.0% of pretax income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2021, we had working capital of approximately $368.4 million, including $316.1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(the “Floor Plan Credit Agreement”), and the resulting interest earned is recognized as an offset to our gross interest expense under the Floor Plan Credit Agreement.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March 31, 2021, however, $12.0 million was pledged to secure various letters of credit related to self-insurance products, leaving $5.5 million available for future borrowings as of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Working Capital Facility with BMO Harris includes up to $100.0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March 31, 2021.</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long-term debt, floor plan financing agreements and the Working Capital Facility require us to satisfy various financial ratios such as the debt-to-worth ratio, leverage ratio and the fixed charge coverage ratio and certain requirements for tangible net worth and Generally Accepted Accounting Principles (“GAAP”) net worth. As of March 31, 2021,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$150.0 million to $180.0 million for our leasing operations during 2021, depending on customer demand, all of which will be financed. We also expect to make capital expenditures for recurring items such as computers, shop tools and equipment and vehicles of approximately $30.0 million to $35.0 million during 2021.</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2021, we paid a cash dividend of $9.9 million. Additionally, on April 21, 2021, our Board of Directors declared a cash dividend of $0.18 per share of Class A and Class B Common Stock, to be paid on June 10, 2021, to all shareholders of record as of May 10, 2021. The total dividend disbursement is estimated at approximately $9.9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8, 2020,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March 31, 2021, we had repurchased $8.3 million of our shares of common stock under the current stock repurchase program. The current stock repurchase program expires on December 31, 2021, and may be suspended or discontinued at any time.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March 31, 2021.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increased by $4.0 million during the three months ended March 31, 2021, and decreased by $44.1 million during the three months ended March 31, 2020.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quarter of 2021, operating activities resulted in net cash provided by operations of $40.1 million. Net cash provided by operating activities primarily consisted of $45.3 million in net income, as well as non-cash adjustments related to depreciation and amortization of $42.6 million, deferred income tax benefit of $8.4 million and stock-based compensation of $11.5 million. Cash provided by operating activities included an aggregate of $50.1 million net change in operating assets and liabilities. Included in the net change in operating assets and liabilities was primarily cash outflows of $14.7 million from the increase in accounts receivable, $1.8 million from the increase in inventory, $0.7 million in the increase in other current assets, $1.6 million from the net decrease in accounts payable and accrued liabilities, $31.2 million from the decrease in customer deposits. The majority of our commercial vehicle inventory is financed through our floor plan credit agreements.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first quarter of 2020, operating activities resulted in net cash provided by operations of $138.8 million. Net cash provided by operating activities primarily consisted of $23.1 million in net income, as well as non-cash adjustments related to depreciation and amortization of $45.2 million, deferred income tax benefit of $7.2 million and stock-based compensation of $8.6 million. Cash provided by operating activities included an aggregate of $62.1 million net change in operating assets and liabilities. Included in the net change in operating assets and liabilities were primarily cash inflows of $153.6 million from the decrease in inventory and $6.0 million in the decrease in other current assets, which was offset by $30.9 million from the increase in accounts receivable, $26.9 million from the net decrease in accounts payable and accrued liabilities, $16.7 million from the decrease in customer deposits and $16.7 million from the net decrease in floor plan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2021, cash used in investing activities was $32.2 million. Cash flows used in investing activities consist primarily of cash used for capital expenditures. Capital expenditures of $32.9 million consisted primarily of $8.3 million for purchases of property and equipment and improvements to our existing dealership facilities and $24.6 million for additional units for the rental and leasing operations, which were directly offset by borrowings of long-term debt.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2020, cash used in investing activities was $47.3 million. Cash flows used in investing activities consist primarily of cash used for capital expenditures. Capital expenditures of $49.5 million consisted primarily of $15.0 million for purchases of property and equipment and improvements to our existing dealership facilities and $34.5 million for additional units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quarter of 2021, financing activities used $4.0 million in net cash flow. Cash outflows were primarily related to $46.8 million used for principal repayments of long-term debt and capital lease obligations, $6.6 million used for the repurchase of our common stock and $9.9 million used for the payment of cash dividends. These cash outflows were offset by cash inflows related to borrowings of $28.2 million of long-term debt and $38.5 million used for net draws on floor plan (non-trade). The borrowings of long-term debt were related to purchasing units for the rental and leasing operations.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2020, financing activities used $135.6 million in net cash flow. Cash outflows were primarily related to $92.6 million used for net payments floor plan (non-trade), $47.5 million used for principal repayments of long-term debt and capital lease obligations, $19.9 million used for the repurchase of our common stock and $4.8 million used for the payment of cash dividends. These cash outflows were offset by cash inflows related to borrowings of $28.2 million of long-term debt. The borrowings of long-term debt were related to purchasing units for the rental and leasing operations.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March 31, 2021, we had approximately $456.6 million outstanding under the Floor Plan Credit Agreement. The average daily outstanding borrowings under the Floor Plan Credit Agreement were $436.5 million during the three months ended March 31, 2021.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2021, our backlog of commercial vehicle orders was approximately $1,736.0 million, compared to a backlog of commercial vehicle orders of approximately $1,091.4 million on March 31, 2020.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2021, and we expect to fill the majority of our backlog orders during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For example,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Three of the states that signed are states where we operate new commercial vehicle dealerships: California, Colorado and North Carolina. The signatories to the memorandum all agreed on a goal of ensuring that 100% of new Class 3 through 8 commercial vehicles are zero emission, with an interim target of 30% zero emission by 2030. Attaining these goals would likely require the adoption of new laws and regulations and we cannot predict at this time whether such laws and regulations would have an adverse impact on our business.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March 31, 2021, we had floor plan borrowings of approximately $550.3 million and variable interest rate real estate debt of approximately $39.0 million. Assuming an increase or decrease in LIBOR of 100 basis points, annual interest expense could correspondingly increase or decrease by approximately $5.9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2021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2020 Annual Report on Form 10-K (the “2020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2020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first quarter of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first quarter of 2021 is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as Part of</w:t>
            </w:r>
          </w:p>
        </w:tc>
        <w:tc>
          <w:tcPr>
            <w:tcW w:w="1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Price Paid</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Publicly</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Per Share</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3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Programs (2)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or Programs (3)</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2021</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40.48</w:t>
            </w:r>
            <w:r>
              <w:rPr>
                <w:rFonts w:ascii="Arial" w:cs="Arial" w:eastAsia="Arial" w:hAnsi="Arial"/>
                <w:sz w:val="18"/>
                <w:szCs w:val="18"/>
                <w:b w:val="1"/>
                <w:bCs w:val="1"/>
                <w:color w:val="auto"/>
              </w:rPr>
              <w:t>(4)</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96,222,391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February 1 – February 28, 2021</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51,296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39.17</w:t>
            </w:r>
            <w:r>
              <w:rPr>
                <w:rFonts w:ascii="Arial" w:cs="Arial" w:eastAsia="Arial" w:hAnsi="Arial"/>
                <w:sz w:val="18"/>
                <w:szCs w:val="18"/>
                <w:b w:val="1"/>
                <w:bCs w:val="1"/>
                <w:color w:val="auto"/>
              </w:rPr>
              <w:t>(5)</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51,296</w:t>
            </w:r>
          </w:p>
        </w:tc>
        <w:tc>
          <w:tcPr>
            <w:tcW w:w="1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94,211,628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2021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42.96</w:t>
            </w:r>
            <w:r>
              <w:rPr>
                <w:rFonts w:ascii="Arial" w:cs="Arial" w:eastAsia="Arial" w:hAnsi="Arial"/>
                <w:sz w:val="18"/>
                <w:szCs w:val="18"/>
                <w:b w:val="1"/>
                <w:bCs w:val="1"/>
                <w:color w:val="auto"/>
              </w:rPr>
              <w:t>(6)</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58,732</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91,686,459</w:t>
            </w:r>
          </w:p>
        </w:tc>
      </w:tr>
      <w:tr>
        <w:trPr>
          <w:trHeight w:val="210"/>
        </w:trPr>
        <w:tc>
          <w:tcPr>
            <w:tcW w:w="3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158,076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158,076</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8, 2020, we announced the approval of a new stock repurchase program authorizing management to repurchase, from time to time, up to an aggregate of $100.0 million of our shares of Class A Common Stock and/or Class B Common Stock.</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48,048 shares of Class B Common Stock at an average price paid per share of $40.48.</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2,664 shares of Class A Common Stock at an average price paid per share of $39.78 and 48,632 shares of Class B Common Stock at an average price paid per share of $39.14.</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58,732 shares of Class B Common Stock at an average price paid per share of $42.96.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320" w:type="dxa"/>
            <w:vAlign w:val="bottom"/>
            <w:gridSpan w:val="14"/>
          </w:tcPr>
          <w:p>
            <w:pPr>
              <w:spacing w:after="0"/>
              <w:rPr>
                <w:sz w:val="20"/>
                <w:szCs w:val="20"/>
                <w:color w:val="auto"/>
              </w:rPr>
            </w:pPr>
            <w:r>
              <w:rPr>
                <w:rFonts w:ascii="Arial" w:cs="Arial" w:eastAsia="Arial" w:hAnsi="Arial"/>
                <w:sz w:val="18"/>
                <w:szCs w:val="18"/>
                <w:b w:val="1"/>
                <w:bCs w:val="1"/>
                <w:color w:val="auto"/>
              </w:rPr>
              <w:t>Exhibit Title</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tcBorders>
              <w:bottom w:val="single" w:sz="8" w:color="0000EE"/>
            </w:tcBorders>
            <w:vMerge w:val="continue"/>
          </w:tcPr>
          <w:p>
            <w:pPr>
              <w:spacing w:after="0"/>
              <w:rPr>
                <w:sz w:val="13"/>
                <w:szCs w:val="13"/>
                <w:color w:val="auto"/>
              </w:rPr>
            </w:pPr>
          </w:p>
        </w:tc>
        <w:tc>
          <w:tcPr>
            <w:tcW w:w="10300" w:type="dxa"/>
            <w:vAlign w:val="bottom"/>
            <w:tcBorders>
              <w:bottom w:val="single" w:sz="8" w:color="0000EE"/>
            </w:tcBorders>
            <w:gridSpan w:val="13"/>
          </w:tcPr>
          <w:p>
            <w:pPr>
              <w:spacing w:after="0" w:line="156" w:lineRule="exact"/>
              <w:rPr>
                <w:rFonts w:ascii="Arial" w:cs="Arial" w:eastAsia="Arial" w:hAnsi="Arial"/>
                <w:sz w:val="18"/>
                <w:szCs w:val="18"/>
                <w:color w:val="0000EE"/>
                <w:w w:val="95"/>
              </w:rPr>
            </w:pPr>
            <w:hyperlink r:id="rId30">
              <w:r>
                <w:rPr>
                  <w:rFonts w:ascii="Arial" w:cs="Arial" w:eastAsia="Arial" w:hAnsi="Arial"/>
                  <w:sz w:val="18"/>
                  <w:szCs w:val="18"/>
                  <w:color w:val="0000EE"/>
                  <w:w w:val="95"/>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Report on Form 10-Q (File No. 000-20797) for the quarter ended June 30, 2008)</w:t>
              </w:r>
            </w:hyperlink>
          </w:p>
        </w:tc>
        <w:tc>
          <w:tcPr>
            <w:tcW w:w="4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17"/>
                <w:szCs w:val="17"/>
                <w:color w:val="auto"/>
              </w:rPr>
            </w:pPr>
          </w:p>
        </w:tc>
        <w:tc>
          <w:tcPr>
            <w:tcW w:w="10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Form 8-K (File No. 000-20797) filed May 21, 2013)</w:t>
              </w:r>
            </w:hyperlink>
          </w:p>
        </w:tc>
        <w:tc>
          <w:tcPr>
            <w:tcW w:w="6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10.1+</w:t>
            </w: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First Amendment to Rush Enterprises, Inc. Amended and Restated 2007 Long-Term Incentive Plan (incorporated herein by reference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Exhibit 10.1 of the Company’s Current Report on Form 8-K (File No. 000-20797) filed February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10.2+</w:t>
            </w:r>
          </w:p>
        </w:tc>
        <w:tc>
          <w:tcPr>
            <w:tcW w:w="140" w:type="dxa"/>
            <w:vAlign w:val="bottom"/>
          </w:tcPr>
          <w:p>
            <w:pPr>
              <w:spacing w:after="0"/>
              <w:rPr>
                <w:sz w:val="17"/>
                <w:szCs w:val="17"/>
                <w:color w:val="auto"/>
              </w:rPr>
            </w:pPr>
          </w:p>
        </w:tc>
        <w:tc>
          <w:tcPr>
            <w:tcW w:w="103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First Amendment to Rush Enterprises, Inc. Amended and Restated Executive Transition Plan (incorporated herein by reference to Exhibit 10.2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of the Company’s Current Report on Form 8-K (File No. 000-20797) filed February 22, 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10.3+</w:t>
            </w:r>
          </w:p>
        </w:tc>
        <w:tc>
          <w:tcPr>
            <w:tcW w:w="140" w:type="dxa"/>
            <w:vAlign w:val="bottom"/>
          </w:tcPr>
          <w:p>
            <w:pPr>
              <w:spacing w:after="0"/>
              <w:rPr>
                <w:sz w:val="17"/>
                <w:szCs w:val="17"/>
                <w:color w:val="auto"/>
              </w:rPr>
            </w:pPr>
          </w:p>
        </w:tc>
        <w:tc>
          <w:tcPr>
            <w:tcW w:w="10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First Amendment to Rush Enterprises, Inc. Amended and Restated Employee Stock Purchase Plan (incorporated herein by reference to Exhibit</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of the Company’s Current Report on Form 8-K (File No. 000-20797) filed February 22, 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20" w:type="dxa"/>
            <w:vAlign w:val="bottom"/>
            <w:gridSpan w:val="6"/>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10.4+</w:t>
            </w:r>
          </w:p>
        </w:tc>
        <w:tc>
          <w:tcPr>
            <w:tcW w:w="140" w:type="dxa"/>
            <w:vAlign w:val="bottom"/>
          </w:tcPr>
          <w:p>
            <w:pPr>
              <w:spacing w:after="0"/>
              <w:rPr>
                <w:sz w:val="17"/>
                <w:szCs w:val="17"/>
                <w:color w:val="auto"/>
              </w:rPr>
            </w:pPr>
          </w:p>
        </w:tc>
        <w:tc>
          <w:tcPr>
            <w:tcW w:w="10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Rush Enterprises, Inc. Amended and Restated 2007 Long-Term Incentive Plan Form of Stock Option Award Agreement (incorporated herein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by reference to Exhibit 10.4 of the Company’s Current Report on Form 8-K (File No. 000-20797) filed February 22, 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10.5+</w:t>
            </w: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w w:val="94"/>
              </w:rPr>
            </w:pPr>
            <w:hyperlink r:id="rId32">
              <w:r>
                <w:rPr>
                  <w:rFonts w:ascii="Arial" w:cs="Arial" w:eastAsia="Arial" w:hAnsi="Arial"/>
                  <w:sz w:val="18"/>
                  <w:szCs w:val="18"/>
                  <w:color w:val="0000EE"/>
                  <w:w w:val="94"/>
                </w:rPr>
                <w:t>Rush Enterprises, Inc. Amended and Restated 2007 Long-Term Incentive Plan Form of Restricted Stock Award Agreement (incorporated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herein by reference to Exhibit 10.5 of the Company’s Current Report on Form 8-K (File No. 000-20797) filed February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40" w:type="dxa"/>
            <w:vAlign w:val="bottom"/>
            <w:gridSpan w:val="9"/>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31.1*</w:t>
            </w:r>
          </w:p>
        </w:tc>
        <w:tc>
          <w:tcPr>
            <w:tcW w:w="140" w:type="dxa"/>
            <w:vAlign w:val="bottom"/>
          </w:tcPr>
          <w:p>
            <w:pPr>
              <w:spacing w:after="0"/>
              <w:rPr>
                <w:sz w:val="17"/>
                <w:szCs w:val="17"/>
                <w:color w:val="auto"/>
              </w:rPr>
            </w:pPr>
          </w:p>
        </w:tc>
        <w:tc>
          <w:tcPr>
            <w:tcW w:w="9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7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31.2*</w:t>
            </w: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Certification of CFO pursuant to Rules 13a-14(a) and 15d-14(a) adopted pursuant to Section 302 of the Sarbanes-Oxley Act of 2002.</w:t>
              </w:r>
            </w:hyperlink>
          </w:p>
        </w:tc>
        <w:tc>
          <w:tcPr>
            <w:tcW w:w="0" w:type="dxa"/>
            <w:vAlign w:val="bottom"/>
          </w:tcPr>
          <w:p>
            <w:pPr>
              <w:spacing w:after="0"/>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240" w:type="dxa"/>
            <w:vAlign w:val="bottom"/>
            <w:tcBorders>
              <w:top w:val="single" w:sz="8" w:color="0000EE"/>
            </w:tcBorders>
          </w:tcPr>
          <w:p>
            <w:pPr>
              <w:spacing w:after="0"/>
              <w:rPr>
                <w:sz w:val="17"/>
                <w:szCs w:val="17"/>
                <w:color w:val="auto"/>
              </w:rPr>
            </w:pPr>
          </w:p>
        </w:tc>
        <w:tc>
          <w:tcPr>
            <w:tcW w:w="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7"/>
              </w:rPr>
              <w:t>32.2**</w:t>
            </w:r>
          </w:p>
        </w:tc>
        <w:tc>
          <w:tcPr>
            <w:tcW w:w="1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of CFO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9240" w:type="dxa"/>
            <w:vAlign w:val="bottom"/>
            <w:gridSpan w:val="9"/>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14"/>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20" w:type="dxa"/>
            <w:vAlign w:val="bottom"/>
            <w:gridSpan w:val="14"/>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32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w:t>
      </w:r>
    </w:p>
    <w:p>
      <w:pPr>
        <w:spacing w:after="0" w:line="13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00"/>
              <w:spacing w:after="0"/>
              <w:rPr>
                <w:sz w:val="20"/>
                <w:szCs w:val="20"/>
                <w:color w:val="auto"/>
              </w:rPr>
            </w:pPr>
            <w:r>
              <w:rPr>
                <w:rFonts w:ascii="Arial" w:cs="Arial" w:eastAsia="Arial" w:hAnsi="Arial"/>
                <w:sz w:val="18"/>
                <w:szCs w:val="18"/>
                <w:color w:val="auto"/>
              </w:rPr>
              <w:t>May 7, 2021</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W.M. “RUSTY” RUSH</w:t>
            </w:r>
          </w:p>
        </w:tc>
        <w:tc>
          <w:tcPr>
            <w:tcW w:w="1260" w:type="dxa"/>
            <w:vAlign w:val="bottom"/>
          </w:tcPr>
          <w:p>
            <w:pPr>
              <w:spacing w:after="0"/>
              <w:rPr>
                <w:sz w:val="17"/>
                <w:szCs w:val="17"/>
                <w:color w:val="auto"/>
              </w:rPr>
            </w:pPr>
          </w:p>
        </w:tc>
      </w:tr>
      <w:tr>
        <w:trPr>
          <w:trHeight w:val="222"/>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00"/>
              <w:spacing w:after="0"/>
              <w:rPr>
                <w:sz w:val="20"/>
                <w:szCs w:val="20"/>
                <w:color w:val="auto"/>
              </w:rPr>
            </w:pPr>
            <w:r>
              <w:rPr>
                <w:rFonts w:ascii="Arial" w:cs="Arial" w:eastAsia="Arial" w:hAnsi="Arial"/>
                <w:sz w:val="18"/>
                <w:szCs w:val="18"/>
                <w:color w:val="auto"/>
              </w:rPr>
              <w:t>May 7, 2021</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STEVEN L. KELLER</w:t>
            </w:r>
          </w:p>
        </w:tc>
        <w:tc>
          <w:tcPr>
            <w:tcW w:w="1360" w:type="dxa"/>
            <w:vAlign w:val="bottom"/>
            <w:gridSpan w:val="2"/>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Steven L. Keller</w:t>
            </w:r>
          </w:p>
        </w:tc>
      </w:tr>
      <w:tr>
        <w:trPr>
          <w:trHeight w:val="216"/>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3"/>
              </w:rPr>
              <w:t>(Principal Financial and Accounting Officer)</w:t>
            </w:r>
          </w:p>
        </w:tc>
      </w:tr>
      <w:tr>
        <w:trPr>
          <w:trHeight w:val="648"/>
        </w:trPr>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20" w:type="dxa"/>
            <w:vAlign w:val="bottom"/>
            <w:gridSpan w:val="2"/>
          </w:tcPr>
          <w:p>
            <w:pPr>
              <w:jc w:val="right"/>
              <w:ind w:right="16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3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7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61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47"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7, 2021</w:t>
            </w:r>
          </w:p>
        </w:tc>
        <w:tc>
          <w:tcPr>
            <w:tcW w:w="5180" w:type="dxa"/>
            <w:vAlign w:val="bottom"/>
            <w:gridSpan w:val="2"/>
          </w:tcPr>
          <w:p>
            <w:pPr>
              <w:ind w:left="2060"/>
              <w:spacing w:after="0"/>
              <w:rPr>
                <w:sz w:val="20"/>
                <w:szCs w:val="20"/>
                <w:color w:val="auto"/>
              </w:rPr>
            </w:pPr>
            <w:r>
              <w:rPr>
                <w:rFonts w:ascii="Arial" w:cs="Arial" w:eastAsia="Arial" w:hAnsi="Arial"/>
                <w:sz w:val="18"/>
                <w:szCs w:val="18"/>
                <w:color w:val="auto"/>
              </w:rPr>
              <w:t>By:   /S/ W.M. “RUSTY” RUSH</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580" w:type="dxa"/>
            <w:vAlign w:val="bottom"/>
          </w:tcPr>
          <w:p>
            <w:pPr>
              <w:spacing w:after="0"/>
              <w:rPr>
                <w:sz w:val="18"/>
                <w:szCs w:val="18"/>
                <w:color w:val="auto"/>
              </w:rPr>
            </w:pPr>
          </w:p>
        </w:tc>
        <w:tc>
          <w:tcPr>
            <w:tcW w:w="5180" w:type="dxa"/>
            <w:vAlign w:val="bottom"/>
            <w:gridSpan w:val="2"/>
          </w:tcPr>
          <w:p>
            <w:pPr>
              <w:ind w:left="238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3580" w:type="dxa"/>
            <w:vAlign w:val="bottom"/>
          </w:tcPr>
          <w:p>
            <w:pPr>
              <w:spacing w:after="0"/>
              <w:rPr>
                <w:sz w:val="18"/>
                <w:szCs w:val="18"/>
                <w:color w:val="auto"/>
              </w:rPr>
            </w:pPr>
          </w:p>
        </w:tc>
        <w:tc>
          <w:tcPr>
            <w:tcW w:w="5180" w:type="dxa"/>
            <w:vAlign w:val="bottom"/>
            <w:gridSpan w:val="2"/>
          </w:tcPr>
          <w:p>
            <w:pPr>
              <w:ind w:left="2380"/>
              <w:spacing w:after="0"/>
              <w:rPr>
                <w:sz w:val="20"/>
                <w:szCs w:val="20"/>
                <w:color w:val="auto"/>
              </w:rPr>
            </w:pPr>
            <w:r>
              <w:rPr>
                <w:rFonts w:ascii="Arial" w:cs="Arial" w:eastAsia="Arial" w:hAnsi="Arial"/>
                <w:sz w:val="18"/>
                <w:szCs w:val="18"/>
                <w:color w:val="auto"/>
              </w:rPr>
              <w:t>Chairman of the Board</w:t>
            </w:r>
          </w:p>
        </w:tc>
      </w:tr>
      <w:tr>
        <w:trPr>
          <w:trHeight w:val="230"/>
        </w:trPr>
        <w:tc>
          <w:tcPr>
            <w:tcW w:w="3580" w:type="dxa"/>
            <w:vAlign w:val="bottom"/>
          </w:tcPr>
          <w:p>
            <w:pPr>
              <w:spacing w:after="0"/>
              <w:rPr>
                <w:sz w:val="20"/>
                <w:szCs w:val="20"/>
                <w:color w:val="auto"/>
              </w:rPr>
            </w:pPr>
          </w:p>
        </w:tc>
        <w:tc>
          <w:tcPr>
            <w:tcW w:w="5180" w:type="dxa"/>
            <w:vAlign w:val="bottom"/>
            <w:gridSpan w:val="2"/>
          </w:tcPr>
          <w:p>
            <w:pPr>
              <w:ind w:left="23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34"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61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4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7, 2021</w:t>
            </w:r>
          </w:p>
        </w:tc>
        <w:tc>
          <w:tcPr>
            <w:tcW w:w="5620" w:type="dxa"/>
            <w:vAlign w:val="bottom"/>
            <w:gridSpan w:val="3"/>
          </w:tcPr>
          <w:p>
            <w:pPr>
              <w:ind w:left="2060"/>
              <w:spacing w:after="0"/>
              <w:rPr>
                <w:sz w:val="20"/>
                <w:szCs w:val="20"/>
                <w:color w:val="auto"/>
              </w:rPr>
            </w:pPr>
            <w:r>
              <w:rPr>
                <w:rFonts w:ascii="Arial" w:cs="Arial" w:eastAsia="Arial" w:hAnsi="Arial"/>
                <w:sz w:val="18"/>
                <w:szCs w:val="18"/>
                <w:color w:val="auto"/>
              </w:rPr>
              <w:t>By: /S/ STEVEN L. KELLER</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4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President, Chief Executive Officer and Chairman of the Board of the Company, certify, pursuant to 18 U.S.C. Section 1350, as adopted pursuant to Section 906 of the Sarbanes-Oxley Act of 2002, that:</w:t>
      </w:r>
    </w:p>
    <w:p>
      <w:pPr>
        <w:spacing w:after="0" w:line="16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08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/S/ W.M. “RUSTY” RUSH</w:t>
            </w:r>
          </w:p>
        </w:tc>
        <w:tc>
          <w:tcPr>
            <w:tcW w:w="860" w:type="dxa"/>
            <w:vAlign w:val="bottom"/>
          </w:tcPr>
          <w:p>
            <w:pPr>
              <w:spacing w:after="0"/>
              <w:rPr>
                <w:sz w:val="17"/>
                <w:szCs w:val="17"/>
                <w:color w:val="auto"/>
              </w:rPr>
            </w:pP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w w:val="98"/>
              </w:rPr>
              <w:t>Name:</w:t>
            </w:r>
          </w:p>
        </w:tc>
        <w:tc>
          <w:tcPr>
            <w:tcW w:w="2900" w:type="dxa"/>
            <w:vAlign w:val="bottom"/>
            <w:gridSpan w:val="2"/>
          </w:tcPr>
          <w:p>
            <w:pPr>
              <w:ind w:left="60"/>
              <w:spacing w:after="0"/>
              <w:rPr>
                <w:sz w:val="20"/>
                <w:szCs w:val="20"/>
                <w:color w:val="auto"/>
              </w:rPr>
            </w:pPr>
            <w:r>
              <w:rPr>
                <w:rFonts w:ascii="Arial" w:cs="Arial" w:eastAsia="Arial" w:hAnsi="Arial"/>
                <w:sz w:val="18"/>
                <w:szCs w:val="18"/>
                <w:color w:val="auto"/>
              </w:rPr>
              <w:t>W.M. “Rusty” Rush</w:t>
            </w: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Chairman of the Board</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rPr>
              <w:t>May 7, 2021</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Chief Financial Officer and Treasurer of the Company, certify, pursuant to 18 U.S.C. Section 1350, as adopted pursuant to Section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132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2021</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0" Type="http://schemas.openxmlformats.org/officeDocument/2006/relationships/hyperlink" Target="http://www.sec.gov/Archives/edgar/data/1012019/000110465908051789/a08-18770_1ex3d1.htm" TargetMode="External"/><Relationship Id="rId31" Type="http://schemas.openxmlformats.org/officeDocument/2006/relationships/hyperlink" Target="http://www.sec.gov/Archives/edgar/data/1012019/000143774913006455/rusha20130517_8kex3-1.htm" TargetMode="External"/><Relationship Id="rId32" Type="http://schemas.openxmlformats.org/officeDocument/2006/relationships/hyperlink" Target="http://www.sec.gov/ix?doc=/Archives/edgar/data/1012019/000143774921003645/rusha2021022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2021-05-07T12:34:35Z</dcterms:created>
  <dcterms:modified xsi:type="dcterms:W3CDTF">2021-05-07T12:34:35Z</dcterms:modified>
</cp:coreProperties>
</file>