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22"/>
          <w:szCs w:val="22"/>
          <w:b w:val="1"/>
          <w:bCs w:val="1"/>
          <w:color w:val="auto"/>
        </w:rPr>
        <w:t>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ectPr>
          <w:pgSz w:w="11900" w:h="16838" w:orient="portrait"/>
          <w:cols w:equalWidth="0" w:num="1">
            <w:col w:w="11440"/>
          </w:cols>
          <w:pgMar w:left="240" w:top="585" w:right="219" w:bottom="0" w:gutter="0" w:footer="0" w:header="0"/>
        </w:sectPr>
      </w:pP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4180" w:space="720"/>
            <w:col w:w="6540"/>
          </w:cols>
          <w:pgMar w:left="240" w:top="585" w:right="219" w:bottom="0" w:gutter="0" w:footer="0" w:header="0"/>
          <w:type w:val="continuous"/>
        </w:sectPr>
      </w:pP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0-20797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1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40"/>
          </w:cols>
          <w:pgMar w:left="240" w:top="585" w:right="219" w:bottom="0" w:gutter="0" w:footer="0" w:header="0"/>
          <w:type w:val="continuous"/>
        </w:sectPr>
      </w:pPr>
    </w:p>
    <w:p>
      <w:pPr>
        <w:ind w:left="45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pacing w:after="0" w:line="200" w:lineRule="exact"/>
        <w:rPr>
          <w:sz w:val="24"/>
          <w:szCs w:val="24"/>
          <w:color w:val="auto"/>
        </w:rPr>
      </w:pPr>
    </w:p>
    <w:p>
      <w:pPr>
        <w:sectPr>
          <w:pgSz w:w="11900" w:h="16838" w:orient="portrait"/>
          <w:cols w:equalWidth="0" w:num="2">
            <w:col w:w="5060" w:space="720"/>
            <w:col w:w="5660"/>
          </w:cols>
          <w:pgMar w:left="240" w:top="585" w:right="219" w:bottom="0" w:gutter="0" w:footer="0" w:header="0"/>
          <w:type w:val="continuous"/>
        </w:sectPr>
      </w:pPr>
    </w:p>
    <w:p>
      <w:pPr>
        <w:spacing w:after="0" w:line="11"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4"/>
          <w:szCs w:val="24"/>
          <w:color w:val="auto"/>
        </w:rPr>
      </w:pPr>
    </w:p>
    <w:p>
      <w:pPr>
        <w:ind w:left="660"/>
        <w:spacing w:after="0" w:line="207" w:lineRule="exact"/>
        <w:tabs>
          <w:tab w:leader="none" w:pos="4100" w:val="left"/>
          <w:tab w:leader="none" w:pos="6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Yes o</w:t>
            </w:r>
          </w:p>
        </w:tc>
        <w:tc>
          <w:tcPr>
            <w:tcW w:w="610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1400" w:type="dxa"/>
            <w:vAlign w:val="bottom"/>
            <w:gridSpan w:val="5"/>
          </w:tcPr>
          <w:p>
            <w:pPr>
              <w:ind w:left="640"/>
              <w:spacing w:after="0"/>
              <w:rPr>
                <w:sz w:val="20"/>
                <w:szCs w:val="20"/>
                <w:color w:val="auto"/>
              </w:rPr>
            </w:pPr>
            <w:r>
              <w:rPr>
                <w:rFonts w:ascii="Arial" w:cs="Arial" w:eastAsia="Arial" w:hAnsi="Arial"/>
                <w:sz w:val="18"/>
                <w:szCs w:val="18"/>
                <w:color w:val="auto"/>
              </w:rPr>
              <w:t>Indicated below is the number of shares outstanding of the registrant’s common stock, as of May 8,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Title of Class</w:t>
            </w:r>
          </w:p>
        </w:tc>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33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17,001,268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Class B Common Stock, $.01 Par Value</w:t>
            </w:r>
          </w:p>
        </w:tc>
        <w:tc>
          <w:tcPr>
            <w:tcW w:w="6100" w:type="dxa"/>
            <w:vAlign w:val="bottom"/>
            <w:gridSpan w:val="4"/>
          </w:tcPr>
          <w:p>
            <w:pPr>
              <w:jc w:val="right"/>
              <w:ind w:right="280"/>
              <w:spacing w:after="0"/>
              <w:rPr>
                <w:sz w:val="20"/>
                <w:szCs w:val="20"/>
                <w:color w:val="auto"/>
              </w:rPr>
            </w:pPr>
            <w:r>
              <w:rPr>
                <w:rFonts w:ascii="Arial" w:cs="Arial" w:eastAsia="Arial" w:hAnsi="Arial"/>
                <w:sz w:val="18"/>
                <w:szCs w:val="18"/>
                <w:color w:val="auto"/>
              </w:rPr>
              <w:t>8,028,415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780"/>
        <w:spacing w:after="0"/>
        <w:tabs>
          <w:tab w:leader="none" w:pos="162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6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March 31, 2006 (unaudited) and December 31, 2005</w:t>
        </w:r>
      </w:hyperlink>
    </w:p>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87" w:lineRule="exact"/>
        <w:rPr>
          <w:sz w:val="20"/>
          <w:szCs w:val="20"/>
          <w:color w:val="auto"/>
        </w:rPr>
      </w:pPr>
    </w:p>
    <w:p>
      <w:pPr>
        <w:ind w:left="1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 For the Three Months Ended March 31, 2006 and 2005 (unaudited)</w:t>
        </w:r>
      </w:hyperlink>
    </w:p>
    <w:p>
      <w:pPr>
        <w:spacing w:after="0" w:line="225" w:lineRule="exact"/>
        <w:rPr>
          <w:sz w:val="20"/>
          <w:szCs w:val="20"/>
          <w:color w:val="auto"/>
        </w:rPr>
      </w:pPr>
    </w:p>
    <w:p>
      <w:pPr>
        <w:ind w:left="1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Three Months Ended March 31, 2006 and 2005 (unaudited)</w:t>
        </w:r>
      </w:hyperlink>
    </w:p>
    <w:p>
      <w:pPr>
        <w:spacing w:after="0" w:line="225" w:lineRule="exact"/>
        <w:rPr>
          <w:sz w:val="20"/>
          <w:szCs w:val="20"/>
          <w:color w:val="auto"/>
        </w:rPr>
      </w:pPr>
    </w:p>
    <w:p>
      <w:pPr>
        <w:ind w:left="1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780" w:right="3340"/>
        <w:spacing w:after="0" w:line="499"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PART II. OTHER INFORMATION</w:t>
        </w:r>
      </w:hyperlink>
    </w:p>
    <w:p>
      <w:pPr>
        <w:spacing w:after="0" w:line="212"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1.</w:t>
              </w:r>
            </w:hyperlink>
          </w:p>
        </w:tc>
        <w:tc>
          <w:tcPr>
            <w:tcW w:w="360" w:type="dxa"/>
            <w:vAlign w:val="bottom"/>
            <w:gridSpan w:val="2"/>
          </w:tcPr>
          <w:p>
            <w:pPr>
              <w:spacing w:after="0"/>
              <w:rPr>
                <w:sz w:val="17"/>
                <w:szCs w:val="17"/>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5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220" w:type="dxa"/>
            <w:vAlign w:val="bottom"/>
          </w:tcPr>
          <w:p>
            <w:pPr>
              <w:spacing w:after="0"/>
              <w:rPr>
                <w:sz w:val="24"/>
                <w:szCs w:val="24"/>
                <w:color w:val="auto"/>
              </w:rPr>
            </w:pPr>
          </w:p>
        </w:tc>
        <w:tc>
          <w:tcPr>
            <w:tcW w:w="664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2.</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Unregistered Sales of Equity Securities and Use of Proceeds</w:t>
              </w:r>
            </w:hyperlink>
          </w:p>
        </w:tc>
        <w:tc>
          <w:tcPr>
            <w:tcW w:w="22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3.</w:t>
              </w:r>
            </w:hyperlink>
          </w:p>
        </w:tc>
        <w:tc>
          <w:tcPr>
            <w:tcW w:w="360" w:type="dxa"/>
            <w:vAlign w:val="bottom"/>
            <w:gridSpan w:val="2"/>
          </w:tcPr>
          <w:p>
            <w:pPr>
              <w:spacing w:after="0"/>
              <w:rPr>
                <w:sz w:val="24"/>
                <w:szCs w:val="24"/>
                <w:color w:val="auto"/>
              </w:rPr>
            </w:pPr>
          </w:p>
        </w:tc>
        <w:tc>
          <w:tcPr>
            <w:tcW w:w="664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4.</w:t>
              </w:r>
            </w:hyperlink>
          </w:p>
        </w:tc>
        <w:tc>
          <w:tcPr>
            <w:tcW w:w="360" w:type="dxa"/>
            <w:vAlign w:val="bottom"/>
            <w:gridSpan w:val="2"/>
          </w:tcPr>
          <w:p>
            <w:pPr>
              <w:spacing w:after="0"/>
              <w:rPr>
                <w:sz w:val="24"/>
                <w:szCs w:val="24"/>
                <w:color w:val="auto"/>
              </w:rPr>
            </w:pPr>
          </w:p>
        </w:tc>
        <w:tc>
          <w:tcPr>
            <w:tcW w:w="664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5.</w:t>
              </w:r>
            </w:hyperlink>
          </w:p>
        </w:tc>
        <w:tc>
          <w:tcPr>
            <w:tcW w:w="360" w:type="dxa"/>
            <w:vAlign w:val="bottom"/>
            <w:tcBorders>
              <w:top w:val="single" w:sz="8" w:color="0000EE"/>
            </w:tcBorders>
            <w:gridSpan w:val="2"/>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28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6.</w:t>
              </w:r>
            </w:hyperlink>
          </w:p>
        </w:tc>
        <w:tc>
          <w:tcPr>
            <w:tcW w:w="664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gridSpan w:val="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10"/>
          </w:tcPr>
          <w:p>
            <w:pPr>
              <w:jc w:val="center"/>
              <w:ind w:left="369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828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10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5"/>
              </w:rPr>
              <w:t>MARCH 31, 2006 AND DECEMBER 31, 2005</w:t>
            </w:r>
          </w:p>
        </w:tc>
        <w:tc>
          <w:tcPr>
            <w:tcW w:w="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gridSpan w:val="10"/>
          </w:tcPr>
          <w:p>
            <w:pPr>
              <w:jc w:val="center"/>
              <w:ind w:left="90"/>
              <w:spacing w:after="0"/>
              <w:rPr>
                <w:sz w:val="20"/>
                <w:szCs w:val="20"/>
                <w:color w:val="auto"/>
              </w:rPr>
            </w:pPr>
            <w:r>
              <w:rPr>
                <w:rFonts w:ascii="Arial" w:cs="Arial" w:eastAsia="Arial" w:hAnsi="Arial"/>
                <w:sz w:val="18"/>
                <w:szCs w:val="18"/>
                <w:b w:val="1"/>
                <w:bCs w:val="1"/>
                <w:color w:val="auto"/>
                <w:w w:val="89"/>
              </w:rPr>
              <w:t>(In Thousands, Except Shares and Per Share Amounts)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98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6"/>
          </w:tcPr>
          <w:p>
            <w:pPr>
              <w:spacing w:after="0"/>
              <w:rPr>
                <w:sz w:val="20"/>
                <w:szCs w:val="20"/>
                <w:color w:val="auto"/>
              </w:rPr>
            </w:pPr>
            <w:r>
              <w:rPr>
                <w:rFonts w:ascii="Arial" w:cs="Arial" w:eastAsia="Arial" w:hAnsi="Arial"/>
                <w:sz w:val="18"/>
                <w:szCs w:val="18"/>
                <w:color w:val="auto"/>
                <w:w w:val="94"/>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00" w:type="dxa"/>
            <w:vAlign w:val="bottom"/>
            <w:gridSpan w:val="18"/>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536,505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OTHER ASSETS,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00" w:type="dxa"/>
            <w:vAlign w:val="bottom"/>
            <w:gridSpan w:val="18"/>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849,621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color w:val="auto"/>
                <w:w w:val="98"/>
              </w:rPr>
              <w:t>LIABILITIES AND SHAREHOLDERS’ EQUITY</w:t>
            </w:r>
          </w:p>
        </w:tc>
        <w:tc>
          <w:tcPr>
            <w:tcW w:w="4560" w:type="dxa"/>
            <w:vAlign w:val="bottom"/>
            <w:tcBorders>
              <w:bottom w:val="single" w:sz="8" w:color="CCEEFF"/>
            </w:tcBorders>
            <w:gridSpan w:val="8"/>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307,385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auto"/>
                <w:w w:val="97"/>
              </w:rPr>
              <w:t>Accrued expenses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52,592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18"/>
          </w:tcPr>
          <w:p>
            <w:pPr>
              <w:ind w:left="1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412,367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414,302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0"/>
          </w:tcPr>
          <w:p>
            <w:pPr>
              <w:spacing w:after="0"/>
              <w:rPr>
                <w:sz w:val="20"/>
                <w:szCs w:val="20"/>
                <w:color w:val="auto"/>
              </w:rPr>
            </w:pPr>
            <w:r>
              <w:rPr>
                <w:rFonts w:ascii="Arial" w:cs="Arial" w:eastAsia="Arial" w:hAnsi="Arial"/>
                <w:sz w:val="18"/>
                <w:szCs w:val="18"/>
                <w:color w:val="auto"/>
              </w:rPr>
              <w:t>LONG-TERM DEBT, net of current maturities</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111,760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114,345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0"/>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23,339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-6204585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-6204585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5" w:orient="portrait"/>
          <w:cols w:equalWidth="0" w:num="1">
            <w:col w:w="11440"/>
          </w:cols>
          <w:pgMar w:left="240" w:top="125"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6"/>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par value $.01 per share; 1,000,000 shares authorized; 0 shares outstanding in 2005 and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Common stock, par value $.01 per share; 40,000,000 class A shares and 10,000,000 class B shares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340"/>
              <w:spacing w:after="0"/>
              <w:rPr>
                <w:sz w:val="20"/>
                <w:szCs w:val="20"/>
                <w:color w:val="auto"/>
              </w:rPr>
            </w:pPr>
            <w:r>
              <w:rPr>
                <w:rFonts w:ascii="Arial" w:cs="Arial" w:eastAsia="Arial" w:hAnsi="Arial"/>
                <w:sz w:val="18"/>
                <w:szCs w:val="18"/>
                <w:color w:val="auto"/>
                <w:w w:val="93"/>
              </w:rPr>
              <w:t>authorized; 16,770,060 class A shares and 7,895,863 class B shares outstanding in 2005; and 16,856,465</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5"/>
          </w:tcPr>
          <w:p>
            <w:pPr>
              <w:ind w:left="340"/>
              <w:spacing w:after="0"/>
              <w:rPr>
                <w:sz w:val="20"/>
                <w:szCs w:val="20"/>
                <w:color w:val="auto"/>
              </w:rPr>
            </w:pPr>
            <w:r>
              <w:rPr>
                <w:rFonts w:ascii="Arial" w:cs="Arial" w:eastAsia="Arial" w:hAnsi="Arial"/>
                <w:sz w:val="18"/>
                <w:szCs w:val="18"/>
                <w:color w:val="auto"/>
              </w:rPr>
              <w:t>class A shares and 7,935,745 class B shares outstanding in 2006</w:t>
            </w:r>
          </w:p>
        </w:tc>
        <w:tc>
          <w:tcPr>
            <w:tcW w:w="3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122,347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110,770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88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287,330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849,621</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840,234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9760" w:type="dxa"/>
            <w:vAlign w:val="bottom"/>
            <w:gridSpan w:val="8"/>
          </w:tcPr>
          <w:p>
            <w:pPr>
              <w:jc w:val="center"/>
              <w:ind w:left="15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4"/>
          </w:tcPr>
          <w:p>
            <w:pPr>
              <w:jc w:val="center"/>
              <w:ind w:left="37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CONSOLIDATED STATEMENTS OF INCOME</w:t>
            </w:r>
          </w:p>
        </w:tc>
        <w:tc>
          <w:tcPr>
            <w:tcW w:w="6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New and used truck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363,347</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298,931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104,867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Construction equipment sales</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Finance and insurance</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497,885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New and used truck sales</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334,172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278,370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Construction equipment sales</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12,698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Total cost of products sold</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416,285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11,577</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 – DILUTED</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16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25,050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-7653020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-7653020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jc w:val="center"/>
        <w:ind w:left="8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11,577</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w w:val="96"/>
              </w:rPr>
              <w:t>Stock-based compensation expense related to employee stock options and employee stock purchases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Tax benefit realized from exercise of stock options by employees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(21,986)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Draws (payments) on lines of credit, net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51,462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133,069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121,305</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3,898</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ectPr>
          <w:pgSz w:w="11900" w:h="16838" w:orient="portrait"/>
          <w:cols w:equalWidth="0" w:num="1">
            <w:col w:w="11420"/>
          </w:cols>
          <w:pgMar w:left="240" w:top="125" w:right="239" w:bottom="63" w:gutter="0" w:footer="0" w:header="0"/>
        </w:sectPr>
      </w:pPr>
    </w:p>
    <w:bookmarkStart w:id="4" w:name="page5"/>
    <w:bookmarkEnd w:id="4"/>
    <w:p>
      <w:pPr>
        <w:ind w:right="20" w:firstLine="648"/>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2005. Results of operations for interim periods are not necessarily indicative of results that may be expected for any other interim periods or the full fiscal year. Certain prior year balances have been reclassified for comparative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pacing w:after="0" w:line="19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The Company’s Consolidated Financial Statements as of and for the three months ended March 31, 2006 reflect the impact of SFAS 123(R). In accordance with the modified prospective transition method, the Company’s Consolidated Financial Statements for prior periods have not been restated to reflect, and do not include, the impact of SFAS 123(R). Stock-based compensation expense recognized under SFAS 123(R) for the three months ended March 31, 2006 was $964,000, which consisted of stock-based compensation expense related to grants of employee stock options and employee stock purchases under the Employee Stock Purchase Plan. There was no stock-based compensation expense related to grants of employee stock options or employee stock purchases under the Employee Stock Purchase Plan recognized during the three months ended March 31, 2005.</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Stock-based compensation expense recognized during the first quarter of 2006 is based on the value of the portion of share-based payment awards that is ultimately expected to vest during the period. Stock-based compensation expense recognized in the Company’s Consolidated Statement of Operations for the first quarter of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first quarter of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adoption of SFAS 123(R), the Company continues to use the Black-Scholes option-pricing model which was previously used for the Company’s pro forma information required under SFAS 123. For additional information, see Note 5.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employee stock option exercise behaviors. Option-pricing models were developed for use in estimating the value of traded options that have no vesting or hedging restrictions and are fully transferable. Although the fair value of employee stock options is determined in accordance with SFAS 123(R) and SAB 107 using an option-pricing model, that value may not be indicative of the fair value observed in a market transaction between a willing buyer and a willing seller.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first quarter of 2006. Management is not aware of any impairment charge that may be required; however, a change in economic conditions, if one occurs, could result in an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The Company does not expect to finance a significant percentage of its truck sales under this 100% liability finance program in the future. The Company provides an allowance for repossession losses and early repayment penalties that it may be liable for under finance contracts it has sold.</w:t>
      </w:r>
    </w:p>
    <w:p>
      <w:pPr>
        <w:sectPr>
          <w:pgSz w:w="11900" w:h="16838" w:orient="portrait"/>
          <w:cols w:equalWidth="0" w:num="1">
            <w:col w:w="11400"/>
          </w:cols>
          <w:pgMar w:left="240" w:top="125" w:right="259" w:bottom="0" w:gutter="0" w:footer="0" w:header="0"/>
        </w:sectPr>
      </w:pPr>
    </w:p>
    <w:bookmarkStart w:id="5" w:name="page6"/>
    <w:bookmarkEnd w:id="5"/>
    <w:p>
      <w:pPr>
        <w:ind w:right="40" w:firstLine="648"/>
        <w:spacing w:after="0" w:line="302" w:lineRule="auto"/>
        <w:rPr>
          <w:sz w:val="20"/>
          <w:szCs w:val="20"/>
          <w:color w:val="auto"/>
        </w:rPr>
      </w:pPr>
      <w:r>
        <w:rPr>
          <w:rFonts w:ascii="Arial" w:cs="Arial" w:eastAsia="Arial" w:hAnsi="Arial"/>
          <w:sz w:val="16"/>
          <w:szCs w:val="16"/>
          <w:color w:val="auto"/>
        </w:rPr>
        <w:t>As part of the acquisition of certain assets of American Truck Source, Inc. (“ATS”), which was effective January 1, 2005, the Company assumed certain liabilities to finance companies for notes that ATS initiated on behalf of such finance companies related to the sale of trucks. ATS’s portfolio to which the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March 31, 2006</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March 31, 2005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60"/>
              <w:spacing w:after="0" w:line="201" w:lineRule="exact"/>
              <w:rPr>
                <w:sz w:val="20"/>
                <w:szCs w:val="20"/>
                <w:color w:val="auto"/>
              </w:rPr>
            </w:pPr>
            <w:r>
              <w:rPr>
                <w:rFonts w:ascii="Arial" w:cs="Arial" w:eastAsia="Arial" w:hAnsi="Arial"/>
                <w:sz w:val="18"/>
                <w:szCs w:val="18"/>
                <w:color w:val="auto"/>
              </w:rPr>
              <w:t>Numerator for basic and diluted earnings per share, net income available to common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11,577,000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7,684,000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Denominator for basic earnings per share, adjusted weighted average shares outstanding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24,706,534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23,929,481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343,351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160"/>
              <w:spacing w:after="0" w:line="201" w:lineRule="exact"/>
              <w:rPr>
                <w:sz w:val="20"/>
                <w:szCs w:val="20"/>
                <w:color w:val="auto"/>
              </w:rPr>
            </w:pPr>
            <w:r>
              <w:rPr>
                <w:rFonts w:ascii="Arial" w:cs="Arial" w:eastAsia="Arial" w:hAnsi="Arial"/>
                <w:sz w:val="18"/>
                <w:szCs w:val="18"/>
                <w:color w:val="auto"/>
                <w:w w:val="93"/>
              </w:rPr>
              <w:t>Denominator for diluted earnings per share, adjusted weighted average shares and assumed</w:t>
            </w: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25,049,885</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24,795,402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conversions</w:t>
            </w: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5 – Stock Options</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Company has implemented an Employee Stock Purchase Plan that allows eligible employees to contribute up to 10% of their base earnings toward the semi-annual purchase of the Company’s Class A Common Stock. The employee’s purchase price is 85% of the lesser of the closing price of the</w:t>
      </w:r>
    </w:p>
    <w:p>
      <w:pPr>
        <w:ind w:right="80"/>
        <w:spacing w:after="0" w:line="244" w:lineRule="auto"/>
        <w:rPr>
          <w:sz w:val="20"/>
          <w:szCs w:val="20"/>
          <w:color w:val="auto"/>
        </w:rPr>
      </w:pPr>
      <w:r>
        <w:rPr>
          <w:rFonts w:ascii="Arial" w:cs="Arial" w:eastAsia="Arial" w:hAnsi="Arial"/>
          <w:sz w:val="17"/>
          <w:szCs w:val="17"/>
          <w:color w:val="auto"/>
        </w:rPr>
        <w:t>Class A Common Stock on the first business day or the last business day of the semi-annual offering period, as reported by The Nasdaq National Market</w:t>
      </w:r>
      <w:r>
        <w:rPr>
          <w:rFonts w:ascii="Arial" w:cs="Arial" w:eastAsia="Arial" w:hAnsi="Arial"/>
          <w:sz w:val="28"/>
          <w:szCs w:val="28"/>
          <w:color w:val="auto"/>
          <w:vertAlign w:val="superscript"/>
        </w:rPr>
        <w:t>®</w:t>
      </w:r>
      <w:r>
        <w:rPr>
          <w:rFonts w:ascii="Arial" w:cs="Arial" w:eastAsia="Arial" w:hAnsi="Arial"/>
          <w:sz w:val="17"/>
          <w:szCs w:val="17"/>
          <w:color w:val="auto"/>
        </w:rPr>
        <w:t>. Employees may purchase shares having a fair market value of up to $25,000 (measured as of the first day of each semi-annual offering period) for each calendar year. Under the Employee Stock Purchase Plan, 600,000 shares of the Company Class A Common Stock has been reserved for issuance. During the three months ended March 31, 2006, the Company issued 19,376 shares under the Employee Stock Purchase Plan. During the three months ended March 31, 2005, the Company issued 12,793 shares under the Employee Stock Purchase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Board of Directors and shareholders adopted the Rush Enterprises, Inc. 1997 Non-Employee Director Stock Option Plan (the “Director Plan”), reserving 600,000 shares of Class A Common Stock and 180,000 shares of Class B Common Stock for issuance upon exercise of any awards granted under the Plan. The Director Plan is designed to attract and retain highly qualified non-employee directors. Each non-employee director receives options to purchase 20,000 shares of the Company’s Class A Common Stock upon their respective date of appointment and each year on the date that they are elected by the shareholders to serve on the Board of Directors. Each option has a ten year term from the grant date and vests immediately. During the year ended December 31, 2005, 80,000 options of Class A Common Stock were granted under the terms of the Director Plan. During the three months ended March 31, 2006 and March 31, 2005, the Company issued no shares under the Director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Plans</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In April 1996, the Board of Directors and shareholders adopted the Rush Enterprises, Inc. Long-Term Incentive Plan (the “Incentive Plan”). The Incentive Plan provides for the grant of stock options (which may be nonqualified stock options or incentive stock options for tax purposes), stock appreciation rights issued independent of or in tandem with such options (“SARs”), restricted stock awards and performance awards.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aggregate number of shares of common stock subject to stock options or SARs that may be granted to any one participant in any year under the Incentive Plan is 100,000 shares of Class A Common Stock and 100,000 shares of Class B Common Stock. Each option has a ten year term from the grant date and vests in three equal annual installments beginning on the third anniversary of the grant date. The Company has 2,600,000 shares of Class A Common Stock and 1,400,000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B Common Stock reserved for issuance upon exercise of any awards granted under the Company’s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ectPr>
          <w:pgSz w:w="11900" w:h="16838" w:orient="portrait"/>
          <w:cols w:equalWidth="0" w:num="1">
            <w:col w:w="11400"/>
          </w:cols>
          <w:pgMar w:left="240" w:top="341" w:right="259" w:bottom="0" w:gutter="0" w:footer="0" w:header="0"/>
        </w:sectPr>
      </w:pPr>
    </w:p>
    <w:bookmarkStart w:id="6" w:name="page7"/>
    <w:bookmarkEnd w:id="6"/>
    <w:p>
      <w:pPr>
        <w:spacing w:after="0" w:line="5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On January 1, 2006, the Company adopted SFAS 123(R), which requires the measurement and recognition of compensation expense for all share-based payment awards made to the Company’s employees and directors including employee stock options and employee stock purchases related to the Employee Stock Purchase Plan based on estimated fair values. Stock-based compensation expense related to employee stock options and employee stock purchases under SFAS 123(R) for the three months ended March 31, 2006 was recorded as Selling, General &amp; Administrative expense in the amount of $964,000. There was no stock-based compensation expense recognized for the three months ended March 31, 2005.</w:t>
      </w:r>
    </w:p>
    <w:p>
      <w:pPr>
        <w:spacing w:after="0" w:line="15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 The $607,000 excess tax benefit classified as a financing cash inflow would have been classified as an operating cash inflow if the Company had not adopted SFAS 123(R). Cash received from options exercised under all share-based payment arrangements for the period ended March 31, 2006 was $561,000.</w:t>
      </w:r>
    </w:p>
    <w:p>
      <w:pPr>
        <w:spacing w:after="0" w:line="17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2005, the Company granted options under the Incentive Plan to purchase an aggregate of 288,325 shares of Class A Common Stock. In March 2006, the Company granted options under the Incentive Plan to purchase an aggregate of 319,125 shares of Class A Common Stock.</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table below reflects net income and diluted net income per share for the three months ended March 31, 2006 compared with the pro forma information for the three months ended March 31, 2005 as follows (in thousands except per share amounts):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r>
      <w:tr>
        <w:trPr>
          <w:trHeight w:val="171"/>
        </w:trPr>
        <w:tc>
          <w:tcPr>
            <w:tcW w:w="7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for the prior period (1)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7,684</w:t>
            </w:r>
          </w:p>
        </w:tc>
      </w:tr>
      <w:tr>
        <w:trPr>
          <w:trHeight w:val="202"/>
        </w:trPr>
        <w:tc>
          <w:tcPr>
            <w:tcW w:w="7400" w:type="dxa"/>
            <w:vAlign w:val="bottom"/>
          </w:tcPr>
          <w:p>
            <w:pPr>
              <w:spacing w:after="0" w:line="201" w:lineRule="exact"/>
              <w:rPr>
                <w:sz w:val="20"/>
                <w:szCs w:val="20"/>
                <w:color w:val="auto"/>
              </w:rPr>
            </w:pPr>
            <w:r>
              <w:rPr>
                <w:rFonts w:ascii="Arial" w:cs="Arial" w:eastAsia="Arial" w:hAnsi="Arial"/>
                <w:sz w:val="18"/>
                <w:szCs w:val="18"/>
                <w:color w:val="auto"/>
              </w:rPr>
              <w:t>Stock based compensation expense related to employee stock options and employee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74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r>
      <w:tr>
        <w:trPr>
          <w:trHeight w:val="182"/>
        </w:trPr>
        <w:tc>
          <w:tcPr>
            <w:tcW w:w="7400" w:type="dxa"/>
            <w:vAlign w:val="bottom"/>
          </w:tcPr>
          <w:p>
            <w:pPr>
              <w:spacing w:after="0" w:line="182" w:lineRule="exact"/>
              <w:rPr>
                <w:sz w:val="20"/>
                <w:szCs w:val="20"/>
                <w:color w:val="auto"/>
              </w:rPr>
            </w:pPr>
            <w:r>
              <w:rPr>
                <w:rFonts w:ascii="Arial" w:cs="Arial" w:eastAsia="Arial" w:hAnsi="Arial"/>
                <w:sz w:val="18"/>
                <w:szCs w:val="18"/>
                <w:color w:val="auto"/>
              </w:rPr>
              <w:t>Stock based compensation expense related to employee stock options and employee stock</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7400" w:type="dxa"/>
            <w:vAlign w:val="bottom"/>
          </w:tcPr>
          <w:p>
            <w:pPr>
              <w:ind w:left="180"/>
              <w:spacing w:after="0"/>
              <w:rPr>
                <w:sz w:val="20"/>
                <w:szCs w:val="20"/>
                <w:color w:val="auto"/>
              </w:rPr>
            </w:pPr>
            <w:r>
              <w:rPr>
                <w:rFonts w:ascii="Arial" w:cs="Arial" w:eastAsia="Arial" w:hAnsi="Arial"/>
                <w:sz w:val="18"/>
                <w:szCs w:val="18"/>
                <w:color w:val="auto"/>
              </w:rPr>
              <w:t>purchases, net of tax (2)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including the effect of stock-based compensation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7,489</w:t>
            </w: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Basic net income per share – as reported for the prior period (1)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including the effect of stock-based compensation expense (3)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r>
      <w:tr>
        <w:trPr>
          <w:trHeight w:val="216"/>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 for the prior period (1)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Diluted net income per share, including the effect of stock-based compensation expense (3)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200" w:right="360" w:hanging="193"/>
        <w:spacing w:after="0" w:line="258" w:lineRule="auto"/>
        <w:rPr>
          <w:sz w:val="20"/>
          <w:szCs w:val="20"/>
          <w:color w:val="auto"/>
        </w:rPr>
      </w:pPr>
      <w:r>
        <w:rPr>
          <w:rFonts w:ascii="Arial" w:cs="Arial" w:eastAsia="Arial" w:hAnsi="Arial"/>
          <w:sz w:val="18"/>
          <w:szCs w:val="18"/>
          <w:color w:val="auto"/>
        </w:rPr>
        <w:t>(1)Net income and net income per share prior to 2006 did not include stock-based compensation expense for employee stock options and employee stock purchases under SFAS 123 because the Company did not adopt the recognition provisions of SFAS 123.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(2)Stock-based compensation expense prior to 2006 is calculated based on the pro forma application of SFAS 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(3)Net income and net income per share prior to 2006 represents pro forma information based on SFAS 123.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Upon adoption of SFAS 123(R), the Company continues to use the Black-Scholes option-pricing model which was previously used for the Company’s pro forma information required under SFAS 123.</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weighted-average estimated value of employee stock options was $7.57 per share for options granted during the three months ended March 31, 2006 and $6.97 per share for options granted during the three months ended March 31, 2005 using the Black-Scholes model with the following weighted-average assumptions: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1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6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March 31, 2006</w:t>
            </w:r>
          </w:p>
        </w:tc>
        <w:tc>
          <w:tcPr>
            <w:tcW w:w="2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March 31, 2005</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Expected life (years)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employee stock options represents the weighted-average period the stock options are expected to remain outstanding.</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summary of the Company’s stock option activity and related information as of March 31, 2006 and changes during the three months ended March 31, 2006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ind w:left="242"/>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1,719,819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7.48</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319,125</w:t>
            </w:r>
          </w:p>
        </w:tc>
        <w:tc>
          <w:tcPr>
            <w:tcW w:w="2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19.37</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(106,994)</w:t>
            </w:r>
          </w:p>
        </w:tc>
        <w:tc>
          <w:tcPr>
            <w:tcW w:w="9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3.18</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00"/>
          </w:cols>
          <w:pgMar w:left="240" w:top="341" w:right="259" w:bottom="0" w:gutter="0" w:footer="0" w:header="0"/>
        </w:sectPr>
      </w:pPr>
    </w:p>
    <w:bookmarkStart w:id="7" w:name="page8"/>
    <w:bookmarkEnd w:id="7"/>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 at March 31, 2006</w:t>
            </w:r>
          </w:p>
        </w:tc>
        <w:tc>
          <w:tcPr>
            <w:tcW w:w="1240" w:type="dxa"/>
            <w:vAlign w:val="bottom"/>
          </w:tcPr>
          <w:p>
            <w:pPr>
              <w:jc w:val="right"/>
              <w:spacing w:after="0"/>
              <w:rPr>
                <w:sz w:val="20"/>
                <w:szCs w:val="20"/>
                <w:color w:val="auto"/>
              </w:rPr>
            </w:pPr>
            <w:r>
              <w:rPr>
                <w:rFonts w:ascii="Arial" w:cs="Arial" w:eastAsia="Arial" w:hAnsi="Arial"/>
                <w:sz w:val="18"/>
                <w:szCs w:val="18"/>
                <w:color w:val="auto"/>
              </w:rPr>
              <w:t>1,931,950</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15,824,476</w:t>
            </w:r>
          </w:p>
        </w:tc>
      </w:tr>
      <w:tr>
        <w:trPr>
          <w:trHeight w:val="216"/>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Vested at March 31, 2006</w:t>
            </w:r>
          </w:p>
        </w:tc>
        <w:tc>
          <w:tcPr>
            <w:tcW w:w="1240" w:type="dxa"/>
            <w:vAlign w:val="bottom"/>
          </w:tcPr>
          <w:p>
            <w:pPr>
              <w:jc w:val="right"/>
              <w:spacing w:after="0"/>
              <w:rPr>
                <w:sz w:val="20"/>
                <w:szCs w:val="20"/>
                <w:color w:val="auto"/>
              </w:rPr>
            </w:pPr>
            <w:r>
              <w:rPr>
                <w:rFonts w:ascii="Arial" w:cs="Arial" w:eastAsia="Arial" w:hAnsi="Arial"/>
                <w:sz w:val="18"/>
                <w:szCs w:val="18"/>
                <w:color w:val="auto"/>
              </w:rPr>
              <w:t>657,543</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7,898,227</w:t>
            </w:r>
          </w:p>
        </w:tc>
        <w:tc>
          <w:tcPr>
            <w:tcW w:w="120" w:type="dxa"/>
            <w:vAlign w:val="bottom"/>
          </w:tcPr>
          <w:p>
            <w:pPr>
              <w:spacing w:after="0"/>
              <w:rPr>
                <w:sz w:val="19"/>
                <w:szCs w:val="19"/>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2006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7,898,227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Company’s Class A common stock closing price of $17.58 as of March 31, 2006. The total intrinsic value of options exercised during the three months ended March 31, 2006 was $1.6 million and the total intrinsic value of options exercised during the three months ended March 31, 2005 was $0.5 million.</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the status of the Company’s non-vested shares as of March 31, 2006 and changes during the three months ended March 31, 2006,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319,125</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(410,668)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Non-vested at March 31, 2006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1,274,407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of March 31, 2006, there was $4.3 million of total unrecognized compensation cost related to non-vested share-based compensation arrangements granted under the Incentive Plan. That cost is expected to be recognized over a weighted-average period of 3.7 years. The total fair value of options vested during the three months ended March 31, 2006 was $1.3 million and during the three months ended March 31, 2005 was $1.0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The Company is operating the facility as a full-service Rush Truck Center offering heavy-duty and medium-duty trucks, parts and service. The transaction was valued at approximately $22.0 million, with the purchase price paid in cash.</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Great Southern Peterbilt,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8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21,986</w:t>
            </w:r>
          </w:p>
        </w:tc>
        <w:tc>
          <w:tcPr>
            <w:tcW w:w="160" w:type="dxa"/>
            <w:vAlign w:val="bottom"/>
          </w:tcPr>
          <w:p>
            <w:pPr>
              <w:spacing w:after="0"/>
              <w:rPr>
                <w:sz w:val="19"/>
                <w:szCs w:val="19"/>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Great Southern Peterbilt, Inc. acquisition will be amortized over 15 years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March 31, 2006 and 2005.</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March 31, 2005 and 2006 (in thousands):</w:t>
      </w:r>
    </w:p>
    <w:p>
      <w:pPr>
        <w:sectPr>
          <w:pgSz w:w="11900" w:h="16838" w:orient="portrait"/>
          <w:cols w:equalWidth="0" w:num="1">
            <w:col w:w="11440"/>
          </w:cols>
          <w:pgMar w:left="240" w:top="125" w:right="21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Truck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Construction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Equipment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2006</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474,298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812,636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388,458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the Section 27A of the Securities Act of 1933, as amended, and Section 21E of the Exchange Act of 1934, as amended,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2005 Annual Report on Form 10-K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primarily sell heavy-duty trucks manufactured by Peterbilt Motors Company (“Peterbilt”), a division of PACCAR, Inc. (“PACCAR”). Certain Rush Truck Centers sell medium-duty trucks manufactured by Peterbilt, GMC, Hino, UD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financing, leasing and rental, and insurance services.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for a total purchase price of $22.0 million. The Company is operating the facility as a full-service Rush Truck Center offering heavy-duty and medium-duty trucks, parts and service. See Note 6, “Acquisitions” of the Notes to the Consolidated Financial Statements for a detailed discussion of the allocation of the purchase price of certain assets of Great Southern Peterbilt, Inc.</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Company’s Rush Equipment Center in Houston, Texas provides a full line of John Deere construction equipment for light to medium sized applications, as well as a variety of construction equipment trailers.</w:t>
      </w:r>
    </w:p>
    <w:p>
      <w:pPr>
        <w:sectPr>
          <w:pgSz w:w="11900" w:h="16838" w:orient="portrait"/>
          <w:cols w:equalWidth="0" w:num="1">
            <w:col w:w="11420"/>
          </w:cols>
          <w:pgMar w:left="240" w:top="104"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type w:val="continuous"/>
        </w:sectPr>
      </w:pPr>
    </w:p>
    <w:bookmarkStart w:id="9" w:name="page10"/>
    <w:bookmarkEnd w:id="9"/>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Other assets consist primarily of goodwill related to acquisitions and other intangible assets. As stated in Note 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first quarter of 2006. Management is not aware of any impairment charge, which may be required; however, a change in economic conditions, if one occurs, could result in an impairment charge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2005 and 2006, finance contracts were not retained by the Company for any significant length of time because finance contracts are generally sold to finance companies concurrent with the sale of the related unit.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it has sold.</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part of the acquisition of certain assets of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majority of the portfolio to be liquidated by January 1, 2008. The Company has provided a specific allowance for repossession losses and early repayment penalties related to ATS’s portfolio.</w:t>
      </w:r>
    </w:p>
    <w:p>
      <w:pPr>
        <w:spacing w:after="0" w:line="170"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 backs has not been significantly different than the Company’s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is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w:t>
      </w:r>
    </w:p>
    <w:p>
      <w:pPr>
        <w:sectPr>
          <w:pgSz w:w="11900" w:h="16921" w:orient="portrait"/>
          <w:cols w:equalWidth="0" w:num="1">
            <w:col w:w="11420"/>
          </w:cols>
          <w:pgMar w:left="240" w:top="580"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party administrators to determine the reasonableness of the calculations they perform.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the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 changing facts and circumstances.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and for the three months ended March 31, 2006 reflect the impact of SFAS 123(R). In accordance with the modified prospective transition method, the Company’s Consolidated Financial Statements for prior periods have not been restated to reflect, and do not include, the impact of SFAS 123(R). Stock-based compensation expense recognized under SFAS 123(R) for the three months ended March 31, 2006 was $964,000, which consisted of stock-based compensation expense related to grants of employee stock options and employee stock purchases under the Employee Stock Purchase Plan. There was no stock-based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compensation expense related to grants of employee stock options or employee stock purchases under the Employee Stock Purchase Plan recognized during the three months ended March 31, 2005.</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Stock-based compensation expense recognized during the first quarter of 2006 is based on the value of the portion of share-based payment awards that is ultimately expected to vest during the period. Stock-based compensation expense recognized in the Company’s Consolidated Statement of Operations for the first quarter of 2006 included (i) compensation expense for share-based payment awards granted prior to, but not yet vested as of December 31, 2005 based on the grant date fair value estimated in accordance with the pro forma provisions of SFAS 123, and (ii)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first quarter of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Upon adoption of SFAS 123(R), the Company continues to use the Black-Scholes option-pricing model which was previously used for the Company’s pro forma information required under SFAS 123. For additional information, see Note 5, “Stock Options” of the Notes to Consolidated Financial Statements.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employee stock option exercise behaviors.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employee stock options. Although the fair value of employee stock options is determined in accordance with SFAS 123(R) and SAB 107 using an option-pricing model, that value may not be indicative of the fair value observed in a market transaction between a willing buyer and a willing seller.</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Note 1, “Principles of Consolidation and Basis of Presentation” of the Notes to Consolidated Financial Statements for additional information regarding the adoption of SFAS 123(R).</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0" w:gutter="0" w:footer="0" w:header="0"/>
          <w:type w:val="continuous"/>
        </w:sectPr>
      </w:pPr>
    </w:p>
    <w:bookmarkStart w:id="11" w:name="page12"/>
    <w:bookmarkEnd w:id="11"/>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March 31, 2006 and 2005.</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17"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Three Months Ended</w:t>
      </w:r>
    </w:p>
    <w:p>
      <w:pPr>
        <w:jc w:val="center"/>
        <w:ind w:left="1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Parts and service</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21.0</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 and rental</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83.6</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Gain (loss) on sale</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2006 Compared to Three Months Ended March 31, 2005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Revenues increased $95.9 million, or 23.9%, from $402.0 million in the first quarter of 2005 to $497.9 million in the first quarter of 2006. Sales of new and used trucks increased $64.3 million, or 21.5%, from $299.0 million in the first quarter of 2005 to $363.3 million in the first quarter of 2006. This increase in revenue is due to continued strong demand for Class 8 trucks.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Unit sales of new Class 8 trucks increased 5.2%, from 2,185 units in the first quarter of 2005 to 2,299 units in the first quarter of 2006. Based on estimates from A.C.T. Research Co., LLC, a truck industry data and forecasting service provider (“A.C.T. Research”), the Company believes that the deliveries of Class 8 trucks in the United States will increase from approximately 259,000 units in 2005 to approximately 275,000 units in 2006. In 2005, the Company retained a 3.9% share of the Class 8 truck sales market in the U.S. Based on internal expansion and communication with our customers, the Company expects to increase this share to approximately 4.0% in 2006, which would result in sale of approximately 11,000 Class 8 trucks based on retail sales of 275,000 units as estimated by A.C.T. Research. Industry expectations are for Class 8 truck sales to decline in 2007 primarily due to new diesel emissions laws, which are expected to increase the cost and reduce the fuel efficiency of diesel engines built on or after January 1, 2007. Some industry experts believe that the drop-off of truck sales in 2007 will begin to recover in the second half of 2007. A.C.T. Research currently estimates U.S. Class 8 truck retail sales to total approximately 180,000 units in 2007.</w:t>
      </w:r>
    </w:p>
    <w:p>
      <w:pPr>
        <w:spacing w:after="0" w:line="18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Unit sales of new medium-duty trucks increased 42.8%, from 624 units in the first quarter of 2005 to 891 units in the first quarter of 2006. In 2005, the Company continued its concerted effort to improve its medium-duty truck sales by adding experienced medium-duty sales personnel and introducing new medium-duty franchises at some of our Rush Truck Centers to complement the existing medium-duty lines sold at such dealerships. During the last half of 2005, the Company made acquisitions of medium-duty truck franchises in Dallas and Texarkana, Texas, Orlando, Florida and Fontana, California. Overall, new medium-duty truck sales revenue increased approximately $16.1 million, or 48.9%, in the first quarter of 2006 compared to the first quarter of 2005. In 2006, the Company expects to continue to add medium-duty franchises to certain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dealerships and to increase medium-duty sales and market share compared to 2005. The Company expects to sell approximately 4,000 medium–duty trucks in 2006. A.C.T. Research currently expects demand for Class 5, 6, and 7 medium-duty trucks to remain flat in 2006 and decrease approximately 8.0% in 2007.</w:t>
      </w:r>
    </w:p>
    <w:p>
      <w:pPr>
        <w:spacing w:after="0" w:line="12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Unit sales of used trucks increased 8.0%, from 980 units in the first quarter of 2005 to 1,058 units in the first quarter of 2006. Used truck average revenue per unit increased by 14.3%. Historically, used truck demand is consistent with new truck demand. The Company expects used truck demand to remain high; however, our ability to sell used trucks is ultimately dependent upon our ability to acquire used trucks for resale. The Company expects to sell approximately 4,000 used trucks in 2006 if it is able to acquire a sufficient number of used trucks for resale.</w:t>
      </w:r>
    </w:p>
    <w:p>
      <w:pPr>
        <w:spacing w:after="0" w:line="171"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Parts and service sales increased $21.9 million, or 26.4%, from $83.0 million in the first quarter of 2005 to $104.9 million in the first quarter of 2006. The parts and service sales increase was consistent with management’s expectations, which take into account business development combined with price increases for parts and labor. The Company expects parts and service sales to maintain a 20% to 22% growth level during the remainder of 2006.</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Sales of new and used construction equipment increased $6.4 million, or 80.0%, from $8.0 million in the first quarter of 2005 to $14.4 million in the first quarter of 2006. During the first quarter of 2006, the Company made a concerted effort to increase its market share in the Houston area. Approximately 2,700 units of construction equipment were put into use in our area of responsibility in 2005, and the construction equipment industry expects to sell approximately 2,840 units of new construction equipment in the Houston area in 2006. John Deere’s market share in the Houston area construction equipment market increased from 17.1% in the first quarter of 2005 to 23.0% in the first quarter of 2006. The Company believes it can increase John Deere’s market</w:t>
      </w:r>
    </w:p>
    <w:p>
      <w:pPr>
        <w:sectPr>
          <w:pgSz w:w="11900" w:h="16941" w:orient="portrait"/>
          <w:cols w:equalWidth="0" w:num="1">
            <w:col w:w="11400"/>
          </w:cols>
          <w:pgMar w:left="240" w:top="715" w:right="259" w:bottom="0" w:gutter="0" w:footer="0" w:header="0"/>
        </w:sectPr>
      </w:pPr>
    </w:p>
    <w:bookmarkStart w:id="12" w:name="page13"/>
    <w:bookmarkEnd w:id="12"/>
    <w:p>
      <w:pPr>
        <w:ind w:right="680"/>
        <w:spacing w:after="0" w:line="342" w:lineRule="auto"/>
        <w:rPr>
          <w:sz w:val="20"/>
          <w:szCs w:val="20"/>
          <w:color w:val="auto"/>
        </w:rPr>
      </w:pPr>
      <w:r>
        <w:rPr>
          <w:rFonts w:ascii="Arial" w:cs="Arial" w:eastAsia="Arial" w:hAnsi="Arial"/>
          <w:sz w:val="16"/>
          <w:szCs w:val="16"/>
          <w:color w:val="auto"/>
        </w:rPr>
        <w:t>share, in the Houston area, to approximately 25% in 2006. Because the Company operates only one construction equipment location, new and used construction equipment revenue can fluctuate significantly from quarter to quarter depending on the mix of product sold and the timing of deliveries.</w:t>
      </w:r>
    </w:p>
    <w:p>
      <w:pPr>
        <w:spacing w:after="0" w:line="12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Lease and rental revenues increased $1.7 million, or 22.1%, from $7.7 million in the first quarter of 2005 to $9.4 million in the first quarter of 2006. This increase in lease and rental revenue is consistent with management’s expectations. The Company expects lease and rental revenue to increase approximately 20% during 2006 compared to 2005 due to an increased number of units in the lease and rental fleet.</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Finance and insurance revenues increased $0.9 million, or 28.1%, from $3.2 million in the first quarter of 2005 to $4.1 million in the first quarter of 2006. The Company expects finance and insurance revenues to continue to increase as demand for new and used trucks increases. Finance and insurance revenues have limited direct costs and, therefore, contribute a disproportionate share of the Company’s operating profits.</w:t>
      </w:r>
    </w:p>
    <w:p>
      <w:pPr>
        <w:spacing w:after="0" w:line="166"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income increased $0.5 million, or 38.5%, from $1.3 million in the first quarter of 2005 to $1.8 million in the first quarter of 2006. Other income revenue is primarily related to the gain on sale realized on trucks from the lease and rental fleet, commissions earned from John Deere for direct manufacturer sales in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Gross profit increased $20.7 million, or 34.0%, from $60.9 million in the first quarter of 2005 to $81.6 million in the first quarter of 2006. Gross profit as a percentage of sales increased from 15.2% in the first quarter of 2005 to 16.4% in the first quarter of 2006. This increase is primarily a result of a change in our product mix. Truck sales, a lower margin revenue item, decreased as a percent of total revenue from 74.4% in the first quarter of 2005 to 73.0% in the first quarter of 2006. Parts and service revenue, a higher margin revenue item, increased as a percent of total revenue from 20.6% in the first quarter of 2005 to 21.1% in the first quarter of 2006.</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Gross margins on Class 8 truck sales increased from 6.6% in the first quarter of 2005 to 8.4% in the first quarter of 2006. Manufacturers’ incentives for Class 8 trucks accounted for 18.3% of the gross margin in the first quarter of 2005 and 33.3% in the first quarter of 2006. Historically, manufacturers’ incentives have varied significantly on a quarterly basis. Gross margins, excluding manufacturers’ incentives, remained relatively flat at 4.9% in the first quarter of 2005 and 5.0% in the first quarter of 2006. For 2006, the Company expects overall gross margins from Class 8 truck sales of approximately 7.0% to 7.5% compared to 6.7% for fiscal year 2005.</w:t>
      </w:r>
    </w:p>
    <w:p>
      <w:pPr>
        <w:spacing w:after="0" w:line="18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Gross margins on medium-duty truck sales increased from 5.6% in the first quarter of 2005 to 6.3% in the first quarter of 2006. Manufacturers’ incentives for medium-duty trucks accounted for 6.5% of the gross margin in the first quarter of 2005 and the first quarter of 2006. For 2006, the Company expects overall gross margins from medium-duty truck sales of approximately 6.0% to 7.5% compared to 6.2% for fiscal year 2005.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Gross margins on used truck sales decreased from 9.6% in the first quarter of 2005 to 8.3% in the first quarter of 2006. The decrease in gross margins during the first quarter of 2006 is due primarily to low margins recognized on the sale of fleet trade-ins that were placed in inventory during the fourth quarter of 2005. The current challenge for the used truck business is procuring a sufficient quantity of quality used trucks for resale at an acceptable price, in a market where demand is exceeding supply. The Company believes it will be able to continue to achieve margins of approximately 8.0% to 9.0% during the remainder of 2006 due to the high demand for used trucks.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Gross margins from the Company’s parts, service and body shop operations increased from 39.8% in the first quarter of 2005 to 40.6% in the first quarter of 2006. Gross profit dollars for the parts, service and body shop departments increased from $33.0 million in the first quarter of 2005 to $42.6 million in the first quarter of 2006. The Company expects to maintain gross margins of approximately 39.0% to 41.0% for the remainder of 2006.</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remained consistent at 12.0% in the first quarter of 2005 and the first quarter of 2006. The Company expects 2006 gross margins to remain in a range of 10.0% to 12.0%, depending on the product mix, and overall gross profit growth on new and used construction equipment sales to be directly correlated to sales growth.</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Gross margins from lease and rental sales decreased from approximately 26.0% in the first quarter of 2005 to 23.9% in the first quarter of 2006. The decrease in gross margins from lease and rental sales is primarily due to the increase in interest rates and the increase in the cost of new trucks for use in the lease and rental fleet. The Company expects to maintain gross margins from lease and rental sales of approximately 22.0% to 24.0% in 2006. The Company’s policy is to depreciate its lease and rental fleet using the shortest depreciable life established by generally accepted accounting principles. This policy results in the Company realizing small gross margins while the unit is in service and a corresponding larger gain on sale when the unit is sold at the end of the lease term.</w:t>
      </w:r>
    </w:p>
    <w:p>
      <w:pPr>
        <w:spacing w:after="0" w:line="193"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Selling, General and Administrative (“SG&amp;A”) expenses increased $13.1 million, or 30.0%, from $43.6 million in the first quarter of 2005 to $56.7 million in the first quarter of 2006. This increase is largely attributable to increased commissions on truck sales. On January 1, 2006, the Company implemented Statement No. 123 (revised 2004), “Share-Based Payment” (“SFAS 123(R)”) which resulted in stock-based compensation expense of $964,000 for the first quarter of 2006. SG&amp;A expenses as a percentage of sales increased from 10.8% in the first quarter of 2005 to 11.4% in the first quarter of 2006. SG&amp;A expenses as a percentage of sales have historically ranged from 10.0% to 16.0%. The Company expects SG&amp;A expenses as a percentage of sales to remain at the lower end of this range through the remainder of 2006. The Company’s management continually monitors SG&amp;A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interest expense increased $1.0 million, or 40.0%, from $2.5 million in the first quarter of 2005 to $3.5 million in the first quarter of 2006. The increase in net interest expense in the first quarter of 2006 was the result of having more truck inventory to take advantage of increased demand, which increases the Company’s floor plan debt. Additionally, floor plan interest rates have risen in the last year further increasing the Company’s net interest expense.</w:t>
      </w:r>
    </w:p>
    <w:p>
      <w:pPr>
        <w:sectPr>
          <w:pgSz w:w="11900" w:h="16838" w:orient="portrait"/>
          <w:cols w:equalWidth="0" w:num="1">
            <w:col w:w="11420"/>
          </w:cols>
          <w:pgMar w:left="240" w:top="125" w:right="239" w:bottom="0" w:gutter="0" w:footer="0" w:header="0"/>
        </w:sectPr>
      </w:pPr>
    </w:p>
    <w:bookmarkStart w:id="13" w:name="page14"/>
    <w:bookmarkEnd w:id="13"/>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Income before income taxes increased $6.0 million, or 48.0%, from $12.5 million in the first quarter of 2005 to $18.5 million in the first quarter of 2006, as a result of the factors described above. The Company believes that income from continuing operations in 2006 will continue to increase compared to 2005 if demand for trucks remains high.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Income taxes from continuing operations increased $2.1 million, or 43.8%, from $4.8 million in the first quarter of 2005 to $6.9 million in the first quarter of 2006. In the first quarter of 2006, the Company has provided for taxes at a 37.5% effective rate compared to 38.5% for the first quarter of 2005.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2006, the Company had working capital of approximately $124.1 million, including $121.3 million in cash and cash equivalents, $53.7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in accounts receivable, $355.6 million in inventories, $1.6 million in prepaid expenses and other, and $4.2 million in deferred tax assets,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$307.4 million outstanding under floor plan notes payable, $20.2 million in current maturities of long-term debt, $2.6 million in current maturities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obligations, $2.9 million in advances outstanding under lines of credit, $26.8 million of trade accounts payable and $52.6 million in accrued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request working capital advances in the minimum amount of $100,000 from General Electric Capital Corporation (“GE Capital”),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primary truck lender. However, such working capital advances may not cause the total indebtedness owed GE Capital to exceed an amount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wholesale advances made against the then current inventory less any payment reductions then due. There were no working capital advances outstanding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at March 31, 2006. The Company has three separate secured lines of credit that provide for an aggregate maximum borrowing of $16.8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Advances outstanding under these secured lines of credit in aggregate were $2.9 million, with an additional $6.3 million pledged to secure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related to self-insurance products, leaving $7.6 million available for future borrowings as of March 31, 2006.</w:t>
      </w:r>
    </w:p>
    <w:p>
      <w:pPr>
        <w:spacing w:after="0" w:line="211"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Company has no material commitments for capital expenditures as of March 31, 2006. However, the Company will continue to purchase vehicles that are necessary to operate its lease and rental division. Furthermore, management will continue to authorize capital expenditures for new dealerships and expansion of existing dealership facilities based on market opportunities.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first quarter of 2006, operating activities resulted in net cash provided by operations of $27.4 million. Cash provided by operations was primarily due to net income of $11.6 million coupled with provisions for depreciation and amortization of $6.0 million, an increase of $1.0 million in the stock-based compensation expense related to employee stock options and employee stock purchases under the Employee Stock Purchase Plan, an increase in provisions for deferred income tax of $0.5 million, an increase of accounts payable and accrued expenses of $5.5 million, and a decrease in accounts receivable of $9.8 million, which was offset by increases in inventories of $6.3 million and an increase of $0.6 million in excess tax benefits from stock-based compensation.</w:t>
      </w:r>
    </w:p>
    <w:p>
      <w:pPr>
        <w:spacing w:after="0" w:line="19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During the first quarter of 2006, the Company used $30.3 million in investing activities. This consisted of purchases of property and equipment of $9.5 million and business acquisitions of $22.0 million which were offset by proceeds from the sale of property and equipment of $1.5 million. Property and equipment purchases are primarily related to the purchase of additional units for the rental and leasing operations of $5.8 million during the first quarter of 2006. The Company expects to purchase more trucks for its leasing operations in 2006 based on expected increases in customer demand. The Company expects to make capital expenditures for recurring items such as computers, shop equipment and vehicles of approximately $9.0 million in 2006.</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quarter of 2006, the Company used $8.9 million in financing activities. Net cash used in financing activities primarily consisted of an increase in notes payable of $14.5 million, and issuance of shares related to the exercise of employee stock options and employee stock purchases under the Employee Stock Purchase Plan of $0.6 million, and excess tax benefits from stock-based compensation of $0.6 million, offset by net payments of floor plan notes payable of $8.6 million, principal payments on notes payable of $15.7 million. The notes payable primarily relate to the refinancing of the Company’s aircraft.</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March 31, 2006, the Company had approximately $297.5 million outstanding under its floor plan financing agreement with GE Capital.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construction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10 days of the sale. If the construction equipment financed by John Deere is not sold within the interest free finance period, it is transferred to the CitiCapital floor plan arrangement. The Company makes</w:t>
      </w:r>
    </w:p>
    <w:p>
      <w:pPr>
        <w:spacing w:after="0" w:line="2"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principal payments for sold inventory to CitiCapital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w:t>
      </w:r>
    </w:p>
    <w:p>
      <w:pPr>
        <w:sectPr>
          <w:pgSz w:w="11900" w:h="16909" w:orient="portrait"/>
          <w:cols w:equalWidth="0" w:num="1">
            <w:col w:w="11420"/>
          </w:cols>
          <w:pgMar w:left="240" w:top="341" w:right="239" w:bottom="0" w:gutter="0" w:footer="0" w:header="0"/>
        </w:sectPr>
      </w:pPr>
    </w:p>
    <w:bookmarkStart w:id="14" w:name="page15"/>
    <w:bookmarkEnd w:id="14"/>
    <w:p>
      <w:pPr>
        <w:spacing w:after="0" w:line="1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commence loan principal repayments on rental construction equipment as book value reduces. Principal payments on used construction equipment sales are made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March 31, 2006, the Company’s floor plan arrangement with CitiCapital permits the financing of up to $13.5 million in construction equipment. On March 31, 2006, the Company had $3.5 million outstanding under its floor plan financing arrangement with John Deere and $6.2 million outstanding under its floor plan financing arrangement with CitiCapital.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On March 31, 2006, the Company’s backlog of truck orders was approximately $650.0 million as compared to a backlog of truck orders of approximately $517.3 million on March 31, 2005. The Company includes only confirmed orders in its backlog. It currently takes between 14 days and six months for the Company to receive delivery of a truck once a customer special order is placed depending on the truck specifications and demand for the particular model ordered. The Company sells the majority of its new trucks by customer special order, with the remainder sold out of inventory. </w:t>
      </w:r>
      <w:r>
        <w:rPr>
          <w:rFonts w:ascii="Arial" w:cs="Arial" w:eastAsia="Arial" w:hAnsi="Arial"/>
          <w:sz w:val="15"/>
          <w:szCs w:val="15"/>
          <w:color w:val="auto"/>
        </w:rPr>
        <w:t>Orders from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 of the Company’s major fleet customers are included in the Company’s backlog as of March 31,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A.C.T. Research, industry-wide domestic retail sales of Class 8 trucks in 2005 totaled approximately 259,000 units. A.C.T. Research currently forecasts U.S. heavy-duty new truck sales to increase to approximately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275,000 units in 2006 and decrease to 180,000 units in 2007.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operations are subject to numerous federal, state and local laws and regulations, including laws and regulations designed to protect the environment by regulating the discharge of materials into the environment. EPA diesel emission guidelines have a major impact on our operations. The EPA mandated that diesel engine manufacturers meet new, stricter emissions guidelines regarding nitrous oxides for all engines built subsequent to October 1, 2002 and the EPA has placed additional guidelines, further restricting the emissions of nitrous oxides for all diesel engines built subsequent to January 1, 2007. In early 2002, the heavy-duty truck industry experienced an increased demand for trucks, as it historically has in the months preceding the effective date of a change in EPA emission guidelines; this period of increased demand was followed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by a decrease in demand in the months subsequent to the change. The Company believes that the 2007 emission guidelines will cause demand for heavy-duty trucks to remain high through 2006 and the first quarter of 2007. The Company expects a decrease in truck sales during the second and third quarters of 2007 due to the new diesel engine emission guidelines and for sales to rebound in the fourth quarter of 2007. The severity of the decrease in demand for trucks in 2007 will depend upon several factors including, without limitation, new diesel engine prices, the results of tests on the new diesel engines designed to meet the 2007 standards and projected maintenance and operation costs of the new diesel engines and general economic conditions at the time. Industry expectations are for the new engines to add $6,000 to $8,000 to the cost of a new Class 8 truck and increase maintenance and operating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March 31, 2006, the Company had floor plan borrowings of approximately $307.4 million. Assuming an increase in the LIBOR rate of interest of 100 basis points, interest expense could increase by approximately $3.1 million in 2006. The interest rate variability on all other debt would not have a material adverse effect on the Company’s financial position or results of operations. The Company provides all customer financing opportunities to various finance providers. The Company receives all finance charges in excess of a negotiated discount rate from the finance providers in the month following the date of the financing. The</w:t>
      </w:r>
    </w:p>
    <w:p>
      <w:pPr>
        <w:sectPr>
          <w:pgSz w:w="11900" w:h="16948" w:orient="portrait"/>
          <w:cols w:equalWidth="0" w:num="1">
            <w:col w:w="11420"/>
          </w:cols>
          <w:pgMar w:left="240" w:top="125" w:right="239" w:bottom="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negotiated discount rate is variable, thus subject to interest rate fluctuations. This interest rate risk is mitigated by the Company’s ability to pass discount rate increases to customers through higher financing rates.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of $121.3 million at March 31, 2006. These funds are generally invested in highly liquid money market accounts, government-sponsored enterprises and corporate bonds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interest income could correspondingly increase or decrease by approximately $1.2 million in 2006. We have not used derivative financial instruments in our investment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2006 to provide reasonable assurance that information required to be disclosed in the reports filed or submitted under the Securities Exchange Act of 1934 is recorded, processed, summarized and reported within the time periods specified in the Securities and Exchange Commission’s rules and forms.</w:t>
      </w:r>
    </w:p>
    <w:p>
      <w:pPr>
        <w:spacing w:after="0" w:line="15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March 31, 2006 that has materially affected, or is reasonably likely to materially affect, the Company’s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risk factors from those disclosed in our 2005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960" w:right="380" w:hanging="647"/>
        <w:spacing w:after="0" w:line="277" w:lineRule="auto"/>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the Registrant (incorporated herein by reference to Exhibit 3.1 of the Company’s Annual Report on Form 10-K (File No. 000-20797), for the year ended December 31, 2004).</w:t>
      </w:r>
    </w:p>
    <w:p>
      <w:pPr>
        <w:spacing w:after="0" w:line="170" w:lineRule="exact"/>
        <w:rPr>
          <w:sz w:val="20"/>
          <w:szCs w:val="20"/>
          <w:color w:val="auto"/>
        </w:rPr>
      </w:pPr>
    </w:p>
    <w:p>
      <w:pPr>
        <w:ind w:left="1960" w:right="260" w:hanging="647"/>
        <w:spacing w:after="0" w:line="277" w:lineRule="auto"/>
        <w:tabs>
          <w:tab w:leader="none" w:pos="1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the Registrant, as amended and restated (incorporated herein by reference to Exhibit 3.3 of the Company’s Form 8-A (File No. 000-20797) filed July 9, 2002).</w:t>
      </w:r>
    </w:p>
    <w:p>
      <w:pPr>
        <w:spacing w:after="0" w:line="170" w:lineRule="exact"/>
        <w:rPr>
          <w:sz w:val="20"/>
          <w:szCs w:val="20"/>
          <w:color w:val="auto"/>
        </w:rPr>
      </w:pPr>
    </w:p>
    <w:p>
      <w:pPr>
        <w:ind w:left="1960" w:right="380" w:hanging="647"/>
        <w:spacing w:after="0" w:line="264" w:lineRule="auto"/>
        <w:tabs>
          <w:tab w:leader="none" w:pos="1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to Continuing Guaranty, dated March 6, 2006, by and between General Electric Capital Corporation and Rush Enterprises, Inc. (incorporated herein by reference to Exhibit 10.1 of the Company’s Current Report on Form 8-K (File No. 0-20797) filed April 28, 2006).</w:t>
      </w:r>
    </w:p>
    <w:p>
      <w:pPr>
        <w:spacing w:after="0" w:line="181" w:lineRule="exact"/>
        <w:rPr>
          <w:sz w:val="20"/>
          <w:szCs w:val="20"/>
          <w:color w:val="auto"/>
        </w:rPr>
      </w:pPr>
    </w:p>
    <w:p>
      <w:pPr>
        <w:ind w:left="1960" w:right="100" w:hanging="647"/>
        <w:spacing w:after="0" w:line="264" w:lineRule="auto"/>
        <w:tabs>
          <w:tab w:leader="none" w:pos="1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Continuing Guaranty, dated September 20, 2005, by and between General Electric Capital Corporation and Rush Enterprises, Inc. (incorporated herein by reference to Exhibit 10.4 of the Company’s Current Report on Form 8-K (File No. 000-20797) filed September 23, 2005).</w:t>
      </w:r>
    </w:p>
    <w:p>
      <w:pPr>
        <w:sectPr>
          <w:pgSz w:w="11900" w:h="16838" w:orient="portrait"/>
          <w:cols w:equalWidth="0" w:num="1">
            <w:col w:w="11400"/>
          </w:cols>
          <w:pgMar w:left="240" w:top="125" w:right="259" w:bottom="69" w:gutter="0" w:footer="0" w:header="0"/>
        </w:sectPr>
      </w:pPr>
    </w:p>
    <w:bookmarkStart w:id="16" w:name="page17"/>
    <w:bookmarkEnd w:id="16"/>
    <w:p>
      <w:pPr>
        <w:ind w:left="1300"/>
        <w:spacing w:after="0"/>
        <w:tabs>
          <w:tab w:leader="none" w:pos="1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pursuant to 18 U.S.C. Section 1350 as adopted pursuant to Section 906 of the Sarbanes-Oxley Act of 2002.</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RUSH ENTERPRISES,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4"/>
          </w:tcPr>
          <w:p>
            <w:pPr>
              <w:ind w:left="260"/>
              <w:spacing w:after="0"/>
              <w:rPr>
                <w:sz w:val="20"/>
                <w:szCs w:val="20"/>
                <w:color w:val="auto"/>
              </w:rPr>
            </w:pPr>
            <w:r>
              <w:rPr>
                <w:rFonts w:ascii="Arial" w:cs="Arial" w:eastAsia="Arial" w:hAnsi="Arial"/>
                <w:sz w:val="18"/>
                <w:szCs w:val="18"/>
                <w:color w:val="auto"/>
              </w:rPr>
              <w:t>May 10, 2006</w:t>
            </w:r>
          </w:p>
        </w:tc>
        <w:tc>
          <w:tcPr>
            <w:tcW w:w="3700" w:type="dxa"/>
            <w:vAlign w:val="bottom"/>
          </w:tcPr>
          <w:p>
            <w:pPr>
              <w:ind w:left="314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4"/>
          </w:tcPr>
          <w:p>
            <w:pPr>
              <w:ind w:left="260"/>
              <w:spacing w:after="0"/>
              <w:rPr>
                <w:sz w:val="20"/>
                <w:szCs w:val="20"/>
                <w:color w:val="auto"/>
              </w:rPr>
            </w:pPr>
            <w:r>
              <w:rPr>
                <w:rFonts w:ascii="Arial" w:cs="Arial" w:eastAsia="Arial" w:hAnsi="Arial"/>
                <w:sz w:val="18"/>
                <w:szCs w:val="18"/>
                <w:color w:val="auto"/>
              </w:rPr>
              <w:t>May 10, 2006</w:t>
            </w:r>
          </w:p>
        </w:tc>
        <w:tc>
          <w:tcPr>
            <w:tcW w:w="3700" w:type="dxa"/>
            <w:vAlign w:val="bottom"/>
          </w:tcPr>
          <w:p>
            <w:pPr>
              <w:ind w:left="314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tcPr>
          <w:p>
            <w:pPr>
              <w:jc w:val="center"/>
              <w:ind w:left="873"/>
              <w:spacing w:after="0"/>
              <w:rPr>
                <w:sz w:val="20"/>
                <w:szCs w:val="20"/>
                <w:color w:val="auto"/>
              </w:rPr>
            </w:pPr>
            <w:r>
              <w:rPr>
                <w:rFonts w:ascii="Arial" w:cs="Arial" w:eastAsia="Arial" w:hAnsi="Arial"/>
                <w:sz w:val="18"/>
                <w:szCs w:val="18"/>
                <w:color w:val="auto"/>
                <w:w w:val="89"/>
              </w:rPr>
              <w:t>26</w:t>
            </w: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tcPr>
          <w:p>
            <w:pPr>
              <w:jc w:val="center"/>
              <w:ind w:left="873"/>
              <w:spacing w:after="0"/>
              <w:rPr>
                <w:sz w:val="20"/>
                <w:szCs w:val="20"/>
                <w:color w:val="auto"/>
              </w:rPr>
            </w:pPr>
            <w:r>
              <w:rPr>
                <w:rFonts w:ascii="Arial" w:cs="Arial" w:eastAsia="Arial" w:hAnsi="Arial"/>
                <w:sz w:val="18"/>
                <w:szCs w:val="18"/>
                <w:b w:val="1"/>
                <w:bCs w:val="1"/>
                <w:color w:val="auto"/>
              </w:rPr>
              <w:t>EXHIBIT INDEX</w:t>
            </w: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vMerge w:val="continue"/>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31.1</w:t>
            </w:r>
          </w:p>
        </w:tc>
        <w:tc>
          <w:tcPr>
            <w:tcW w:w="10280" w:type="dxa"/>
            <w:vAlign w:val="bottom"/>
            <w:gridSpan w:val="4"/>
          </w:tcPr>
          <w:p>
            <w:pPr>
              <w:ind w:left="320"/>
              <w:spacing w:after="0"/>
              <w:rPr>
                <w:sz w:val="20"/>
                <w:szCs w:val="20"/>
                <w:color w:val="auto"/>
              </w:rPr>
            </w:pPr>
            <w:r>
              <w:rPr>
                <w:rFonts w:ascii="Arial" w:cs="Arial" w:eastAsia="Arial" w:hAnsi="Arial"/>
                <w:sz w:val="18"/>
                <w:szCs w:val="18"/>
                <w:color w:val="auto"/>
                <w:w w:val="94"/>
              </w:rPr>
              <w:t>Certification of CEO pursuant to Rules 13a-14(a) and 15d-14(a) adopted pursuant to Section 302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31.2</w:t>
            </w:r>
          </w:p>
        </w:tc>
        <w:tc>
          <w:tcPr>
            <w:tcW w:w="10280" w:type="dxa"/>
            <w:vAlign w:val="bottom"/>
            <w:gridSpan w:val="4"/>
          </w:tcPr>
          <w:p>
            <w:pPr>
              <w:ind w:left="320"/>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32.1</w:t>
            </w:r>
          </w:p>
        </w:tc>
        <w:tc>
          <w:tcPr>
            <w:tcW w:w="10280" w:type="dxa"/>
            <w:vAlign w:val="bottom"/>
            <w:gridSpan w:val="4"/>
          </w:tcPr>
          <w:p>
            <w:pPr>
              <w:ind w:left="320"/>
              <w:spacing w:after="0"/>
              <w:rPr>
                <w:sz w:val="20"/>
                <w:szCs w:val="20"/>
                <w:color w:val="auto"/>
              </w:rPr>
            </w:pPr>
            <w:r>
              <w:rPr>
                <w:rFonts w:ascii="Arial" w:cs="Arial" w:eastAsia="Arial" w:hAnsi="Arial"/>
                <w:sz w:val="18"/>
                <w:szCs w:val="18"/>
                <w:color w:val="auto"/>
                <w:w w:val="97"/>
              </w:rPr>
              <w:t>Certification of CEO pursuant to 18 U.S.C. Section 1350 as adopted pursuant to Section 906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32.2</w:t>
            </w:r>
          </w:p>
        </w:tc>
        <w:tc>
          <w:tcPr>
            <w:tcW w:w="10280" w:type="dxa"/>
            <w:vAlign w:val="bottom"/>
            <w:gridSpan w:val="4"/>
          </w:tcPr>
          <w:p>
            <w:pPr>
              <w:ind w:left="320"/>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tcPr>
          <w:p>
            <w:pPr>
              <w:jc w:val="center"/>
              <w:ind w:left="873"/>
              <w:spacing w:after="0"/>
              <w:rPr>
                <w:sz w:val="20"/>
                <w:szCs w:val="20"/>
                <w:color w:val="auto"/>
              </w:rPr>
            </w:pPr>
            <w:r>
              <w:rPr>
                <w:rFonts w:ascii="Arial" w:cs="Arial" w:eastAsia="Arial" w:hAnsi="Arial"/>
                <w:sz w:val="18"/>
                <w:szCs w:val="18"/>
                <w:color w:val="auto"/>
                <w:w w:val="89"/>
              </w:rPr>
              <w:t>27</w:t>
            </w: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-2303780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32"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42" w:lineRule="auto"/>
        <w:tabs>
          <w:tab w:leader="none" w:pos="1268"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00" w:firstLine="656"/>
        <w:spacing w:after="0" w:line="264"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268"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760" w:val="left"/>
          <w:tab w:leader="none" w:pos="6580" w:val="left"/>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W.M. “RUSTY” RUSH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8"/>
        <w:spacing w:after="0" w:line="277"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40" w:firstLine="656"/>
        <w:spacing w:after="0" w:line="264" w:lineRule="auto"/>
        <w:tabs>
          <w:tab w:leader="none" w:pos="126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60" w:firstLine="656"/>
        <w:spacing w:after="0" w:line="342" w:lineRule="auto"/>
        <w:tabs>
          <w:tab w:leader="none" w:pos="1268"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2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8"/>
        <w:spacing w:after="0" w:line="308" w:lineRule="auto"/>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80" w:firstLine="656"/>
        <w:spacing w:after="0" w:line="308" w:lineRule="auto"/>
        <w:tabs>
          <w:tab w:leader="none" w:pos="1268"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May 10, 2006</w:t>
            </w:r>
          </w:p>
        </w:tc>
        <w:tc>
          <w:tcPr>
            <w:tcW w:w="2840" w:type="dxa"/>
            <w:vAlign w:val="bottom"/>
          </w:tcPr>
          <w:p>
            <w:pPr>
              <w:jc w:val="right"/>
              <w:ind w:right="31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2006,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5660" w:type="dxa"/>
            <w:vAlign w:val="bottom"/>
          </w:tcPr>
          <w:p>
            <w:pPr>
              <w:ind w:left="120"/>
              <w:spacing w:after="0"/>
              <w:rPr>
                <w:sz w:val="20"/>
                <w:szCs w:val="20"/>
                <w:color w:val="auto"/>
              </w:rPr>
            </w:pPr>
            <w:r>
              <w:rPr>
                <w:rFonts w:ascii="Arial" w:cs="Arial" w:eastAsia="Arial" w:hAnsi="Arial"/>
                <w:sz w:val="18"/>
                <w:szCs w:val="18"/>
                <w:color w:val="auto"/>
              </w:rPr>
              <w:t>/S/ W.M. “RUSTY” RUSH</w:t>
            </w:r>
          </w:p>
        </w:tc>
      </w:tr>
      <w:tr>
        <w:trPr>
          <w:trHeight w:val="195"/>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240" w:type="dxa"/>
            <w:vAlign w:val="bottom"/>
            <w:tcBorders>
              <w:top w:val="single" w:sz="8" w:color="auto"/>
            </w:tcBorders>
          </w:tcPr>
          <w:p>
            <w:pPr>
              <w:spacing w:after="0"/>
              <w:rPr>
                <w:sz w:val="16"/>
                <w:szCs w:val="16"/>
                <w:color w:val="auto"/>
              </w:rPr>
            </w:pPr>
          </w:p>
        </w:tc>
        <w:tc>
          <w:tcPr>
            <w:tcW w:w="56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5660" w:type="dxa"/>
            <w:vAlign w:val="bottom"/>
          </w:tcPr>
          <w:p>
            <w:pPr>
              <w:ind w:left="120"/>
              <w:spacing w:after="0"/>
              <w:rPr>
                <w:sz w:val="20"/>
                <w:szCs w:val="20"/>
                <w:color w:val="auto"/>
              </w:rPr>
            </w:pPr>
            <w:r>
              <w:rPr>
                <w:rFonts w:ascii="Arial" w:cs="Arial" w:eastAsia="Arial" w:hAnsi="Arial"/>
                <w:sz w:val="18"/>
                <w:szCs w:val="18"/>
                <w:color w:val="auto"/>
              </w:rPr>
              <w:t>May 10, 2006</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2006,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spacing w:after="0"/>
              <w:rPr>
                <w:sz w:val="20"/>
                <w:szCs w:val="20"/>
                <w:color w:val="auto"/>
              </w:rPr>
            </w:pPr>
            <w:r>
              <w:rPr>
                <w:rFonts w:ascii="Arial" w:cs="Arial" w:eastAsia="Arial" w:hAnsi="Arial"/>
                <w:sz w:val="18"/>
                <w:szCs w:val="18"/>
                <w:color w:val="auto"/>
              </w:rPr>
              <w:t>May 10, 2006</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2019-12-12T11:51:41Z</dcterms:created>
  <dcterms:modified xsi:type="dcterms:W3CDTF">2019-12-12T11:51:41Z</dcterms:modified>
</cp:coreProperties>
</file>