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6"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8"/>
          <w:szCs w:val="18"/>
          <w:b w:val="1"/>
          <w:bCs w:val="1"/>
          <w:color w:val="auto"/>
        </w:rPr>
        <w:t>For the quarterly period ended September 30, 2013</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right="2320" w:firstLine="8"/>
        <w:spacing w:after="0" w:line="563" w:lineRule="auto"/>
        <w:tabs>
          <w:tab w:leader="none" w:pos="105" w:val="left"/>
        </w:tabs>
        <w:numPr>
          <w:ilvl w:val="0"/>
          <w:numId w:val="2"/>
        </w:numPr>
        <w:rPr>
          <w:rFonts w:ascii="Arial" w:cs="Arial" w:eastAsia="Arial" w:hAnsi="Arial"/>
          <w:sz w:val="16"/>
          <w:szCs w:val="16"/>
          <w:color w:val="auto"/>
        </w:rPr>
      </w:pPr>
      <w:r>
        <w:rPr>
          <w:rFonts w:ascii="Arial" w:cs="Arial" w:eastAsia="Arial" w:hAnsi="Arial"/>
          <w:sz w:val="16"/>
          <w:szCs w:val="16"/>
          <w:color w:val="auto"/>
        </w:rPr>
        <w:t>) TRANSITION REPORT PURSUANT TO SECTION 13 OR 15(d) OF THE SECURITIES EXCHANGE ACT OF 1934 For the transition period from ___________________________ to ____________________________________________</w:t>
      </w:r>
    </w:p>
    <w:p>
      <w:pPr>
        <w:spacing w:after="0" w:line="1"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p>
        </w:tc>
        <w:tc>
          <w:tcPr>
            <w:tcW w:w="6460" w:type="dxa"/>
            <w:vAlign w:val="bottom"/>
          </w:tcPr>
          <w:p>
            <w:pPr>
              <w:jc w:val="center"/>
              <w:ind w:right="2410"/>
              <w:spacing w:after="0"/>
              <w:rPr>
                <w:sz w:val="20"/>
                <w:szCs w:val="20"/>
                <w:color w:val="auto"/>
              </w:rPr>
            </w:pPr>
            <w:r>
              <w:rPr>
                <w:rFonts w:ascii="Arial" w:cs="Arial" w:eastAsia="Arial" w:hAnsi="Arial"/>
                <w:sz w:val="18"/>
                <w:szCs w:val="18"/>
                <w:color w:val="auto"/>
                <w:w w:val="92"/>
              </w:rPr>
              <w:t>Commission File Number 0-20797</w:t>
            </w:r>
          </w:p>
        </w:tc>
      </w:tr>
      <w:tr>
        <w:trPr>
          <w:trHeight w:val="688"/>
        </w:trPr>
        <w:tc>
          <w:tcPr>
            <w:tcW w:w="2220" w:type="dxa"/>
            <w:vAlign w:val="bottom"/>
          </w:tcPr>
          <w:p>
            <w:pPr>
              <w:spacing w:after="0"/>
              <w:rPr>
                <w:sz w:val="24"/>
                <w:szCs w:val="24"/>
                <w:color w:val="auto"/>
              </w:rPr>
            </w:pPr>
          </w:p>
        </w:tc>
        <w:tc>
          <w:tcPr>
            <w:tcW w:w="6460" w:type="dxa"/>
            <w:vAlign w:val="bottom"/>
          </w:tcPr>
          <w:p>
            <w:pPr>
              <w:jc w:val="center"/>
              <w:ind w:right="2430"/>
              <w:spacing w:after="0"/>
              <w:rPr>
                <w:sz w:val="20"/>
                <w:szCs w:val="20"/>
                <w:color w:val="auto"/>
              </w:rPr>
            </w:pPr>
            <w:r>
              <w:rPr>
                <w:rFonts w:ascii="Arial" w:cs="Arial" w:eastAsia="Arial" w:hAnsi="Arial"/>
                <w:sz w:val="18"/>
                <w:szCs w:val="18"/>
                <w:b w:val="1"/>
                <w:bCs w:val="1"/>
                <w:color w:val="auto"/>
                <w:w w:val="98"/>
              </w:rPr>
              <w:t>RUSH ENTERPRISES, INC.</w:t>
            </w:r>
          </w:p>
        </w:tc>
      </w:tr>
      <w:tr>
        <w:trPr>
          <w:trHeight w:val="230"/>
        </w:trPr>
        <w:tc>
          <w:tcPr>
            <w:tcW w:w="2220" w:type="dxa"/>
            <w:vAlign w:val="bottom"/>
          </w:tcPr>
          <w:p>
            <w:pPr>
              <w:spacing w:after="0"/>
              <w:rPr>
                <w:sz w:val="20"/>
                <w:szCs w:val="20"/>
                <w:color w:val="auto"/>
              </w:rPr>
            </w:pPr>
          </w:p>
        </w:tc>
        <w:tc>
          <w:tcPr>
            <w:tcW w:w="6460" w:type="dxa"/>
            <w:vAlign w:val="bottom"/>
          </w:tcPr>
          <w:p>
            <w:pPr>
              <w:jc w:val="center"/>
              <w:ind w:right="241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2220" w:type="dxa"/>
            <w:vAlign w:val="bottom"/>
          </w:tcPr>
          <w:p>
            <w:pPr>
              <w:ind w:left="920"/>
              <w:spacing w:after="0"/>
              <w:rPr>
                <w:sz w:val="20"/>
                <w:szCs w:val="20"/>
                <w:color w:val="auto"/>
              </w:rPr>
            </w:pPr>
            <w:r>
              <w:rPr>
                <w:rFonts w:ascii="Arial" w:cs="Arial" w:eastAsia="Arial" w:hAnsi="Arial"/>
                <w:sz w:val="18"/>
                <w:szCs w:val="18"/>
                <w:color w:val="auto"/>
              </w:rPr>
              <w:t>Texas</w:t>
            </w:r>
          </w:p>
        </w:tc>
        <w:tc>
          <w:tcPr>
            <w:tcW w:w="6460" w:type="dxa"/>
            <w:vAlign w:val="bottom"/>
          </w:tcPr>
          <w:p>
            <w:pPr>
              <w:jc w:val="right"/>
              <w:ind w:right="790"/>
              <w:spacing w:after="0"/>
              <w:rPr>
                <w:sz w:val="20"/>
                <w:szCs w:val="20"/>
                <w:color w:val="auto"/>
              </w:rPr>
            </w:pPr>
            <w:r>
              <w:rPr>
                <w:rFonts w:ascii="Arial" w:cs="Arial" w:eastAsia="Arial" w:hAnsi="Arial"/>
                <w:sz w:val="18"/>
                <w:szCs w:val="18"/>
                <w:color w:val="auto"/>
              </w:rPr>
              <w:t>74-1733016</w:t>
            </w:r>
          </w:p>
        </w:tc>
      </w:tr>
      <w:tr>
        <w:trPr>
          <w:trHeight w:val="216"/>
        </w:trPr>
        <w:tc>
          <w:tcPr>
            <w:tcW w:w="222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6460" w:type="dxa"/>
            <w:vAlign w:val="bottom"/>
          </w:tcPr>
          <w:p>
            <w:pPr>
              <w:jc w:val="center"/>
              <w:ind w:left="377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2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6460" w:type="dxa"/>
            <w:vAlign w:val="bottom"/>
          </w:tcPr>
          <w:p>
            <w:pPr>
              <w:spacing w:after="0"/>
              <w:rPr>
                <w:sz w:val="20"/>
                <w:szCs w:val="20"/>
                <w:color w:val="auto"/>
              </w:rPr>
            </w:pPr>
          </w:p>
        </w:tc>
      </w:tr>
      <w:tr>
        <w:trPr>
          <w:trHeight w:val="634"/>
        </w:trPr>
        <w:tc>
          <w:tcPr>
            <w:tcW w:w="2220" w:type="dxa"/>
            <w:vAlign w:val="bottom"/>
          </w:tcPr>
          <w:p>
            <w:pPr>
              <w:spacing w:after="0"/>
              <w:rPr>
                <w:sz w:val="24"/>
                <w:szCs w:val="24"/>
                <w:color w:val="auto"/>
              </w:rPr>
            </w:pPr>
          </w:p>
        </w:tc>
        <w:tc>
          <w:tcPr>
            <w:tcW w:w="6460" w:type="dxa"/>
            <w:vAlign w:val="bottom"/>
          </w:tcPr>
          <w:p>
            <w:pPr>
              <w:jc w:val="center"/>
              <w:ind w:right="2430"/>
              <w:spacing w:after="0"/>
              <w:rPr>
                <w:sz w:val="20"/>
                <w:szCs w:val="20"/>
                <w:color w:val="auto"/>
              </w:rPr>
            </w:pPr>
            <w:r>
              <w:rPr>
                <w:rFonts w:ascii="Arial" w:cs="Arial" w:eastAsia="Arial" w:hAnsi="Arial"/>
                <w:sz w:val="18"/>
                <w:szCs w:val="18"/>
                <w:color w:val="auto"/>
                <w:w w:val="91"/>
              </w:rPr>
              <w:t>555 I.H. 35 South, Suite 500</w:t>
            </w:r>
          </w:p>
        </w:tc>
      </w:tr>
      <w:tr>
        <w:trPr>
          <w:trHeight w:val="216"/>
        </w:trPr>
        <w:tc>
          <w:tcPr>
            <w:tcW w:w="2220" w:type="dxa"/>
            <w:vAlign w:val="bottom"/>
          </w:tcPr>
          <w:p>
            <w:pPr>
              <w:spacing w:after="0"/>
              <w:rPr>
                <w:sz w:val="18"/>
                <w:szCs w:val="18"/>
                <w:color w:val="auto"/>
              </w:rPr>
            </w:pPr>
          </w:p>
        </w:tc>
        <w:tc>
          <w:tcPr>
            <w:tcW w:w="6460" w:type="dxa"/>
            <w:vAlign w:val="bottom"/>
          </w:tcPr>
          <w:p>
            <w:pPr>
              <w:jc w:val="center"/>
              <w:ind w:right="2410"/>
              <w:spacing w:after="0"/>
              <w:rPr>
                <w:sz w:val="20"/>
                <w:szCs w:val="20"/>
                <w:color w:val="auto"/>
              </w:rPr>
            </w:pPr>
            <w:r>
              <w:rPr>
                <w:rFonts w:ascii="Arial" w:cs="Arial" w:eastAsia="Arial" w:hAnsi="Arial"/>
                <w:sz w:val="18"/>
                <w:szCs w:val="18"/>
                <w:color w:val="auto"/>
                <w:w w:val="89"/>
              </w:rPr>
              <w:t>New Braunfels, Texas 78130</w:t>
            </w:r>
          </w:p>
        </w:tc>
      </w:tr>
      <w:tr>
        <w:trPr>
          <w:trHeight w:val="216"/>
        </w:trPr>
        <w:tc>
          <w:tcPr>
            <w:tcW w:w="2220" w:type="dxa"/>
            <w:vAlign w:val="bottom"/>
          </w:tcPr>
          <w:p>
            <w:pPr>
              <w:spacing w:after="0"/>
              <w:rPr>
                <w:sz w:val="18"/>
                <w:szCs w:val="18"/>
                <w:color w:val="auto"/>
              </w:rPr>
            </w:pPr>
          </w:p>
        </w:tc>
        <w:tc>
          <w:tcPr>
            <w:tcW w:w="6460" w:type="dxa"/>
            <w:vAlign w:val="bottom"/>
          </w:tcPr>
          <w:p>
            <w:pPr>
              <w:jc w:val="center"/>
              <w:ind w:right="2430"/>
              <w:spacing w:after="0"/>
              <w:rPr>
                <w:sz w:val="20"/>
                <w:szCs w:val="20"/>
                <w:color w:val="auto"/>
              </w:rPr>
            </w:pPr>
            <w:r>
              <w:rPr>
                <w:rFonts w:ascii="Arial" w:cs="Arial" w:eastAsia="Arial" w:hAnsi="Arial"/>
                <w:sz w:val="18"/>
                <w:szCs w:val="18"/>
                <w:color w:val="auto"/>
                <w:w w:val="92"/>
              </w:rPr>
              <w:t>(Address of principal executive offices)</w:t>
            </w:r>
          </w:p>
        </w:tc>
      </w:tr>
      <w:tr>
        <w:trPr>
          <w:trHeight w:val="230"/>
        </w:trPr>
        <w:tc>
          <w:tcPr>
            <w:tcW w:w="2220" w:type="dxa"/>
            <w:vAlign w:val="bottom"/>
          </w:tcPr>
          <w:p>
            <w:pPr>
              <w:spacing w:after="0"/>
              <w:rPr>
                <w:sz w:val="20"/>
                <w:szCs w:val="20"/>
                <w:color w:val="auto"/>
              </w:rPr>
            </w:pPr>
          </w:p>
        </w:tc>
        <w:tc>
          <w:tcPr>
            <w:tcW w:w="6460" w:type="dxa"/>
            <w:vAlign w:val="bottom"/>
          </w:tcPr>
          <w:p>
            <w:pPr>
              <w:jc w:val="center"/>
              <w:ind w:right="2410"/>
              <w:spacing w:after="0"/>
              <w:rPr>
                <w:sz w:val="20"/>
                <w:szCs w:val="20"/>
                <w:color w:val="auto"/>
              </w:rPr>
            </w:pPr>
            <w:r>
              <w:rPr>
                <w:rFonts w:ascii="Arial" w:cs="Arial" w:eastAsia="Arial" w:hAnsi="Arial"/>
                <w:sz w:val="18"/>
                <w:szCs w:val="18"/>
                <w:color w:val="auto"/>
                <w:w w:val="94"/>
              </w:rPr>
              <w:t>(Zip Code)</w:t>
            </w:r>
          </w:p>
        </w:tc>
      </w:tr>
      <w:tr>
        <w:trPr>
          <w:trHeight w:val="418"/>
        </w:trPr>
        <w:tc>
          <w:tcPr>
            <w:tcW w:w="2220" w:type="dxa"/>
            <w:vAlign w:val="bottom"/>
          </w:tcPr>
          <w:p>
            <w:pPr>
              <w:spacing w:after="0"/>
              <w:rPr>
                <w:sz w:val="24"/>
                <w:szCs w:val="24"/>
                <w:color w:val="auto"/>
              </w:rPr>
            </w:pPr>
          </w:p>
        </w:tc>
        <w:tc>
          <w:tcPr>
            <w:tcW w:w="6460" w:type="dxa"/>
            <w:vAlign w:val="bottom"/>
          </w:tcPr>
          <w:p>
            <w:pPr>
              <w:jc w:val="center"/>
              <w:ind w:right="2410"/>
              <w:spacing w:after="0"/>
              <w:rPr>
                <w:sz w:val="20"/>
                <w:szCs w:val="20"/>
                <w:color w:val="auto"/>
              </w:rPr>
            </w:pPr>
            <w:r>
              <w:rPr>
                <w:rFonts w:ascii="Arial" w:cs="Arial" w:eastAsia="Arial" w:hAnsi="Arial"/>
                <w:sz w:val="18"/>
                <w:szCs w:val="18"/>
                <w:color w:val="auto"/>
                <w:w w:val="90"/>
              </w:rPr>
              <w:t>(830) 626-5200</w:t>
            </w:r>
          </w:p>
        </w:tc>
      </w:tr>
      <w:tr>
        <w:trPr>
          <w:trHeight w:val="230"/>
        </w:trPr>
        <w:tc>
          <w:tcPr>
            <w:tcW w:w="2220" w:type="dxa"/>
            <w:vAlign w:val="bottom"/>
          </w:tcPr>
          <w:p>
            <w:pPr>
              <w:spacing w:after="0"/>
              <w:rPr>
                <w:sz w:val="20"/>
                <w:szCs w:val="20"/>
                <w:color w:val="auto"/>
              </w:rPr>
            </w:pPr>
          </w:p>
        </w:tc>
        <w:tc>
          <w:tcPr>
            <w:tcW w:w="6460" w:type="dxa"/>
            <w:vAlign w:val="bottom"/>
          </w:tcPr>
          <w:p>
            <w:pPr>
              <w:jc w:val="center"/>
              <w:ind w:right="243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200" w:lineRule="exact"/>
        <w:rPr>
          <w:sz w:val="24"/>
          <w:szCs w:val="24"/>
          <w:color w:val="auto"/>
        </w:rPr>
      </w:pPr>
    </w:p>
    <w:p>
      <w:pPr>
        <w:spacing w:after="0" w:line="218" w:lineRule="exact"/>
        <w:rPr>
          <w:sz w:val="24"/>
          <w:szCs w:val="24"/>
          <w:color w:val="auto"/>
        </w:rPr>
      </w:pPr>
    </w:p>
    <w:p>
      <w:pPr>
        <w:jc w:val="both"/>
        <w:ind w:firstLine="972"/>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1" w:lineRule="exact"/>
        <w:rPr>
          <w:sz w:val="24"/>
          <w:szCs w:val="24"/>
          <w:color w:val="auto"/>
        </w:rPr>
      </w:pPr>
    </w:p>
    <w:p>
      <w:pPr>
        <w:ind w:left="4960"/>
        <w:spacing w:after="0"/>
        <w:tabs>
          <w:tab w:leader="none" w:pos="634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8"/>
          <w:szCs w:val="18"/>
          <w:color w:val="auto"/>
        </w:rPr>
        <w:t>No [ ]</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29" w:right="239" w:bottom="1440" w:gutter="0" w:footer="0" w:header="0"/>
        </w:sectPr>
      </w:pPr>
    </w:p>
    <w:p>
      <w:pPr>
        <w:spacing w:after="0" w:line="178" w:lineRule="exact"/>
        <w:rPr>
          <w:sz w:val="24"/>
          <w:szCs w:val="24"/>
          <w:color w:val="auto"/>
        </w:rPr>
      </w:pPr>
    </w:p>
    <w:p>
      <w:pPr>
        <w:ind w:left="4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w:t>
      </w:r>
    </w:p>
    <w:p>
      <w:pPr>
        <w:spacing w:after="0" w:line="432" w:lineRule="exact"/>
        <w:rPr>
          <w:sz w:val="24"/>
          <w:szCs w:val="24"/>
          <w:color w:val="auto"/>
        </w:rPr>
      </w:pPr>
    </w:p>
    <w:p>
      <w:pPr>
        <w:sectPr>
          <w:pgSz w:w="11900" w:h="16838" w:orient="portrait"/>
          <w:cols w:equalWidth="0" w:num="2">
            <w:col w:w="9500" w:space="720"/>
            <w:col w:w="1200"/>
          </w:cols>
          <w:pgMar w:left="240" w:top="229" w:right="239" w:bottom="1440" w:gutter="0" w:footer="0" w:header="0"/>
          <w:type w:val="continuous"/>
        </w:sectPr>
      </w:pPr>
    </w:p>
    <w:p>
      <w:pPr>
        <w:ind w:left="44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reporting company </w:t>
      </w:r>
      <w:r>
        <w:rPr>
          <w:rFonts w:ascii="MS PGothic" w:cs="MS PGothic" w:eastAsia="MS PGothic" w:hAnsi="MS PGothic"/>
          <w:sz w:val="18"/>
          <w:szCs w:val="18"/>
          <w:color w:val="auto"/>
        </w:rPr>
        <w:t>☐</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w:t>
      </w:r>
    </w:p>
    <w:p>
      <w:pPr>
        <w:spacing w:after="0" w:line="648" w:lineRule="exact"/>
        <w:rPr>
          <w:sz w:val="24"/>
          <w:szCs w:val="24"/>
          <w:color w:val="auto"/>
        </w:rPr>
      </w:pPr>
    </w:p>
    <w:p>
      <w:pPr>
        <w:sectPr>
          <w:pgSz w:w="11900" w:h="16838" w:orient="portrait"/>
          <w:cols w:equalWidth="0" w:num="2">
            <w:col w:w="9560" w:space="720"/>
            <w:col w:w="1140"/>
          </w:cols>
          <w:pgMar w:left="240" w:top="229" w:right="239" w:bottom="1440" w:gutter="0" w:footer="0" w:header="0"/>
          <w:type w:val="continuous"/>
        </w:sectPr>
      </w:pPr>
    </w:p>
    <w:p>
      <w:pPr>
        <w:spacing w:after="0" w:line="32"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4960"/>
        <w:spacing w:after="0"/>
        <w:tabs>
          <w:tab w:leader="none" w:pos="6260" w:val="left"/>
        </w:tabs>
        <w:rPr>
          <w:sz w:val="20"/>
          <w:szCs w:val="20"/>
          <w:color w:val="auto"/>
        </w:rPr>
      </w:pPr>
      <w:r>
        <w:rPr>
          <w:rFonts w:ascii="Arial" w:cs="Arial" w:eastAsia="Arial" w:hAnsi="Arial"/>
          <w:sz w:val="18"/>
          <w:szCs w:val="18"/>
          <w:color w:val="auto"/>
        </w:rPr>
        <w:t>Yes [ ]</w:t>
      </w:r>
      <w:r>
        <w:rPr>
          <w:sz w:val="20"/>
          <w:szCs w:val="20"/>
          <w:color w:val="auto"/>
        </w:rPr>
        <w:tab/>
      </w:r>
      <w:r>
        <w:rPr>
          <w:rFonts w:ascii="Arial" w:cs="Arial" w:eastAsia="Arial" w:hAnsi="Arial"/>
          <w:sz w:val="18"/>
          <w:szCs w:val="18"/>
          <w:color w:val="auto"/>
        </w:rPr>
        <w:t>No [X]</w:t>
      </w:r>
    </w:p>
    <w:p>
      <w:pPr>
        <w:sectPr>
          <w:pgSz w:w="11900" w:h="16838" w:orient="portrait"/>
          <w:cols w:equalWidth="0" w:num="1">
            <w:col w:w="11420"/>
          </w:cols>
          <w:pgMar w:left="240" w:top="229" w:right="239" w:bottom="1440" w:gutter="0" w:footer="0" w:header="0"/>
          <w:type w:val="continuous"/>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Indicated below is the number of shares outstanding of each of the issuer’s classes of common stock, as of November 1, 2013.</w:t>
      </w: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Number of</w:t>
            </w:r>
          </w:p>
        </w:tc>
      </w:tr>
      <w:tr>
        <w:trPr>
          <w:trHeight w:val="216"/>
        </w:trPr>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4"/>
              </w:rPr>
              <w:t>Shares</w:t>
            </w:r>
          </w:p>
        </w:tc>
      </w:tr>
      <w:tr>
        <w:trPr>
          <w:trHeight w:val="190"/>
        </w:trPr>
        <w:tc>
          <w:tcPr>
            <w:tcW w:w="940" w:type="dxa"/>
            <w:vAlign w:val="bottom"/>
          </w:tcPr>
          <w:p>
            <w:pPr>
              <w:spacing w:after="0"/>
              <w:rPr>
                <w:sz w:val="16"/>
                <w:szCs w:val="16"/>
                <w:color w:val="auto"/>
              </w:rPr>
            </w:pPr>
          </w:p>
        </w:tc>
        <w:tc>
          <w:tcPr>
            <w:tcW w:w="6320" w:type="dxa"/>
            <w:vAlign w:val="bottom"/>
            <w:gridSpan w:val="2"/>
          </w:tcPr>
          <w:p>
            <w:pPr>
              <w:jc w:val="center"/>
              <w:ind w:right="5360"/>
              <w:spacing w:after="0" w:line="190" w:lineRule="exact"/>
              <w:rPr>
                <w:sz w:val="20"/>
                <w:szCs w:val="20"/>
                <w:color w:val="auto"/>
              </w:rPr>
            </w:pPr>
            <w:r>
              <w:rPr>
                <w:rFonts w:ascii="Arial" w:cs="Arial" w:eastAsia="Arial" w:hAnsi="Arial"/>
                <w:sz w:val="18"/>
                <w:szCs w:val="18"/>
                <w:color w:val="auto"/>
                <w:w w:val="92"/>
              </w:rPr>
              <w:t>Title of Class</w:t>
            </w:r>
          </w:p>
        </w:tc>
        <w:tc>
          <w:tcPr>
            <w:tcW w:w="880" w:type="dxa"/>
            <w:vAlign w:val="bottom"/>
          </w:tcPr>
          <w:p>
            <w:pPr>
              <w:jc w:val="center"/>
              <w:spacing w:after="0" w:line="190" w:lineRule="exact"/>
              <w:rPr>
                <w:sz w:val="20"/>
                <w:szCs w:val="20"/>
                <w:color w:val="auto"/>
              </w:rPr>
            </w:pPr>
            <w:r>
              <w:rPr>
                <w:rFonts w:ascii="Arial" w:cs="Arial" w:eastAsia="Arial" w:hAnsi="Arial"/>
                <w:sz w:val="18"/>
                <w:szCs w:val="18"/>
                <w:color w:val="auto"/>
                <w:w w:val="90"/>
              </w:rPr>
              <w:t>Outstanding</w:t>
            </w:r>
          </w:p>
        </w:tc>
      </w:tr>
      <w:tr>
        <w:trPr>
          <w:trHeight w:val="20"/>
        </w:trPr>
        <w:tc>
          <w:tcPr>
            <w:tcW w:w="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22"/>
        </w:trPr>
        <w:tc>
          <w:tcPr>
            <w:tcW w:w="7260" w:type="dxa"/>
            <w:vAlign w:val="bottom"/>
            <w:gridSpan w:val="3"/>
          </w:tcPr>
          <w:p>
            <w:pPr>
              <w:jc w:val="center"/>
              <w:ind w:right="4380"/>
              <w:spacing w:after="0"/>
              <w:rPr>
                <w:sz w:val="20"/>
                <w:szCs w:val="20"/>
                <w:color w:val="auto"/>
              </w:rPr>
            </w:pPr>
            <w:r>
              <w:rPr>
                <w:rFonts w:ascii="Arial" w:cs="Arial" w:eastAsia="Arial" w:hAnsi="Arial"/>
                <w:sz w:val="18"/>
                <w:szCs w:val="18"/>
                <w:color w:val="auto"/>
                <w:w w:val="90"/>
              </w:rPr>
              <w:t>Class A Common Stock, $.01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28,859,520</w:t>
            </w:r>
          </w:p>
        </w:tc>
      </w:tr>
      <w:tr>
        <w:trPr>
          <w:trHeight w:val="230"/>
        </w:trPr>
        <w:tc>
          <w:tcPr>
            <w:tcW w:w="7260" w:type="dxa"/>
            <w:vAlign w:val="bottom"/>
            <w:gridSpan w:val="3"/>
          </w:tcPr>
          <w:p>
            <w:pPr>
              <w:jc w:val="center"/>
              <w:ind w:right="4380"/>
              <w:spacing w:after="0"/>
              <w:rPr>
                <w:sz w:val="20"/>
                <w:szCs w:val="20"/>
                <w:color w:val="auto"/>
              </w:rPr>
            </w:pPr>
            <w:r>
              <w:rPr>
                <w:rFonts w:ascii="Arial" w:cs="Arial" w:eastAsia="Arial" w:hAnsi="Arial"/>
                <w:sz w:val="18"/>
                <w:szCs w:val="18"/>
                <w:color w:val="auto"/>
                <w:w w:val="90"/>
              </w:rPr>
              <w:t>Class B Common Stock, $.01 Par Value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10,541,071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666750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8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3"/>
              </w:rPr>
              <w:t>Page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1.</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Statements</w:t>
            </w: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Balance Sheets - September 30, 2013 (unaudited) and December 31, 2012</w:t>
            </w:r>
          </w:p>
        </w:tc>
        <w:tc>
          <w:tcPr>
            <w:tcW w:w="540" w:type="dxa"/>
            <w:vAlign w:val="bottom"/>
            <w:tcBorders>
              <w:right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9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Consolidated Statements of Income and Comprehensive Income - For the Three and Nine Months Ended September 30, 2013 and</w:t>
            </w:r>
          </w:p>
        </w:tc>
        <w:tc>
          <w:tcPr>
            <w:tcW w:w="16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 (unaudited)</w:t>
            </w:r>
          </w:p>
        </w:tc>
        <w:tc>
          <w:tcPr>
            <w:tcW w:w="540" w:type="dxa"/>
            <w:vAlign w:val="bottom"/>
            <w:tcBorders>
              <w:right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 - For the Nine Months Ended September 30, 2013 and 2012 (unaudited)</w:t>
            </w:r>
          </w:p>
        </w:tc>
        <w:tc>
          <w:tcPr>
            <w:tcW w:w="540" w:type="dxa"/>
            <w:vAlign w:val="bottom"/>
            <w:tcBorders>
              <w:right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to Consolidated Financial Statements (unaudited)</w:t>
            </w:r>
          </w:p>
        </w:tc>
        <w:tc>
          <w:tcPr>
            <w:tcW w:w="540" w:type="dxa"/>
            <w:vAlign w:val="bottom"/>
            <w:tcBorders>
              <w:right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2.</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3.</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5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4.</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Controls and Procedures</w:t>
            </w:r>
          </w:p>
        </w:tc>
        <w:tc>
          <w:tcPr>
            <w:tcW w:w="5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 OTHER INFORMATION</w:t>
            </w:r>
          </w:p>
        </w:tc>
        <w:tc>
          <w:tcPr>
            <w:tcW w:w="1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1.</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Proceedings</w:t>
            </w:r>
          </w:p>
        </w:tc>
        <w:tc>
          <w:tcPr>
            <w:tcW w:w="5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5"/>
              </w:rPr>
              <w:t>Item 1A.</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Factors</w:t>
            </w:r>
          </w:p>
        </w:tc>
        <w:tc>
          <w:tcPr>
            <w:tcW w:w="5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2.</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5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3.</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w:t>
            </w:r>
          </w:p>
        </w:tc>
        <w:tc>
          <w:tcPr>
            <w:tcW w:w="5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4.</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 Safety Disclosures</w:t>
            </w:r>
          </w:p>
        </w:tc>
        <w:tc>
          <w:tcPr>
            <w:tcW w:w="540" w:type="dxa"/>
            <w:vAlign w:val="bottom"/>
            <w:tcBorders>
              <w:righ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5.</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5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Item 6.</w:t>
            </w:r>
          </w:p>
        </w:tc>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Exhibits</w:t>
            </w:r>
          </w:p>
        </w:tc>
        <w:tc>
          <w:tcPr>
            <w:tcW w:w="5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SIGNATURES</w:t>
            </w:r>
          </w:p>
        </w:tc>
        <w:tc>
          <w:tcPr>
            <w:tcW w:w="9520" w:type="dxa"/>
            <w:vAlign w:val="bottom"/>
            <w:shd w:val="clear" w:color="auto" w:fill="CCEEFF"/>
          </w:tcPr>
          <w:p>
            <w:pPr>
              <w:spacing w:after="0"/>
              <w:rPr>
                <w:sz w:val="18"/>
                <w:szCs w:val="18"/>
                <w:color w:val="auto"/>
              </w:rPr>
            </w:pPr>
          </w:p>
        </w:tc>
        <w:tc>
          <w:tcPr>
            <w:tcW w:w="54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520" w:type="dxa"/>
            <w:vAlign w:val="bottom"/>
          </w:tcPr>
          <w:p>
            <w:pPr>
              <w:ind w:left="4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9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23" w:right="1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8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0" w:type="dxa"/>
            <w:vAlign w:val="bottom"/>
            <w:gridSpan w:val="5"/>
          </w:tcPr>
          <w:p>
            <w:pPr>
              <w:jc w:val="center"/>
              <w:ind w:right="420"/>
              <w:spacing w:after="0" w:line="196" w:lineRule="exact"/>
              <w:rPr>
                <w:sz w:val="20"/>
                <w:szCs w:val="20"/>
                <w:color w:val="auto"/>
              </w:rPr>
            </w:pPr>
            <w:r>
              <w:rPr>
                <w:rFonts w:ascii="Arial" w:cs="Arial" w:eastAsia="Arial" w:hAnsi="Arial"/>
                <w:sz w:val="18"/>
                <w:szCs w:val="18"/>
                <w:b w:val="1"/>
                <w:bCs w:val="1"/>
                <w:color w:val="auto"/>
                <w:w w:val="96"/>
              </w:rPr>
              <w:t>SEPTEMBER 30, 2013 AND DECEMBER 31, 2012</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9"/>
              </w:rPr>
              <w:t>(In Thousands, Except Shares)</w:t>
            </w:r>
          </w:p>
        </w:tc>
        <w:tc>
          <w:tcPr>
            <w:tcW w:w="4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0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166,260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114,414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9,490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16,482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696,873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622,112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Goodwill,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50,555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2,045,530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1,881,566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1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100" w:type="dxa"/>
            <w:vAlign w:val="bottom"/>
            <w:gridSpan w:val="9"/>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Floor plan notes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588,370</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84,734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9,817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Trade accounts payable</w:t>
            </w:r>
          </w:p>
        </w:tc>
        <w:tc>
          <w:tcPr>
            <w:tcW w:w="14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83,126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86,067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100,953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9"/>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852,114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362,430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4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8"/>
                <w:szCs w:val="18"/>
                <w:color w:val="auto"/>
              </w:rPr>
              <w:t>35,817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134,158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123,756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9"/>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9"/>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Preferred stock, par value $.01 per share; 1,000,000 shares authorized; 0 shares outstanding in 2013 and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2012</w:t>
            </w:r>
          </w:p>
        </w:tc>
        <w:tc>
          <w:tcPr>
            <w:tcW w:w="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9"/>
          </w:tcPr>
          <w:p>
            <w:pPr>
              <w:ind w:left="160"/>
              <w:spacing w:after="0" w:line="201" w:lineRule="exact"/>
              <w:rPr>
                <w:sz w:val="20"/>
                <w:szCs w:val="20"/>
                <w:color w:val="auto"/>
              </w:rPr>
            </w:pPr>
            <w:r>
              <w:rPr>
                <w:rFonts w:ascii="Arial" w:cs="Arial" w:eastAsia="Arial" w:hAnsi="Arial"/>
                <w:sz w:val="18"/>
                <w:szCs w:val="18"/>
                <w:color w:val="auto"/>
                <w:w w:val="99"/>
              </w:rPr>
              <w:t>Common stock, par value $.01 per share; 60,000,000 class A shares and 20,000,000 class B shares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320"/>
              <w:spacing w:after="0"/>
              <w:rPr>
                <w:sz w:val="20"/>
                <w:szCs w:val="20"/>
                <w:color w:val="auto"/>
              </w:rPr>
            </w:pPr>
            <w:r>
              <w:rPr>
                <w:rFonts w:ascii="Arial" w:cs="Arial" w:eastAsia="Arial" w:hAnsi="Arial"/>
                <w:sz w:val="18"/>
                <w:szCs w:val="18"/>
                <w:color w:val="auto"/>
                <w:w w:val="90"/>
              </w:rPr>
              <w:t>authorized; 28,813,293 class A shares and 10,659,802 class B shares outstanding in 2013; and 27,999,068</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9"/>
          </w:tcPr>
          <w:p>
            <w:pPr>
              <w:ind w:left="320"/>
              <w:spacing w:after="0"/>
              <w:rPr>
                <w:sz w:val="20"/>
                <w:szCs w:val="20"/>
                <w:color w:val="auto"/>
              </w:rPr>
            </w:pPr>
            <w:r>
              <w:rPr>
                <w:rFonts w:ascii="Arial" w:cs="Arial" w:eastAsia="Arial" w:hAnsi="Arial"/>
                <w:sz w:val="18"/>
                <w:szCs w:val="18"/>
                <w:color w:val="auto"/>
              </w:rPr>
              <w:t>class A shares and 10,792,223 class B shares outstanding in 2012</w:t>
            </w:r>
          </w:p>
        </w:tc>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239,869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Treasury stock, at cost: 1,839,235 class B shares</w:t>
            </w:r>
          </w:p>
        </w:tc>
        <w:tc>
          <w:tcPr>
            <w:tcW w:w="14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(22,330)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438,977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14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Arial" w:cs="Arial" w:eastAsia="Arial" w:hAnsi="Arial"/>
                <w:sz w:val="18"/>
                <w:szCs w:val="18"/>
                <w:color w:val="auto"/>
              </w:rPr>
              <w:t>(1,331)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9"/>
          </w:tcPr>
          <w:p>
            <w:pPr>
              <w:ind w:left="1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655,598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gridSpan w:val="10"/>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2,045,530</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1,881,566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950" w:gutter="0" w:footer="0" w:header="0"/>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u w:val="single" w:color="auto"/>
          <w:color w:val="auto"/>
        </w:rPr>
        <w:t xml:space="preserve">RUSH ENTERPRISES, INC. AND SUBSIDIARIES CONSOLIDATED STATEMENTS OF INCOME AND COMPREHENSIVE INCOME </w:t>
      </w:r>
      <w:r>
        <w:rPr>
          <w:rFonts w:ascii="Arial" w:cs="Arial" w:eastAsia="Arial" w:hAnsi="Arial"/>
          <w:sz w:val="18"/>
          <w:szCs w:val="18"/>
          <w:b w:val="1"/>
          <w:bCs w:val="1"/>
          <w:color w:val="auto"/>
        </w:rPr>
        <w:t>(In Thousands, Except Per Share Amounts)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615,616</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502,595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1,613,420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1,652,743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26,188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94,166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2,157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913,064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745,133</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2,459,526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573,657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469,302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1,499,384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1,539,126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21,759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61,339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 of products sold</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762,752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2,037,738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1,975,239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125,171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421,788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91,270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335,597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6,323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gain on sale of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Income from before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15,179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14,909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34,358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Earnings per common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38,740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39,602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40,492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15,280</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14,958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34,783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34,358</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Provision (benefit) for deferred income tax expense</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inventories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(46,446)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Draws on floor plan notes payable – trade, net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8"/>
                <w:szCs w:val="18"/>
                <w:color w:val="auto"/>
              </w:rPr>
              <w:t>Change in accrued expenses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(10,378)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(40,982)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88,999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(122,999)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(3,313)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(189,047)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(129,666)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112,411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(10,211)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w w:val="98"/>
              </w:rPr>
              <w:t>Proceeds from issuance of shares relating to employee stock options and employee stock purchases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198,773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166,260</w:t>
            </w: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230,303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17,592</w:t>
            </w: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320"/>
              <w:spacing w:after="0" w:line="196" w:lineRule="exact"/>
              <w:rPr>
                <w:sz w:val="20"/>
                <w:szCs w:val="20"/>
                <w:color w:val="auto"/>
              </w:rPr>
            </w:pPr>
            <w:r>
              <w:rPr>
                <w:rFonts w:ascii="Arial" w:cs="Arial" w:eastAsia="Arial" w:hAnsi="Arial"/>
                <w:sz w:val="18"/>
                <w:szCs w:val="18"/>
                <w:color w:val="auto"/>
              </w:rPr>
              <w:t>Income taxes, net of refunds</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6,869</w:t>
            </w:r>
          </w:p>
        </w:tc>
        <w:tc>
          <w:tcPr>
            <w:tcW w:w="120" w:type="dxa"/>
            <w:vAlign w:val="bottom"/>
          </w:tcPr>
          <w:p>
            <w:pPr>
              <w:spacing w:after="0"/>
              <w:rPr>
                <w:sz w:val="17"/>
                <w:szCs w:val="17"/>
                <w:color w:val="auto"/>
              </w:rPr>
            </w:pP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Noncash investing activities:</w:t>
            </w:r>
          </w:p>
        </w:tc>
        <w:tc>
          <w:tcPr>
            <w:tcW w:w="34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Assets acquired under capital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5,872</w:t>
            </w:r>
          </w:p>
        </w:tc>
        <w:tc>
          <w:tcPr>
            <w:tcW w:w="12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2012. Results of operations for interim periods are not necessarily indicative of results that may be expected for any other interim periods or the full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–Other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total capitalized costs of the SAP enterprise software and SAP dealership management system of $40.4 million, including capitalized interest, are recorded on the Consolidated Balance Sheet in Other Assets, net of accumulated amortization of $6.3 million. The SAP software will be amortized over a period of 15 years. The Company is currently operating 41 Rush Truck Centers and all of its leasing operations on the SAP enterprise software and SAP dealership management system, which represent approximately 44% of total revenue for the nine months ended September 30, 2013. The Company plans to convert all of its locations to the SAP enterprise software and SAP dealership management system by the end of the first quarter of 2015.</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relating to the SAP software, was $0.7 million for the three months ended September 30, 2013 and the three months ended September 30, 2012, and $2.2 million for the nine months ended September 30, 2013, and the nine months ended September 30, 2012, and is recognized in depreciation and amortization expense in the Consolidated Statement of Income.</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only significant identifiable intangible assets, other than goodwill, are rights under franchise agreements with manufacturers. The fair market value of the Company’s manufacturer franchise rights of $4.5 million, which are included in Other Assets on the accompanying consolidated balance sheets, is determined at the acquisition date through discounting the projected cash flows specific to each franchise. The Company has determined that manufacturer franchise rights have an indefinite life as there are no economic or other factors that limit their useful lives, and they are expected to generate cash flows indefinitely due to the historically long lives of the manufacturers’ brand names. Furthermore, to the extent that any agreements evidencing manufacturer franchise rights would expire, the Company expects that it would be able to renew those agreements in the ordinary course of business. Accordingly, the Company does not amortize manufacturer franchise rights.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the fact that manufacturer franchise rights are specific to a geographic region, the Company has determined that the geographic region is the appropriate level for purposes of testing franchise rights for impairment. Management reviews indefinite lived manufacturer franchise rights for impairment annually during the fourth quarter, or more often if events or circumstances indicate that impairment may have occurred. The Company is subject to financial statement risk to the extent that manufacturer franchise rights become impaired due to decreases in fair market value of its individual franchises.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significant estimates and assumptions used by management in assessing the recoverability of manufacturer franchise rights are estimated future cash flows, present value discount rate, and other factors. Any changes in these estimates or assumptions could result in an impairment charge. The estimates of future cash flows, based on reasonable and supportable assumptions and projections, require management’s subjective judgment. Depending on the assumptions and estimates used, the estimated future cash flows projected in the evaluations of manufacturer franchise rights can vary within a range of outcomes.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impairment write down was required for manufacturer franchise rights in the fourth quarter of 2012. Management is not aware of any impairment charge that may currently be required; however, the Company cannot predict the occurrence of events that might adversely affect the reported value of manufacturer franchise rights in the future.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850" w:right="6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3 – Commitments and Contingencies</w:t>
      </w:r>
    </w:p>
    <w:p>
      <w:pPr>
        <w:spacing w:after="0" w:line="283" w:lineRule="exact"/>
        <w:rPr>
          <w:sz w:val="20"/>
          <w:szCs w:val="20"/>
          <w:color w:val="auto"/>
        </w:rPr>
      </w:pPr>
    </w:p>
    <w:p>
      <w:pPr>
        <w:jc w:val="both"/>
        <w:ind w:right="380" w:firstLine="648"/>
        <w:spacing w:after="0" w:line="291" w:lineRule="auto"/>
        <w:rPr>
          <w:sz w:val="20"/>
          <w:szCs w:val="20"/>
          <w:color w:val="auto"/>
        </w:rPr>
      </w:pPr>
      <w:r>
        <w:rPr>
          <w:rFonts w:ascii="Arial" w:cs="Arial" w:eastAsia="Arial" w:hAnsi="Arial"/>
          <w:sz w:val="16"/>
          <w:szCs w:val="16"/>
          <w:color w:val="auto"/>
        </w:rPr>
        <w:t>From time to time, the Company is involved in litigation arising out of its operations in the ordinary course of business. The Company maintains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The Company believes that there are no claims or litigation pending, the outcome of which could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7" w:lineRule="exact"/>
        <w:rPr>
          <w:sz w:val="20"/>
          <w:szCs w:val="20"/>
          <w:color w:val="auto"/>
        </w:rPr>
      </w:pPr>
    </w:p>
    <w:p>
      <w:pPr>
        <w:jc w:val="both"/>
        <w:ind w:right="380" w:firstLine="648"/>
        <w:spacing w:after="0" w:line="297" w:lineRule="auto"/>
        <w:rPr>
          <w:sz w:val="20"/>
          <w:szCs w:val="20"/>
          <w:color w:val="auto"/>
        </w:rPr>
      </w:pPr>
      <w:r>
        <w:rPr>
          <w:rFonts w:ascii="Arial" w:cs="Arial" w:eastAsia="Arial" w:hAnsi="Arial"/>
          <w:sz w:val="16"/>
          <w:szCs w:val="16"/>
          <w:color w:val="auto"/>
        </w:rPr>
        <w:t>In May 2013, the Company entered into a Retirement and Transition Agreement with the Company’s former Chairman, W. Marvin Rush, which resulted in the recognition of $10.8 million in retirement pay and benefits recorded in selling, general and administrative expense on the Consolidated Statements of Income and Comprehensive Income for the nine months ended September 30, 2013. The current portion of the accrual for the unpaid retirement pay and benefits of $0.9 million is a component of accrued liabilities and the long-term portion of the accrual for the unpaid retirement pay and benefits of $2.7 million is a component of other long-term liabilities in the Consolidated Balance Sheet as of September 30,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160"/>
              <w:spacing w:after="0" w:line="201" w:lineRule="exact"/>
              <w:rPr>
                <w:sz w:val="20"/>
                <w:szCs w:val="20"/>
                <w:color w:val="auto"/>
              </w:rPr>
            </w:pPr>
            <w:r>
              <w:rPr>
                <w:rFonts w:ascii="Arial" w:cs="Arial" w:eastAsia="Arial" w:hAnsi="Arial"/>
                <w:sz w:val="18"/>
                <w:szCs w:val="18"/>
                <w:color w:val="auto"/>
                <w:w w:val="95"/>
              </w:rPr>
              <w:t>Numerator for basic and diluted earnings per share – Net income available to</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common shareholders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15,179</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14,909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34,358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outstanding</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39,558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38,740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and director stock options and restricted share awards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060" w:type="dxa"/>
            <w:vAlign w:val="bottom"/>
          </w:tcPr>
          <w:p>
            <w:pPr>
              <w:ind w:left="160"/>
              <w:spacing w:after="0" w:line="195" w:lineRule="exact"/>
              <w:rPr>
                <w:sz w:val="20"/>
                <w:szCs w:val="20"/>
                <w:color w:val="auto"/>
              </w:rPr>
            </w:pPr>
            <w:r>
              <w:rPr>
                <w:rFonts w:ascii="Arial" w:cs="Arial" w:eastAsia="Arial" w:hAnsi="Arial"/>
                <w:sz w:val="18"/>
                <w:szCs w:val="18"/>
                <w:color w:val="auto"/>
                <w:w w:val="92"/>
              </w:rPr>
              <w:t>Denominator for diluted earnings per share – adjusted weighted average shares</w:t>
            </w:r>
          </w:p>
        </w:tc>
        <w:tc>
          <w:tcPr>
            <w:tcW w:w="2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40,623</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39,602</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40,492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39,633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60" w:type="dxa"/>
            <w:vAlign w:val="bottom"/>
          </w:tcPr>
          <w:p>
            <w:pPr>
              <w:ind w:left="480"/>
              <w:spacing w:after="0" w:line="190" w:lineRule="exact"/>
              <w:rPr>
                <w:sz w:val="20"/>
                <w:szCs w:val="20"/>
                <w:color w:val="auto"/>
              </w:rPr>
            </w:pPr>
            <w:r>
              <w:rPr>
                <w:rFonts w:ascii="Arial" w:cs="Arial" w:eastAsia="Arial" w:hAnsi="Arial"/>
                <w:sz w:val="18"/>
                <w:szCs w:val="18"/>
                <w:color w:val="auto"/>
              </w:rPr>
              <w:t>outstanding and assumed conversions</w:t>
            </w: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nine months ended September 30, 2013 and 2012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28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6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8"/>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2013</w:t>
            </w: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r>
      <w:tr>
        <w:trPr>
          <w:trHeight w:val="210"/>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Anti-dilutive options</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1,367</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accounts for stock-based compensation in accordance with Accounting Standards Codification (“ASC”) 718-10, “Compensation</w:t>
      </w:r>
    </w:p>
    <w:p>
      <w:pPr>
        <w:spacing w:after="0" w:line="35" w:lineRule="exact"/>
        <w:rPr>
          <w:sz w:val="20"/>
          <w:szCs w:val="20"/>
          <w:color w:val="auto"/>
        </w:rPr>
      </w:pPr>
    </w:p>
    <w:p>
      <w:pPr>
        <w:jc w:val="both"/>
        <w:ind w:right="380"/>
        <w:spacing w:after="0" w:line="268" w:lineRule="auto"/>
        <w:rPr>
          <w:sz w:val="20"/>
          <w:szCs w:val="20"/>
          <w:color w:val="auto"/>
        </w:rPr>
      </w:pPr>
      <w:r>
        <w:rPr>
          <w:rFonts w:ascii="Arial" w:cs="Arial" w:eastAsia="Arial" w:hAnsi="Arial"/>
          <w:sz w:val="17"/>
          <w:szCs w:val="17"/>
          <w:color w:val="auto"/>
        </w:rPr>
        <w:t>–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Stock-based compensation expense, calculated using the Black-Scholes option-pricing model for employee stock options, and included in selling, general and administrative expense, was $1.5 million for the three months ended September 30, 2013, and $1.2 million for the three months ended September 30, 2012. Stock-based compensation expense, included in selling, general and administrative expense, for the nine months ended September 30, 2013, was $7.0 million and for the nine months ended September 30, 2012, was $6.0 million. As of September 30, 2013, there was $14.3 million of total unrecognized compensation cost related to non-vested share-based compensation arrangements to be recognized over a weighted-average period of 2.8 years.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6 – Financial Instruments and Fair Value</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The carrying value of current assets and current liabilities approximates the fair value due to the short maturity of these items.</w:t>
      </w:r>
    </w:p>
    <w:p>
      <w:pPr>
        <w:spacing w:after="0" w:line="24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The fair value of the Company’s long-term debt is based on secondary market indicators. Because the Company’s debt is not quoted, estimates are based on each obligation’s characteristics, including remaining maturities, interest rate, credit rating, collateral and liquidity. Accordingly, the Company concluded the valuation measurement inputs of its long-term debt to represent, at its lowest level, current market interest rates available to the Company for similar debt and the Company’s current credit standing and has categorized such debt within Level 2 of the hierarchy framework. The carrying amount approximates fair value.</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If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income and comprehensive income.</w:t>
      </w:r>
    </w:p>
    <w:p>
      <w:pPr>
        <w:spacing w:after="0" w:line="166"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In prior years, the Company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Auctions for investment grade securities held by the Company have failed.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2013, the Company held auction rate securities with underlying tax-exempt municipal bonds that mature in 2030 that have a fair value of $6.6 million and a cost basis of $7.6 million. These bonds have credit wrap insurance and a credit rating of A2 by a major credit rating agency.</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 valued the auction rate securities at September 30, 2013 using a discounted cash flow model based on the characteristics of the individual securities, which the Company believes yields the best estimate of fair value. The first step in the valuation included a credit analysis of the security which considered various factors including the credit quality of the issuer, the instrument’s position within the capital structure of the issuing authority, and the composition of the authority’s assets including the effect of insurance and/or government guarantees. Next, the future cash flows of the instruments were projected based on certain assumptions regarding the auction rate market significant to the valuation including the auction rate market will remain illiquid and auctions will continue to fail causing the interest rate to be the maximum applicable rate. This assumption resulted in discounted cash flow analysis being performed through 2019, the point at which the Company estimates the securities will be redeemed by the municipality. The projected cash flows were then discounted using the applicable yield curve plus a 225 basis point liquidity premium added to the applicable discount rate.</w:t>
      </w:r>
    </w:p>
    <w:p>
      <w:pPr>
        <w:spacing w:after="0" w:line="2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recorded a pre-tax impairment charge of $1.0 million on these investments in 2011. The Company believes that the impairment is temporary and has included the impairment in accumulated other comprehensive loss.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823" w:right="619" w:bottom="1440" w:gutter="0" w:footer="0" w:header="0"/>
        </w:sectPr>
      </w:pPr>
    </w:p>
    <w:bookmarkStart w:id="8" w:name="page9"/>
    <w:bookmarkEnd w:id="8"/>
    <w:p>
      <w:pPr>
        <w:ind w:right="420" w:firstLine="648"/>
        <w:spacing w:after="0" w:line="277" w:lineRule="auto"/>
        <w:rPr>
          <w:sz w:val="20"/>
          <w:szCs w:val="20"/>
          <w:color w:val="auto"/>
        </w:rPr>
      </w:pPr>
      <w:r>
        <w:rPr>
          <w:rFonts w:ascii="Arial" w:cs="Arial" w:eastAsia="Arial" w:hAnsi="Arial"/>
          <w:sz w:val="18"/>
          <w:szCs w:val="18"/>
          <w:color w:val="auto"/>
        </w:rPr>
        <w:t>The table below presents disclosures about the auction rate securities measured at fair value on a recurring basis in the Company’s financial statements as follows (in thousands):</w:t>
      </w:r>
    </w:p>
    <w:p>
      <w:pPr>
        <w:spacing w:after="0" w:line="38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0"/>
              </w:rPr>
              <w:t>At September 30, 2013</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Fair Value Estimated Using</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3"/>
              </w:rPr>
              <w:t>Cost Basis</w:t>
            </w:r>
          </w:p>
        </w:tc>
        <w:tc>
          <w:tcPr>
            <w:tcW w:w="32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Level 1</w:t>
            </w:r>
          </w:p>
        </w:tc>
        <w:tc>
          <w:tcPr>
            <w:tcW w:w="32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Level 2</w:t>
            </w:r>
          </w:p>
        </w:tc>
        <w:tc>
          <w:tcPr>
            <w:tcW w:w="38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3</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20"/>
                <w:szCs w:val="20"/>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Inputs</w:t>
            </w:r>
          </w:p>
        </w:tc>
        <w:tc>
          <w:tcPr>
            <w:tcW w:w="3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7,575</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8"/>
                <w:szCs w:val="18"/>
                <w:color w:val="auto"/>
              </w:rPr>
            </w:pPr>
          </w:p>
        </w:tc>
      </w:tr>
      <w:tr>
        <w:trPr>
          <w:trHeight w:val="432"/>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b w:val="1"/>
                <w:bCs w:val="1"/>
                <w:color w:val="auto"/>
                <w:w w:val="90"/>
              </w:rPr>
              <w:t>At December 31, 2012</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spacing w:after="0" w:line="191" w:lineRule="exact"/>
              <w:rPr>
                <w:sz w:val="20"/>
                <w:szCs w:val="20"/>
                <w:color w:val="auto"/>
              </w:rPr>
            </w:pPr>
            <w:r>
              <w:rPr>
                <w:rFonts w:ascii="Arial" w:cs="Arial" w:eastAsia="Arial" w:hAnsi="Arial"/>
                <w:sz w:val="18"/>
                <w:szCs w:val="18"/>
                <w:b w:val="1"/>
                <w:bCs w:val="1"/>
                <w:color w:val="auto"/>
              </w:rPr>
              <w:t>Fair Value Estimated Using</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83"/>
              </w:rPr>
              <w:t>Cost Basis</w:t>
            </w:r>
          </w:p>
        </w:tc>
        <w:tc>
          <w:tcPr>
            <w:tcW w:w="32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Level 1</w:t>
            </w:r>
          </w:p>
        </w:tc>
        <w:tc>
          <w:tcPr>
            <w:tcW w:w="320" w:type="dxa"/>
            <w:vAlign w:val="bottom"/>
          </w:tcPr>
          <w:p>
            <w:pPr>
              <w:spacing w:after="0"/>
              <w:rPr>
                <w:sz w:val="18"/>
                <w:szCs w:val="18"/>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Level 2</w:t>
            </w:r>
          </w:p>
        </w:tc>
        <w:tc>
          <w:tcPr>
            <w:tcW w:w="38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3</w:t>
            </w: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Inputs</w:t>
            </w:r>
          </w:p>
        </w:tc>
        <w:tc>
          <w:tcPr>
            <w:tcW w:w="320" w:type="dxa"/>
            <w:vAlign w:val="bottom"/>
          </w:tcPr>
          <w:p>
            <w:pPr>
              <w:spacing w:after="0"/>
              <w:rPr>
                <w:sz w:val="20"/>
                <w:szCs w:val="20"/>
                <w:color w:val="auto"/>
              </w:rPr>
            </w:pPr>
          </w:p>
        </w:tc>
        <w:tc>
          <w:tcPr>
            <w:tcW w:w="110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Inputs</w:t>
            </w:r>
          </w:p>
        </w:tc>
        <w:tc>
          <w:tcPr>
            <w:tcW w:w="380" w:type="dxa"/>
            <w:vAlign w:val="bottom"/>
          </w:tcPr>
          <w:p>
            <w:pPr>
              <w:spacing w:after="0"/>
              <w:rPr>
                <w:sz w:val="20"/>
                <w:szCs w:val="20"/>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Inputs</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auction rate securities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7,575</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225" w:lineRule="exact"/>
        <w:rPr>
          <w:sz w:val="20"/>
          <w:szCs w:val="20"/>
          <w:color w:val="auto"/>
        </w:rPr>
      </w:pPr>
    </w:p>
    <w:p>
      <w:pPr>
        <w:jc w:val="both"/>
        <w:ind w:right="340" w:firstLine="648"/>
        <w:spacing w:after="0" w:line="255" w:lineRule="auto"/>
        <w:rPr>
          <w:sz w:val="20"/>
          <w:szCs w:val="20"/>
          <w:color w:val="auto"/>
        </w:rPr>
      </w:pPr>
      <w:r>
        <w:rPr>
          <w:rFonts w:ascii="Arial" w:cs="Arial" w:eastAsia="Arial" w:hAnsi="Arial"/>
          <w:sz w:val="18"/>
          <w:szCs w:val="18"/>
          <w:color w:val="auto"/>
        </w:rPr>
        <w:t>The Company has entered into swap agreements to hedge against the potential impact of increases in interest rates on its floating-rate debt instruments. Swap agreements that hedge exposures to changes in interest rates expose us to credit risk and market risk. Credit risk is the potential failure of the counterparty to perform under the terms of the swap agreement. The Company attempts to minimize this risk by entering into transactions with high-quality counterparties. Market risk is the potential adverse effect on the value of the swap agreement that results from a decline in interest rates. The market risk associated with interest-rate contracts is managed by establishing and monitoring parameters that limit the types and degree of market risk that may be undertaken.</w:t>
      </w:r>
    </w:p>
    <w:p>
      <w:pPr>
        <w:spacing w:after="0" w:line="193" w:lineRule="exact"/>
        <w:rPr>
          <w:sz w:val="20"/>
          <w:szCs w:val="20"/>
          <w:color w:val="auto"/>
        </w:rPr>
      </w:pPr>
    </w:p>
    <w:p>
      <w:pPr>
        <w:jc w:val="both"/>
        <w:ind w:right="340" w:firstLine="648"/>
        <w:spacing w:after="0" w:line="293" w:lineRule="auto"/>
        <w:rPr>
          <w:sz w:val="20"/>
          <w:szCs w:val="20"/>
          <w:color w:val="auto"/>
        </w:rPr>
      </w:pPr>
      <w:r>
        <w:rPr>
          <w:rFonts w:ascii="Arial" w:cs="Arial" w:eastAsia="Arial" w:hAnsi="Arial"/>
          <w:sz w:val="16"/>
          <w:szCs w:val="16"/>
          <w:color w:val="auto"/>
        </w:rPr>
        <w:t>At September 30, 2013, the Company had an aggregate $39.2 million notional amount of interest rate swap contracts, which have been designated as cash flow hedges, to pay fixed rates of interest and receive a floating interest rate based on LIBOR. The fixed interest rates specified in the interest rate swap contracts became effective on or about January 1, 2012. The Company’s interest rate swaps qualify for cash flow hedge accounting treatment. Unrealized gains or losses are recorded in accumulated other comprehensive income. Realized gains and losses will be recognized in interest expense, if they occur. Amounts to be received or paid under the contracts will be recognized as interest expense over the life of the contracts. There was no ineffectiveness for these swaps during the quarters and nine months ended September 30, 2013 and September 30, 2012.</w:t>
      </w:r>
    </w:p>
    <w:p>
      <w:pPr>
        <w:spacing w:after="0" w:line="165"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The fair value of cash flow swaps is calculated as the present value of expected future cash flows, determined on the basis of forward interest rates and present value factors. As such, the carrying amounts for these swaps are designated to be Level 2 fair values and totaled $1.2 million, excluding accrued interest, as of September 30, 2013. The carrying value of these swaps is included in Other Long-Term Liabilities on the accompanying Consolidated Balance Sheet as of September 30, 2013.</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2013 the Company was party to derivative financial instruments, as described in the following table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Fixed Interest</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Agreement</w:t>
            </w: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Notional Amount</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5.075%</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 month LIBOR</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3,948</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5.075%</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3 month LIBOR</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July 1,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6,840</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1,322</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2,354</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5,326</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5.39%</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December 31, 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4,888</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29,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752</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1,441</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7,269</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(265)</w:t>
            </w:r>
          </w:p>
        </w:tc>
      </w:tr>
      <w:tr>
        <w:trPr>
          <w:trHeight w:val="216"/>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5.29%</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1600" w:type="dxa"/>
            <w:vAlign w:val="bottom"/>
          </w:tcPr>
          <w:p>
            <w:pPr>
              <w:jc w:val="center"/>
              <w:spacing w:after="0"/>
              <w:rPr>
                <w:sz w:val="20"/>
                <w:szCs w:val="20"/>
                <w:color w:val="auto"/>
              </w:rPr>
            </w:pPr>
            <w:r>
              <w:rPr>
                <w:rFonts w:ascii="Arial" w:cs="Arial" w:eastAsia="Arial" w:hAnsi="Arial"/>
                <w:sz w:val="18"/>
                <w:szCs w:val="18"/>
                <w:color w:val="auto"/>
                <w:w w:val="88"/>
              </w:rPr>
              <w:t>Interest Rate Swap</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2,519</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5.29%</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1 month LIBOR</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bl>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values of derivative instruments are on the accompanying Consolidated Balance Sheet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Derivative Liabilities Designated as Hedging</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4"/>
          </w:tcPr>
          <w:p>
            <w:pPr>
              <w:ind w:left="980"/>
              <w:spacing w:after="0"/>
              <w:rPr>
                <w:sz w:val="20"/>
                <w:szCs w:val="20"/>
                <w:color w:val="auto"/>
              </w:rPr>
            </w:pPr>
            <w:r>
              <w:rPr>
                <w:rFonts w:ascii="Arial" w:cs="Arial" w:eastAsia="Arial" w:hAnsi="Arial"/>
                <w:sz w:val="18"/>
                <w:szCs w:val="18"/>
                <w:b w:val="1"/>
                <w:bCs w:val="1"/>
                <w:color w:val="auto"/>
              </w:rPr>
              <w:t>Fair Value at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center"/>
              <w:ind w:right="17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Sheet Location</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1,224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8"/>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580" w:type="dxa"/>
            <w:vAlign w:val="bottom"/>
            <w:gridSpan w:val="2"/>
          </w:tcPr>
          <w:p>
            <w:pPr>
              <w:jc w:val="right"/>
              <w:ind w:right="163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4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54" w:right="199" w:bottom="1153" w:gutter="0" w:footer="0" w:header="0"/>
        </w:sectPr>
      </w:pPr>
    </w:p>
    <w:bookmarkStart w:id="9" w:name="page10"/>
    <w:bookmarkEnd w:id="9"/>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6"/>
              </w:rPr>
              <w:t>Loss Reclassified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Gain (Loss) Recognized 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from Accumulated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OCI on Derivatives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4"/>
              </w:rPr>
              <w:t>OCI into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(Effective Portion)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2"/>
              </w:rPr>
              <w:t>(Effective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during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during the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Location of Loss</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8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6"/>
                <w:szCs w:val="16"/>
                <w:color w:val="auto"/>
              </w:rPr>
            </w:pPr>
          </w:p>
        </w:tc>
        <w:tc>
          <w:tcPr>
            <w:tcW w:w="26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9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26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82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97</w:t>
            </w:r>
          </w:p>
        </w:tc>
        <w:tc>
          <w:tcPr>
            <w:tcW w:w="12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414"/>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6"/>
              </w:rPr>
              <w:t>Loss Reclassified</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Gain (Loss) Recognized in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from Accumulated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OCI on Derivatives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4"/>
              </w:rPr>
              <w:t>OCI into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(Effective Portion)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2"/>
              </w:rPr>
              <w:t>(Effective Portion)</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during the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0"/>
              </w:rPr>
              <w:t>during the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78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Location of Loss</w:t>
            </w: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92"/>
              </w:rPr>
              <w:t>Nine Months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78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6"/>
                <w:szCs w:val="16"/>
                <w:color w:val="auto"/>
              </w:rPr>
            </w:pPr>
          </w:p>
        </w:tc>
        <w:tc>
          <w:tcPr>
            <w:tcW w:w="26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Reclassified into</w:t>
            </w: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6"/>
                <w:szCs w:val="16"/>
                <w:color w:val="auto"/>
              </w:rPr>
            </w:pPr>
          </w:p>
        </w:tc>
      </w:tr>
      <w:tr>
        <w:trPr>
          <w:trHeight w:val="234"/>
        </w:trPr>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9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260" w:type="dxa"/>
            <w:vAlign w:val="bottom"/>
          </w:tcPr>
          <w:p>
            <w:pPr>
              <w:spacing w:after="0"/>
              <w:rPr>
                <w:sz w:val="20"/>
                <w:szCs w:val="20"/>
                <w:color w:val="auto"/>
              </w:rPr>
            </w:pPr>
          </w:p>
        </w:tc>
        <w:tc>
          <w:tcPr>
            <w:tcW w:w="9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82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2012</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90</w:t>
            </w:r>
          </w:p>
        </w:tc>
        <w:tc>
          <w:tcPr>
            <w:tcW w:w="120" w:type="dxa"/>
            <w:vAlign w:val="bottom"/>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Interest Expense</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(295)</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 Segment Information</w:t>
      </w:r>
    </w:p>
    <w:p>
      <w:pPr>
        <w:spacing w:after="0" w:line="283" w:lineRule="exact"/>
        <w:rPr>
          <w:sz w:val="20"/>
          <w:szCs w:val="20"/>
          <w:color w:val="auto"/>
        </w:rPr>
      </w:pPr>
    </w:p>
    <w:p>
      <w:pPr>
        <w:jc w:val="both"/>
        <w:ind w:right="420" w:firstLine="648"/>
        <w:spacing w:after="0" w:line="273"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commercial vehicle dealerships that provide an integrated one-stop source for the commercial vehicle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78" w:lineRule="exact"/>
        <w:rPr>
          <w:sz w:val="20"/>
          <w:szCs w:val="20"/>
          <w:color w:val="auto"/>
        </w:rPr>
      </w:pPr>
    </w:p>
    <w:p>
      <w:pPr>
        <w:jc w:val="both"/>
        <w:ind w:right="420"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right="440"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 segment income or loss and segment assets for the periods ended September 30, 2013 and 2012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Truck</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Segment</w:t>
            </w:r>
          </w:p>
        </w:tc>
        <w:tc>
          <w:tcPr>
            <w:tcW w:w="24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All Other</w:t>
            </w:r>
          </w:p>
        </w:tc>
        <w:tc>
          <w:tcPr>
            <w:tcW w:w="32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Totals</w:t>
            </w: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2013</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907,903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913,064</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25,149</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25,089</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2,016,725</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28,806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2,045,530</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2013</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2,445,151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14,375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2,459,526</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56,685</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56,498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2012</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740,392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4,741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745,133</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24,704</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24,244</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Segment assets</w:t>
            </w:r>
          </w:p>
        </w:tc>
        <w:tc>
          <w:tcPr>
            <w:tcW w:w="14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1,835,675</w:t>
            </w:r>
          </w:p>
        </w:tc>
        <w:tc>
          <w:tcPr>
            <w:tcW w:w="24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27,253</w:t>
            </w:r>
          </w:p>
        </w:tc>
        <w:tc>
          <w:tcPr>
            <w:tcW w:w="3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1,862,928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2012</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2,344,073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14,233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2,358,306</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before taxes</w:t>
            </w: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79,521</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78,879</w:t>
            </w:r>
          </w:p>
        </w:tc>
        <w:tc>
          <w:tcPr>
            <w:tcW w:w="900" w:type="dxa"/>
            <w:vAlign w:val="bottom"/>
          </w:tcPr>
          <w:p>
            <w:pPr>
              <w:spacing w:after="0"/>
              <w:rPr>
                <w:sz w:val="18"/>
                <w:szCs w:val="18"/>
                <w:color w:val="auto"/>
              </w:rPr>
            </w:pPr>
          </w:p>
        </w:tc>
      </w:tr>
      <w:tr>
        <w:trPr>
          <w:trHeight w:val="918"/>
        </w:trPr>
        <w:tc>
          <w:tcPr>
            <w:tcW w:w="8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10"/>
              <w:spacing w:after="0"/>
              <w:rPr>
                <w:sz w:val="20"/>
                <w:szCs w:val="20"/>
                <w:color w:val="auto"/>
              </w:rPr>
            </w:pPr>
            <w:r>
              <w:rPr>
                <w:rFonts w:ascii="Arial" w:cs="Arial" w:eastAsia="Arial" w:hAnsi="Arial"/>
                <w:sz w:val="18"/>
                <w:szCs w:val="18"/>
                <w:color w:val="auto"/>
                <w:w w:val="99"/>
              </w:rPr>
              <w:t>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5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50" w:right="199" w:bottom="1018" w:gutter="0" w:footer="0" w:header="0"/>
        </w:sectPr>
      </w:pPr>
    </w:p>
    <w:bookmarkStart w:id="10" w:name="page11"/>
    <w:bookmarkEnd w:id="10"/>
    <w:p>
      <w:pPr>
        <w:jc w:val="both"/>
        <w:ind w:right="440" w:firstLine="648"/>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and are included in the All Other column. Those segments include a retail tire company, an insurance agency and a guest ranch operation. None of those segments has ever met any of the quantitative thresholds for determining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 Income Taxes</w:t>
      </w:r>
    </w:p>
    <w:p>
      <w:pPr>
        <w:spacing w:after="0" w:line="229" w:lineRule="exact"/>
        <w:rPr>
          <w:sz w:val="20"/>
          <w:szCs w:val="20"/>
          <w:color w:val="auto"/>
        </w:rPr>
      </w:pPr>
    </w:p>
    <w:p>
      <w:pPr>
        <w:jc w:val="both"/>
        <w:ind w:right="420" w:firstLine="648"/>
        <w:spacing w:after="0" w:line="273" w:lineRule="auto"/>
        <w:rPr>
          <w:sz w:val="20"/>
          <w:szCs w:val="20"/>
          <w:color w:val="auto"/>
        </w:rPr>
      </w:pPr>
      <w:r>
        <w:rPr>
          <w:rFonts w:ascii="Arial" w:cs="Arial" w:eastAsia="Arial" w:hAnsi="Arial"/>
          <w:sz w:val="17"/>
          <w:szCs w:val="17"/>
          <w:color w:val="auto"/>
        </w:rPr>
        <w:t>The Company included accruals for unrecognized income tax benefits totaling $1.4 million as a component of accrued liabilities as of September 30, 2013, and $1.3 million as of September 30, 2012. Unrecognized tax benefits of $1.0 million at September 30, 2013, and $1.3 million as of September 30, 2012, if recognized, would impact the Company’s effective tax rate. An unfavorable settlement could require a charge to income tax expense and a favorable resolution would be recognized as a reduction to income tax expense. The Company records interest and penalties related to unrecognized income tax benefits in income tax expense. The Company had accrued interest of $49,000 at September 30, 2013 and $51,000 at September 30, 2012 related to unrecognized tax benefits. No amounts were accrued for penalties.</w:t>
      </w:r>
    </w:p>
    <w:p>
      <w:pPr>
        <w:spacing w:after="0" w:line="178"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September 30, 2013, the tax years ended December 31, 2009 through 2012 remained subject to audit by federal tax authorities and the tax years ended December 31, 2008 through 2012, remained subject to audit by state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 Accumulated Other Comprehensive Income</w:t>
      </w:r>
    </w:p>
    <w:p>
      <w:pPr>
        <w:spacing w:after="0" w:line="229" w:lineRule="exact"/>
        <w:rPr>
          <w:sz w:val="20"/>
          <w:szCs w:val="20"/>
          <w:color w:val="auto"/>
        </w:rPr>
      </w:pPr>
    </w:p>
    <w:p>
      <w:pPr>
        <w:jc w:val="both"/>
        <w:ind w:right="440" w:firstLine="648"/>
        <w:spacing w:after="0" w:line="255" w:lineRule="auto"/>
        <w:rPr>
          <w:sz w:val="20"/>
          <w:szCs w:val="20"/>
          <w:color w:val="auto"/>
        </w:rPr>
      </w:pPr>
      <w:r>
        <w:rPr>
          <w:rFonts w:ascii="Arial" w:cs="Arial" w:eastAsia="Arial" w:hAnsi="Arial"/>
          <w:sz w:val="18"/>
          <w:szCs w:val="18"/>
          <w:color w:val="auto"/>
        </w:rPr>
        <w:t>In February 2013, the FASB issued guidance requiring entities to provide information about the amounts reclassified out of accumulated other comprehensive income (“AOCI”) by component. In addition, it requires entities to present, either on the face of the financial statement where net income is presented or in the notes, significant amounts reclassified out of AOCI by the respective line items of net income if the amount reclassified is required under GAAP to be reclassified to net income in its entirety in the same reporting period. This guidance is effective prospectively for annual and interim reporting periods beginning after December 15, 2012, with early adoption permitted. The amounts required to be disclosed under this guidance are below.</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loss, net of tax,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5"/>
              </w:rPr>
              <w:t>Available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Cash Flow</w:t>
            </w:r>
          </w:p>
        </w:tc>
        <w:tc>
          <w:tcPr>
            <w:tcW w:w="24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for Sale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Swaps</w:t>
            </w:r>
          </w:p>
        </w:tc>
        <w:tc>
          <w:tcPr>
            <w:tcW w:w="240" w:type="dxa"/>
            <w:vAlign w:val="bottom"/>
          </w:tcPr>
          <w:p>
            <w:pPr>
              <w:spacing w:after="0"/>
              <w:rPr>
                <w:sz w:val="20"/>
                <w:szCs w:val="2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Securities</w:t>
            </w:r>
          </w:p>
        </w:tc>
        <w:tc>
          <w:tcPr>
            <w:tcW w:w="32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Changes in fair 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9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2013</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Changes in fair 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900" w:type="dxa"/>
            <w:vAlign w:val="bottom"/>
          </w:tcPr>
          <w:p>
            <w:pPr>
              <w:spacing w:after="0"/>
              <w:rPr>
                <w:sz w:val="18"/>
                <w:szCs w:val="18"/>
                <w:color w:val="auto"/>
              </w:rPr>
            </w:pPr>
          </w:p>
        </w:tc>
      </w:tr>
      <w:tr>
        <w:trPr>
          <w:trHeight w:val="210"/>
        </w:trPr>
        <w:tc>
          <w:tcPr>
            <w:tcW w:w="8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2013</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Changes in fair 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9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900" w:type="dxa"/>
            <w:vAlign w:val="bottom"/>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Pr>
          <w:p>
            <w:pPr>
              <w:spacing w:after="0"/>
              <w:rPr>
                <w:sz w:val="21"/>
                <w:szCs w:val="21"/>
                <w:color w:val="auto"/>
              </w:rPr>
            </w:pPr>
          </w:p>
        </w:tc>
      </w:tr>
      <w:tr>
        <w:trPr>
          <w:trHeight w:val="899"/>
        </w:trPr>
        <w:tc>
          <w:tcPr>
            <w:tcW w:w="8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w w:val="79"/>
              </w:rPr>
              <w:t>11</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5"/>
        </w:trPr>
        <w:tc>
          <w:tcPr>
            <w:tcW w:w="86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61"/>
        </w:trPr>
        <w:tc>
          <w:tcPr>
            <w:tcW w:w="860" w:type="dxa"/>
            <w:vAlign w:val="bottom"/>
            <w:shd w:val="clear" w:color="auto" w:fill="808080"/>
          </w:tcPr>
          <w:p>
            <w:pPr>
              <w:spacing w:after="0"/>
              <w:rPr>
                <w:sz w:val="5"/>
                <w:szCs w:val="5"/>
                <w:color w:val="auto"/>
              </w:rPr>
            </w:pPr>
          </w:p>
        </w:tc>
        <w:tc>
          <w:tcPr>
            <w:tcW w:w="4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54" w:right="19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following table shows the amount of loss reclassified from accumulated other comprehensive loss into earnings (in thousands):</w:t>
      </w: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700" w:type="dxa"/>
            <w:vAlign w:val="bottom"/>
            <w:gridSpan w:val="5"/>
          </w:tcPr>
          <w:p>
            <w:pPr>
              <w:jc w:val="right"/>
              <w:ind w:right="720"/>
              <w:spacing w:after="0"/>
              <w:rPr>
                <w:sz w:val="20"/>
                <w:szCs w:val="20"/>
                <w:color w:val="auto"/>
              </w:rPr>
            </w:pPr>
            <w:r>
              <w:rPr>
                <w:rFonts w:ascii="Arial" w:cs="Arial" w:eastAsia="Arial" w:hAnsi="Arial"/>
                <w:sz w:val="18"/>
                <w:szCs w:val="18"/>
                <w:color w:val="auto"/>
              </w:rPr>
              <w:t>Nine Months Ended</w:t>
            </w:r>
          </w:p>
        </w:tc>
      </w:tr>
      <w:tr>
        <w:trPr>
          <w:trHeight w:val="195"/>
        </w:trPr>
        <w:tc>
          <w:tcPr>
            <w:tcW w:w="40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w w:val="88"/>
              </w:rPr>
              <w:t>September 30,</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w w:val="86"/>
              </w:rPr>
              <w:t>September 30,</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w w:val="88"/>
              </w:rPr>
              <w:t>September 30,</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6"/>
                <w:szCs w:val="16"/>
                <w:color w:val="auto"/>
              </w:rPr>
            </w:pPr>
          </w:p>
        </w:tc>
      </w:tr>
      <w:tr>
        <w:trPr>
          <w:trHeight w:val="230"/>
        </w:trPr>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Losses on cash flow swaps to:</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10"/>
        </w:trPr>
        <w:tc>
          <w:tcPr>
            <w:tcW w:w="40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r>
      <w:tr>
        <w:trPr>
          <w:trHeight w:val="20"/>
        </w:trPr>
        <w:tc>
          <w:tcPr>
            <w:tcW w:w="40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 Acquisitions</w:t>
      </w:r>
    </w:p>
    <w:p>
      <w:pPr>
        <w:spacing w:after="0" w:line="229" w:lineRule="exact"/>
        <w:rPr>
          <w:sz w:val="20"/>
          <w:szCs w:val="20"/>
          <w:color w:val="auto"/>
        </w:rPr>
      </w:pPr>
    </w:p>
    <w:p>
      <w:pPr>
        <w:jc w:val="both"/>
        <w:ind w:right="420" w:firstLine="648"/>
        <w:spacing w:after="0" w:line="259" w:lineRule="auto"/>
        <w:rPr>
          <w:sz w:val="20"/>
          <w:szCs w:val="20"/>
          <w:color w:val="auto"/>
        </w:rPr>
      </w:pPr>
      <w:r>
        <w:rPr>
          <w:rFonts w:ascii="Arial" w:cs="Arial" w:eastAsia="Arial" w:hAnsi="Arial"/>
          <w:sz w:val="18"/>
          <w:szCs w:val="18"/>
          <w:color w:val="auto"/>
        </w:rPr>
        <w:t>On September 30, 2013, the Company acquired certain assets of Transauthority, Inc., Transauthority Idealease, LLC and Transauthority Idealease-Tidewater, LLC which operated commercial truck dealerships and commercial truck leasing operations in Richmond, Suffolk, Fredericksburg and Chester, Virginia. The commercial truck dealerships offer truck sales, parts and service for International trucks. The Richmond and Norfolk locations include Idealease franchises.</w:t>
      </w:r>
    </w:p>
    <w:p>
      <w:pPr>
        <w:spacing w:after="0" w:line="187" w:lineRule="exact"/>
        <w:rPr>
          <w:sz w:val="20"/>
          <w:szCs w:val="20"/>
          <w:color w:val="auto"/>
        </w:rPr>
      </w:pPr>
    </w:p>
    <w:p>
      <w:pPr>
        <w:jc w:val="both"/>
        <w:ind w:right="420" w:firstLine="648"/>
        <w:spacing w:after="0" w:line="259" w:lineRule="auto"/>
        <w:rPr>
          <w:sz w:val="20"/>
          <w:szCs w:val="20"/>
          <w:color w:val="auto"/>
        </w:rPr>
      </w:pPr>
      <w:r>
        <w:rPr>
          <w:rFonts w:ascii="Arial" w:cs="Arial" w:eastAsia="Arial" w:hAnsi="Arial"/>
          <w:sz w:val="18"/>
          <w:szCs w:val="18"/>
          <w:color w:val="auto"/>
        </w:rPr>
        <w:t>The transaction was valued at approximately $41.7 million, including real estate of $11.1 million, with the purchase price paid in cash. The operations of Transauthority, Inc., Transauthority Idealease, LLC and Transauthority Idealease-Tidewater, LLC are included in the accompanying consolidated financial statements from the date of the acquisition. The preliminary purchase price was allocated based on the fair values of the assets at the date of acquisition as follows (in thousands):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7,727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Accounts receivable</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41,682</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Pro forma information is not included in accordance with ASC 805 because the acquisition was not considered material.</w:t>
      </w:r>
    </w:p>
    <w:p>
      <w:pPr>
        <w:spacing w:after="0" w:line="181" w:lineRule="exact"/>
        <w:rPr>
          <w:sz w:val="20"/>
          <w:szCs w:val="20"/>
          <w:color w:val="auto"/>
        </w:rPr>
      </w:pPr>
    </w:p>
    <w:p>
      <w:pPr>
        <w:jc w:val="both"/>
        <w:ind w:right="420" w:firstLine="648"/>
        <w:spacing w:after="0" w:line="259" w:lineRule="auto"/>
        <w:rPr>
          <w:sz w:val="20"/>
          <w:szCs w:val="20"/>
          <w:color w:val="auto"/>
        </w:rPr>
      </w:pPr>
      <w:r>
        <w:rPr>
          <w:rFonts w:ascii="Arial" w:cs="Arial" w:eastAsia="Arial" w:hAnsi="Arial"/>
          <w:sz w:val="18"/>
          <w:szCs w:val="18"/>
          <w:color w:val="auto"/>
        </w:rPr>
        <w:t>On July 29, 2013, the Company acquired certain assets of Midwest Truck Sales which operated commercial truck dealerships in St. Peters and St. Louis, Missouri and Olathe, Kansas. The Missouri operations offer truck sales, parts and service for International trucks and the Kansas location offers truck sales, parts and service capabilities for Hino and Isuzu trucks and parts and service support for Mitsubishi Fuso trucks. The St. Peters, Missouri location includes an Idealease franchise.</w:t>
      </w:r>
    </w:p>
    <w:p>
      <w:pPr>
        <w:spacing w:after="0" w:line="187"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The transaction was valued at approximately $16.8 million, including real estate of $2.3 million, with the purchase price paid in cash. The operations of Midwest Truck Sales are included in the accompanying consolidated financial statements from the date of the acquisition. The preliminary purchase price was allocated based on the fair values of the assets at the date of acquisition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Goodwill</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Prepaid expenses</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Accrued expenses</w:t>
            </w:r>
          </w:p>
        </w:tc>
        <w:tc>
          <w:tcPr>
            <w:tcW w:w="4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100" w:type="dxa"/>
            <w:vAlign w:val="bottom"/>
          </w:tcPr>
          <w:p>
            <w:pPr>
              <w:ind w:left="1280"/>
              <w:spacing w:after="0"/>
              <w:rPr>
                <w:sz w:val="20"/>
                <w:szCs w:val="20"/>
                <w:color w:val="auto"/>
              </w:rPr>
            </w:pPr>
            <w:r>
              <w:rPr>
                <w:rFonts w:ascii="Arial" w:cs="Arial" w:eastAsia="Arial" w:hAnsi="Arial"/>
                <w:sz w:val="18"/>
                <w:szCs w:val="18"/>
                <w:color w:val="auto"/>
              </w:rPr>
              <w:t>Total</w:t>
            </w:r>
          </w:p>
        </w:tc>
        <w:tc>
          <w:tcPr>
            <w:tcW w:w="4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16,780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400" w:type="dxa"/>
            <w:vAlign w:val="bottom"/>
            <w:vMerge w:val="restart"/>
          </w:tcPr>
          <w:p>
            <w:pPr>
              <w:jc w:val="right"/>
              <w:ind w:right="2770"/>
              <w:spacing w:after="0"/>
              <w:rPr>
                <w:sz w:val="20"/>
                <w:szCs w:val="20"/>
                <w:color w:val="auto"/>
              </w:rPr>
            </w:pPr>
            <w:r>
              <w:rPr>
                <w:rFonts w:ascii="Arial" w:cs="Arial" w:eastAsia="Arial" w:hAnsi="Arial"/>
                <w:sz w:val="18"/>
                <w:szCs w:val="18"/>
                <w:color w:val="auto"/>
              </w:rPr>
              <w:t>12</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44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54" w:right="19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Pro forma information is not included in accordance with ASC 805 because the acquisition was not considered material.</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1, 2013, the Company acquired certain assets of The Larson Group, Inc. which included Ford and Mitsubishi Fuso truck franchises in Cincinnati Ohio. The transaction was valued at approximately $1.2 million, with the purchase price paid in cash.</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6, 2013, the Company acquired certain assets of Piedmont International Trucks, LLC, which operated commercial truck dealerships in Statesville, Hickory and Asheville, North Carolina. The acquisition included International and Idealease franchises.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These locations are operating as Rush Truck Centers and offer commercial vehicles manufactured by International in addition to parts, service, body shop, leasing, financing and insurance capabilities. The transaction was valued at approximately $3.5 million, with the purchase price paid in cash. The operations of Piedmont International Trucks, LLC are included in the accompanying consolidated financial statements from the date of the acquisition. The preliminary purchase price was allocated based on the fair values of the assets at the date of acquisition as follows (in thousands):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Accounts receivable</w:t>
            </w:r>
          </w:p>
        </w:tc>
        <w:tc>
          <w:tcPr>
            <w:tcW w:w="2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w:t>
            </w:r>
          </w:p>
        </w:tc>
        <w:tc>
          <w:tcPr>
            <w:tcW w:w="3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the value of certain assets and liabilities are preliminary in nature, they are subject to adjustment as additional information is obtained about the facts and circumstances that existed at the acquisition date. Pro forma information is not included in accordance with ASC 805 because the acquisition was not considered material.</w:t>
      </w: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854" w:right="6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 (the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2012, as well as future growth rates and margins for certain of our products and services, future supply and demand for our products and services, competitive factors, general economic conditions, cyclicality, market conditions in the new and used commercial vehicle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96"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Company’s Filings</w:t>
      </w:r>
    </w:p>
    <w:p>
      <w:pPr>
        <w:spacing w:after="0" w:line="233" w:lineRule="exact"/>
        <w:rPr>
          <w:sz w:val="20"/>
          <w:szCs w:val="20"/>
          <w:color w:val="auto"/>
        </w:rPr>
      </w:pPr>
    </w:p>
    <w:p>
      <w:pPr>
        <w:jc w:val="both"/>
        <w:ind w:right="40" w:firstLine="648"/>
        <w:spacing w:after="0" w:line="223"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Isuzu</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Isuzu Motors Limited. Mack</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Ford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Ford Motor Credit Company</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SAP</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SAP Aktiengesellschaft. International</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Navistar International Transportation Corp. Blue Bird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Blue Bird Investment Corporation. IC Bus</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IC Bus, LLC. Fuso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Mitsubishi Fuso Truck and Bus Corporation.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The Company conducts business through numerous subsidiaries, all of which it wholly owns, directly or indirectly. Its principal offices are located at 555 IH 35 South, Suite 500, New Braunfels, Texas 78130.</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a full-service, integrated retailer of commercial vehicles and related services. The Truck Segment operates a regional network of commercial vehicle dealerships under the name “Rush Truck Centers.” Rush Truck Centers primarily sell commercial vehicles manufactured by Peterbilt, International, Hino, Ford, Isuzu, Mitsubishi Fuso, IC Bus or Blue Bird. Through its strategically located network of Rush Truck Centers, the Company provides one-stop service for the needs of its commercial vehicle customers, including retail sales of new and used commercial vehicles, aftermarket parts sales, service and repair facilities, and financing, leasing and rental, and insurance products.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Rush Truck Centers are principally located in high traffic areas throughout the United States. Since commencing operations as a Peterbilt heavy-duty truck dealer in 1966, the Company has grown to operate 95 Rush Truck Centers in 19 states.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23" w:right="59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expand product lines and extend our geographic reach through strategic acquisitions and expansion in our existing areas of responsibility.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Inventories are stated at the lower of cost or market value. Cost is determined by specific identification of new and used commercial vehicles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70"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Goodwill is reviewed for impairment utilizing a two-step process. The first step requires the Company to compare the fair value of the reporting unit, which is the same as the segment, to the respective carrying value. The Company considers its segment to be a reporting unit for purposes of this analysis. If the fair value of the reporting unit exceeds its carrying value, the goodwill is not considered impaired. If the carrying value is greater than the fair value, there is an indication that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65"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The Company determines the fair value of its reporting unit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pacing w:after="0" w:line="22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Management is not aware of any impairment charge that may currently be required; however, a change in economic conditions, if one occurs, could result in an impairment charge in future periods.</w:t>
      </w:r>
    </w:p>
    <w:p>
      <w:pPr>
        <w:spacing w:after="0" w:line="170"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The Company does not believe there is a reasonable likelihood that there will be a material change in the future estimates or assumptions it used to test for impairment losses on goodwill in the near term.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the discontinuance of operations by certain manufacturers the Company represents, strategic decisions made in response to economic and competitive conditions or the impact of the current economic environment.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54" w:right="59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Insurance Accruals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7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deferred income tax assets are reviewed quarterly and management’s judgment is applied to determine the amount of valuation allowance required, if any, in any given period.</w:t>
      </w:r>
    </w:p>
    <w:p>
      <w:pPr>
        <w:spacing w:after="0" w:line="23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restricted stock and restricted stock units and employee stock purchases under the Employee Stock Purchase Plan based on estimated fair values.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 and Hedging Activities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The Company utilizes derivative financial instruments to manage its interest rate risk. The types of risks hedged are those relating to the variability of cash flows and changes in the fair value of the Company’s financial instruments caused by movements in interest rates. The Company assesses hedge effectiveness at the inception and during the term of each hedge. Derivatives are reported at fair value on the accompanying Consolidated Balance Sheets.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effective portion of the gain or loss on the Company’s cash flow hedges are reported as a component of accumulated other comprehensive loss. Hedge effectiveness will be assessed quarterly by comparing the changes in cumulative gain or loss from the interest rate swap with the cumulative changes in the present value of the expected future cash flows of the interest rate swap that are attributable to changes in the LIBOR rate</w:t>
      </w:r>
      <w:r>
        <w:rPr>
          <w:rFonts w:ascii="Arial" w:cs="Arial" w:eastAsia="Arial" w:hAnsi="Arial"/>
          <w:sz w:val="18"/>
          <w:szCs w:val="18"/>
          <w:b w:val="1"/>
          <w:bCs w:val="1"/>
          <w:color w:val="auto"/>
        </w:rPr>
        <w:t>.</w:t>
      </w:r>
      <w:r>
        <w:rPr>
          <w:rFonts w:ascii="Arial" w:cs="Arial" w:eastAsia="Arial" w:hAnsi="Arial"/>
          <w:sz w:val="18"/>
          <w:szCs w:val="18"/>
          <w:color w:val="auto"/>
        </w:rPr>
        <w:t xml:space="preserve"> If the interest rate swaps become ineffective, portions of these interest rate swaps would be reported as a component of interest expense in the accompanying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827" w:right="6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nine months ended September 30, 2013 and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2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6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78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2013</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w w:val="84"/>
              </w:rPr>
              <w:t>2012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70.1%</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Cost of products sold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and used commercial vehicle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Parts and service sales</w:t>
            </w:r>
          </w:p>
        </w:tc>
        <w:tc>
          <w:tcPr>
            <w:tcW w:w="42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Lease and rental</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cost of products sold</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83.5</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83.2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82.9</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83.8</w:t>
            </w: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12.2</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67"/>
        </w:trPr>
        <w:tc>
          <w:tcPr>
            <w:tcW w:w="580" w:type="dxa"/>
            <w:vAlign w:val="bottom"/>
          </w:tcPr>
          <w:p>
            <w:pPr>
              <w:spacing w:after="0"/>
              <w:rPr>
                <w:sz w:val="24"/>
                <w:szCs w:val="24"/>
                <w:color w:val="auto"/>
              </w:rPr>
            </w:pPr>
          </w:p>
        </w:tc>
        <w:tc>
          <w:tcPr>
            <w:tcW w:w="7440" w:type="dxa"/>
            <w:vAlign w:val="bottom"/>
            <w:gridSpan w:val="7"/>
          </w:tcPr>
          <w:p>
            <w:pPr>
              <w:ind w:left="80"/>
              <w:spacing w:after="0"/>
              <w:rPr>
                <w:sz w:val="20"/>
                <w:szCs w:val="20"/>
                <w:color w:val="auto"/>
              </w:rPr>
            </w:pPr>
            <w:r>
              <w:rPr>
                <w:rFonts w:ascii="Arial" w:cs="Arial" w:eastAsia="Arial" w:hAnsi="Arial"/>
                <w:sz w:val="18"/>
                <w:szCs w:val="18"/>
                <w:color w:val="auto"/>
                <w:w w:val="92"/>
              </w:rPr>
              <w:t>The following table sets forth for the periods indicated the percent of gross profit by revenue source:</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26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6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62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780" w:type="dxa"/>
            <w:vAlign w:val="bottom"/>
            <w:tcBorders>
              <w:top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9"/>
              </w:rPr>
              <w:t>2013</w:t>
            </w:r>
          </w:p>
        </w:tc>
        <w:tc>
          <w:tcPr>
            <w:tcW w:w="14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8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4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service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3.5</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6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100.0%</w:t>
            </w:r>
          </w:p>
        </w:tc>
        <w:tc>
          <w:tcPr>
            <w:tcW w:w="8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r>
      <w:tr>
        <w:trPr>
          <w:trHeight w:val="912"/>
        </w:trPr>
        <w:tc>
          <w:tcPr>
            <w:tcW w:w="580" w:type="dxa"/>
            <w:vAlign w:val="bottom"/>
          </w:tcPr>
          <w:p>
            <w:pPr>
              <w:spacing w:after="0"/>
              <w:rPr>
                <w:sz w:val="24"/>
                <w:szCs w:val="24"/>
                <w:color w:val="auto"/>
              </w:rPr>
            </w:pPr>
          </w:p>
        </w:tc>
        <w:tc>
          <w:tcPr>
            <w:tcW w:w="45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center"/>
              <w:ind w:left="350"/>
              <w:spacing w:after="0"/>
              <w:rPr>
                <w:sz w:val="20"/>
                <w:szCs w:val="20"/>
                <w:color w:val="auto"/>
              </w:rPr>
            </w:pPr>
            <w:r>
              <w:rPr>
                <w:rFonts w:ascii="Arial" w:cs="Arial" w:eastAsia="Arial" w:hAnsi="Arial"/>
                <w:sz w:val="18"/>
                <w:szCs w:val="18"/>
                <w:color w:val="auto"/>
                <w:w w:val="89"/>
              </w:rPr>
              <w:t>17</w:t>
            </w: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850" w:right="199" w:bottom="1440" w:gutter="0" w:footer="0" w:header="0"/>
        </w:sectPr>
      </w:pPr>
    </w:p>
    <w:bookmarkStart w:id="17" w:name="page18"/>
    <w:bookmarkEnd w:id="17"/>
    <w:p>
      <w:pPr>
        <w:ind w:right="240" w:firstLine="648"/>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new light-duty and used commercial vehicles and the absorption rate (revenue in millions):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Nine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5"/>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c>
          <w:tcPr>
            <w:tcW w:w="220" w:type="dxa"/>
            <w:vAlign w:val="bottom"/>
          </w:tcPr>
          <w:p>
            <w:pPr>
              <w:spacing w:after="0"/>
              <w:rPr>
                <w:sz w:val="18"/>
                <w:szCs w:val="18"/>
                <w:color w:val="auto"/>
              </w:rPr>
            </w:pPr>
          </w:p>
        </w:tc>
      </w:tr>
      <w:tr>
        <w:trPr>
          <w:trHeight w:val="210"/>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2,605</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2,272</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6,758</w:t>
            </w:r>
          </w:p>
        </w:tc>
        <w:tc>
          <w:tcPr>
            <w:tcW w:w="2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7,823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2,421</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1,650</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6,376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5,325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363</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1,444</w:t>
            </w:r>
          </w:p>
        </w:tc>
        <w:tc>
          <w:tcPr>
            <w:tcW w:w="2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983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r>
      <w:tr>
        <w:trPr>
          <w:trHeight w:val="195"/>
        </w:trPr>
        <w:tc>
          <w:tcPr>
            <w:tcW w:w="22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Total new vehicle unit</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5,541</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4,285</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14,578</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14,131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Used vehicles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1,211</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New heavy-duty vehicles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348.2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323.3</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928.0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1,102.8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114.7</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351.3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New light-duty vehicles</w:t>
            </w: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12.9</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33.1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195"/>
        </w:trPr>
        <w:tc>
          <w:tcPr>
            <w:tcW w:w="2220" w:type="dxa"/>
            <w:vAlign w:val="bottom"/>
            <w:shd w:val="clear" w:color="auto" w:fill="CCEEFF"/>
          </w:tcPr>
          <w:p>
            <w:pPr>
              <w:ind w:left="160"/>
              <w:spacing w:after="0" w:line="195" w:lineRule="exact"/>
              <w:rPr>
                <w:sz w:val="20"/>
                <w:szCs w:val="20"/>
                <w:color w:val="auto"/>
              </w:rPr>
            </w:pPr>
            <w:r>
              <w:rPr>
                <w:rFonts w:ascii="Arial" w:cs="Arial" w:eastAsia="Arial" w:hAnsi="Arial"/>
                <w:sz w:val="18"/>
                <w:szCs w:val="18"/>
                <w:color w:val="auto"/>
              </w:rPr>
              <w:t>Total new vehicle</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450.9</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1,487.2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Used vehicle revenue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47.4</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57"/>
        </w:trPr>
        <w:tc>
          <w:tcPr>
            <w:tcW w:w="222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Other vehicle revenue:</w:t>
            </w:r>
            <w:r>
              <w:rPr>
                <w:rFonts w:ascii="Arial" w:cs="Arial" w:eastAsia="Arial" w:hAnsi="Arial"/>
                <w:sz w:val="29"/>
                <w:szCs w:val="29"/>
                <w:b w:val="1"/>
                <w:b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Absorption rate: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112.9%</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right="100" w:firstLine="648"/>
        <w:spacing w:after="0" w:line="291" w:lineRule="auto"/>
        <w:rPr>
          <w:sz w:val="20"/>
          <w:szCs w:val="20"/>
          <w:color w:val="auto"/>
        </w:rPr>
      </w:pPr>
      <w:r>
        <w:rPr>
          <w:rFonts w:ascii="Arial" w:cs="Arial" w:eastAsia="Arial" w:hAnsi="Arial"/>
          <w:sz w:val="16"/>
          <w:szCs w:val="16"/>
          <w:color w:val="auto"/>
        </w:rPr>
        <w:t>Management uses several performance metrics to evaluate the performance of its commercial vehicle dealerships, and considers Rush Truck Centers’ “absorption ratio” to be of critical importance. Absorption ratio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ratio was approximately 80%. The Company has made a concerted effort to increase its absorption ratio since 1999. The Company’s truck dealerships achieved a 114.6% absorption ratio for the third quarter of 2013 and a 112.9% absorption ratio for the third quarter in 2012.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Compared to Three Months Ended September 30, 2012</w:t>
      </w:r>
    </w:p>
    <w:p>
      <w:pPr>
        <w:spacing w:after="0" w:line="200" w:lineRule="exact"/>
        <w:rPr>
          <w:sz w:val="20"/>
          <w:szCs w:val="20"/>
          <w:color w:val="auto"/>
        </w:rPr>
      </w:pPr>
    </w:p>
    <w:p>
      <w:pPr>
        <w:spacing w:after="0" w:line="272"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color w:val="auto"/>
        </w:rPr>
        <w:t>The Company’s financial performance improved in the third quarter of 2013, compared to the second quarter. The Company continues to make substantial investments in technology and human resources necessary to support the continued growth of its organization and its long-term strategy. Additionally, the Company closed three acquisitions in the third quarter which extended the Company’s Navistar Division to 34 Rush Truck Centers and two collision centers in nine states and expanded the Company’s Rush Truck Leasing capabilities with Idealease franchises in Missouri and Virginia.</w:t>
      </w:r>
    </w:p>
    <w:p>
      <w:pPr>
        <w:spacing w:after="0" w:line="181"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Parts, service and body shop revenues continue to be driven by strong demand for maintenance and repair from its customers. The Company continually works to expand its portfolio of aftermarket solutions. Additionally, the Company is investing in facility expansions, diagnostic equipment and technology that will enhance customer communication, replicate best practices and allow it to provide exceptional customer care across its network. The Company expects parts, service and body shop revenues to remain strong throughout the remainder of 2013 and into 2014.</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Navistar has made progress in recent months to regain customer confidence in their truck and engine combination. As a result, Navistar’s order intake in September was its highest since December of 2011. Navistar’s progress contributed to the Company’s increased heavy- and medium-duty truck sales in the third quarter of 2013.</w:t>
      </w:r>
    </w:p>
    <w:p>
      <w:pPr>
        <w:spacing w:after="0" w:line="208" w:lineRule="exact"/>
        <w:rPr>
          <w:sz w:val="20"/>
          <w:szCs w:val="20"/>
          <w:color w:val="auto"/>
        </w:rPr>
      </w:pPr>
    </w:p>
    <w:p>
      <w:pPr>
        <w:jc w:val="both"/>
        <w:ind w:right="100" w:firstLine="648"/>
        <w:spacing w:after="0" w:line="255" w:lineRule="auto"/>
        <w:rPr>
          <w:sz w:val="20"/>
          <w:szCs w:val="20"/>
          <w:color w:val="auto"/>
        </w:rPr>
      </w:pPr>
      <w:r>
        <w:rPr>
          <w:rFonts w:ascii="Arial" w:cs="Arial" w:eastAsia="Arial" w:hAnsi="Arial"/>
          <w:sz w:val="18"/>
          <w:szCs w:val="18"/>
          <w:color w:val="auto"/>
        </w:rPr>
        <w:t>During the quarter, the Company acquired certain assets of Midwest Truck Sales which included locations in St. Peters and St. Louis, Missouri and Olathe, Kansas. The Missouri operations offer truck sales, parts and service for International trucks and the Kansas location offers truck sales, parts and service capabilities for Hino and Isuzu trucks and parts and service support for Mitsubishi Fuso trucks. The Company also acquired certain assets of TransAuthority which included full service International dealerships in Richmond and Suffolk, Virginia and parts and service locations in Fredericksburg and Chester, Virginia. Finally, the Company acquired Ford and Mitsubishi Fuso franchises in Cincinnati, Ohio. The Company will operate these franchises out of its existing dealership in Cincinnati.</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20"/>
          </w:cols>
          <w:pgMar w:left="240" w:top="827" w:right="539" w:bottom="208" w:gutter="0" w:footer="0" w:header="0"/>
        </w:sectPr>
      </w:pPr>
    </w:p>
    <w:bookmarkStart w:id="18" w:name="page19"/>
    <w:bookmarkEnd w:id="18"/>
    <w:p>
      <w:pPr>
        <w:jc w:val="both"/>
        <w:ind w:right="40" w:firstLine="648"/>
        <w:spacing w:after="0" w:line="264" w:lineRule="auto"/>
        <w:rPr>
          <w:sz w:val="20"/>
          <w:szCs w:val="20"/>
          <w:color w:val="auto"/>
        </w:rPr>
      </w:pPr>
      <w:r>
        <w:rPr>
          <w:rFonts w:ascii="Arial" w:cs="Arial" w:eastAsia="Arial" w:hAnsi="Arial"/>
          <w:sz w:val="18"/>
          <w:szCs w:val="18"/>
          <w:color w:val="auto"/>
        </w:rPr>
        <w:t>In October 2013, the Company completed the acquisition of certain assets of Prairie International, which operated International commercial truck dealerships in Champaign, Decatur, Bloomington, Quincy and Springfield, Illinois; a collision center in Champaign, Illinois; and Idealease commercial lease and rental operations also in Champaign, Decatur, Quincy and Springfield, Illinois.</w:t>
      </w:r>
    </w:p>
    <w:p>
      <w:pPr>
        <w:spacing w:after="0" w:line="20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The Company also entered into agreements to purchase certain assets of CIT, Inc., which does business as Chicago International Trucks, Mcgrenho L.L.C., which does business as Indy Truck Sales, and Indiana Mack Leasing, LLC; and the membership interests of Idealease of Chicago, LLC. The acquisition includes International commercial truck dealerships and Idealease commercial vehicle rental and leasing businesses in Carol Stream, Chicago, Grayslake, Huntley, Joliet, Kankakee and Ottawa, Illinois, and Brazil, Gary and Indianapolis, Indiana. This proposed acquisition is expected to close in January 2014.</w:t>
      </w:r>
    </w:p>
    <w:p>
      <w:pPr>
        <w:spacing w:after="0" w:line="188"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July 11, 2013, the Company entered into the third amendment to its credit agreement with GE Capital. The amendment increases the aggregate loan commitment to $750.0 million. Borrowings under the amended credit agreement will now bear interest per annum, payable monthly, at the three month LIBOR rate, determined on the last day of the prior month, plus 2.03%. Pursuant to the third amendment, the credit agreement expires July 11, 2016, although GE Capital has the right to terminate the credit agreement at any time upon 120 days written notice.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$167.9 million, or 22.5%, in the third quarter of 2013 compared to the third quarter of 2012.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Parts, service and body shop revenues increased $46.8 million, or 22.2%, in the third quarter of 2013, compared to the third quarter of 2012. This increase is the result of increased service needs of aging vehicles, expanded product and service offerings and the Company’s acquisition of dealerships since December 2012. The Company expects parts, service and body shop sales to continue to remain strong through 2013 and it remains focused on expanding aftermarket product and service offerings.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increased $113.0 million, or 22.5%, in the third quarter of 2013 compared to the third quarter of 2012.</w:t>
      </w:r>
    </w:p>
    <w:p>
      <w:pPr>
        <w:spacing w:after="0" w:line="170"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The Company sold 2,605 heavy-duty trucks in the third quarter of 2013, a 14.7% increase compared to 2,272 heavy-duty trucks in the third quarter of 2012. According to A.C.T. Research Co., LLC (“A.C.T. Research”), a truck industry data and forecasting service provider, the U.S. Class 8 truck market increased 2.0% in the third quarter of 2013, compared to the third quarter of 2012. A.C.T. Research currently predicts U.S. retail sales of Class 8 trucks of approximately 188,000 units in 2013, 215,000 units in 2014, and 221,015 units in 2015, compared to approximately 198,000 units in 2012. The Company’s share of the U.S. Class 8 truck sales market was approximately 5.0% in 2012. The Company expects its market share to range between 4.8% and 5.3% of U.S. Class 8 truck sales in 2013. This market share percentage would result in the sale of approximately 9,000 to 9,900 Class 8 trucks in 2013 based on A.C.T. Research’s estimate of U.S. retail sales of 188,000 units.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sold 2,421 medium-duty commercial vehicles, including 626 buses, in the third quarter of 2013, a 46.7% increase compared to 1,650 medium-duty commercial vehicles, including 221 buses, in 2012. A.C.T. Research estimates that unit sales of Class 4 through 7 commercial vehicles in the U.S. increased approximately 11% in the third quarter of 2013, compared to the third quarter of 2012. A.C.T. Research currently predicts U.S. retail sales of Class 4 through 7 medium-duty commercial vehicles of approximately 183,500 units in 2013, 193,500 units in 2014, and 201,500 in 2015. In 2012, the Company achieved a 4.3% share of the Class 4 through 7 commercial vehicle sales market in the U.S. The Company expects its market share to range between 4.5% and 5.0% of U.S. Class 4 through 7 commercial vehicle sales in 2013. This market share percentage would result in the sale of approximately 8,250 to 9,175 of Class 4 through 7 commercial vehicles in 2013 based on A.C.T. Research’s current U.S. retail sales estimates of 183,500 units.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sold 515 light-duty vehicles in the third quarter of 2013, a 41.9% increase compared to 363 light-duty vehicles in the third quarter of 2012. The Company expects to sell 1,900 light-duty vehicles in 2013.</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sold 1,635 used commercial vehicles in the third quarter of 2013, a 35.0% increase compared to 1,211 used commercial vehicles in the third quarter of 2012. The Company expects to sell 5,800 to 6,400 used commercial vehicles in 2013. The volume of used commercial vehicle sales will be largely dependent upon our ability to acquire quality used commercial vehicles and maintain an adequate used commercial vehicle inventory throughout 2013.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54" w:right="599" w:bottom="1440" w:gutter="0" w:footer="0" w:header="0"/>
        </w:sectPr>
      </w:pPr>
    </w:p>
    <w:bookmarkStart w:id="19" w:name="page20"/>
    <w:bookmarkEnd w:id="19"/>
    <w:p>
      <w:pPr>
        <w:jc w:val="both"/>
        <w:ind w:right="20" w:firstLine="648"/>
        <w:spacing w:after="0" w:line="264" w:lineRule="auto"/>
        <w:rPr>
          <w:sz w:val="20"/>
          <w:szCs w:val="20"/>
          <w:color w:val="auto"/>
        </w:rPr>
      </w:pPr>
      <w:r>
        <w:rPr>
          <w:rFonts w:ascii="Arial" w:cs="Arial" w:eastAsia="Arial" w:hAnsi="Arial"/>
          <w:sz w:val="18"/>
          <w:szCs w:val="18"/>
          <w:color w:val="auto"/>
        </w:rPr>
        <w:t>Truck lease and rental revenues increased $6.5 million, or 24.7%, in the third quarter of 2013, compared to the third quarter of 2012. The increase in lease and rental revenue is primarily due to acquisitions since December 31, 2012. The Company expects lease and rental revenue to increase 30% to 35% during 2013, compared to 2012.</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Finance and insurance revenues increased $0.9 million, or 25.8%, in the third quarter of 2013, compared to the third quarter of 2012. The Company expects finance and insurance revenue to fluctuate proportionately with the Company’s new and used commercial vehicle sales for the remainder of the year. Finance and insurance revenues have limited direct costs and, therefore, contribute a disproportionate share of the Company’s operating profits.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Gross profit increased $25.1 million, or 20.1%, in the third quarter of 2013, compared to the third quarter of 2012. Gross profit as a percentage of sales decreased to 16.5% in the third quarter of 2013 from 16.8% in the third quarter of 2012.</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Gross margins from the Company’s parts, service and body shop operations decreased to 37.4% in the third quarter of 2013, from 38.8% in the third quarter of 2012. Gross profit for the parts, service and body shop departments increased to $96.3 million in the third quarter of 2013, from $81.8 million in the third quarter of 2012. Historically, parts operations gross margins range from 27% to 28% and service and body shop operations range from 67% to 68%. Gross profits from parts sales represented 57.1% of total gross profit for parts, service and body shop operations in the third quarter of 2013, compared to 54.3% in the third quarter of 2012. Service and body shop operations represented 42.9% of total gross profit for parts, service and body shop operations in the third quarter of 2013, compared to 45.7% in the third quarter of 2012. The Company expects blended gross margins on parts, service and body shop operations to range from 37.0% to 38.0% in 2013.</w:t>
      </w:r>
    </w:p>
    <w:p>
      <w:pPr>
        <w:spacing w:after="0" w:line="178"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Gross margins on Class 8 truck sales decreased to 6.7% in the third quarter of 2013, from 6.8% in the third quarter of 2012. In 2013, the Company expects overall gross margins from Class 8 truck sales of approximately 6.5% to 7.0%.</w:t>
      </w:r>
    </w:p>
    <w:p>
      <w:pPr>
        <w:spacing w:after="0" w:line="224"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Gross margins on medium-duty commercial vehicle sales increased to 5.3% in the third quarter of 2013, from 4.5% in the third quarter of 2012. Gross margins on medium-duty commercial vehicles are difficult to forecast accurately because gross margins vary significantly depending upon the mix of fleet and non-fleet purchasers and types of medium-duty commercial vehicles sold. For 2013, the Company expects overall gross margins from medium-duty commercial vehicle sales of approximately 5.0% to 5.5%, but this will largely depend upon the mix of purchasers and types of vehicles sold.</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Gross margins on used commercial vehicle sales increased to 9.0% in the third quarter of 2013, from 7.5% in the third quarter of 2012. The Company expects margins on used commercial vehicles to range between 9.5% and 10.5% during 2013 depending upon general economic conditions and the availability of quality used vehicles.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Gross margins from truck lease and rental sales decreased to 14.6% in the third quarter of 2013, from 16.9% in the third quarter of 2012. The Company expects gross margins from lease and rental sales of approximately 15.5% to 16.5% during 2013, as it expects to continue to grow its lease and rental fleet.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potentially a corresponding gain or loss on sale when the unit is sold at the end of the lease term.</w:t>
      </w:r>
    </w:p>
    <w:p>
      <w:pPr>
        <w:spacing w:after="0" w:line="19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Selling, General and Administrative (“SG&amp;A”) expenses increased $23.6 million, or 25.8%, in the third quarter of 2013, compared to the third quarter of 2012. SG&amp;A expenses as a percentage of total revenue increased to 12.6% in the third quarter of 2013, from 12.2% in the third quarter of 2012. SG&amp;A expenses as a percentage of total revenue have historically ranged from 10.0% to 15.0%. In general, when new and used commercial vehicle revenue decreases as a percentage of total revenue, SG&amp;A expenses as a percentage of total revenue will be at, or exceed, the higher end of this range. For 2013, the Company expects SG&amp;A expenses as a percentage of total revenue to range from 13.0% to 14.0% and the selling portion of SG&amp;A expenses to be approximately 25% to 30% of new and used commercial vehicle gross profit. In 2013, the Company expects the general and administrative portion of SG&amp;A expenses to increase by approximately 20.0% to 25.0% compared to 2012 due primarily to the full year effect of the Ohio acquisition that occurred in December 2012, the Retirement and Transition Agreement with the Company’s former Chairman, W. Marvin Rush and the addition of resources and technology to support the Company’s growth.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54" w:right="59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$1.2 million, or 19.7%, in the third quarter of 2013, compared to the third quarter of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primarily due to the Ohio acquisition and dealership expansions.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interest expense decreased $0.6 million, or 17.8%, in the third quarter of 2013, compared to the third quarter of 2012. The decrease in net interest expense compared to the third quarter of 2012 is primarily due to the decrease of the interest rate in the Company’s floor plan agreement with GE Capital. Net interest expense in 2013 will depend on inventory levels and cash available for prepayment of floor plan financing.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increased $0.8 million, or 3.5%, in the third quarter of 2013, compared to the third quarter of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taxes increased $.6 million, or 6.2%, in the third quarter of 2013, compared to the third quarter of 2012. The Company provided for taxes at a 39.5% effective rate in the third quarter of 2013, compared to an effective rate of 38.5% in the third quarter of 2012. The Company expects its effective tax rate to be approximately 39% of pretax income in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2013 Compared to Nine Months Ended September 30, 2012</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Unless otherwise stated below, the Company’s variance explanations and future expectations with regard to the items discussed in this section are set forth in the discussion of the “Three Months Ended September 30, 2013, Compared to Three Months Ended September 30,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increased $101.2 million, or 4.3%, in the first nine months of 2013, compared to the first nine months of 2012.</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Parts and service sales increased $116.2 million, or 18.9%, in the first nine months of 2013, compared to the first nine months of 2012.</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from sales of new and used commercial vehicles decreased $39.3 million, or 2.4%, in the first nine months of 2013, compared to the first nine months of 2012.</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sold 6,758 heavy-duty trucks in the first nine months of 2013, a 13.6% decrease compared to 7,823 heavy-duty trucks in the first nine months of 2012. According to A.C.T. Research, the U.S. Class 8 truck market decreased 11.0% in the first nine months of 2013, compared to the first nine months of 2012.</w:t>
      </w:r>
    </w:p>
    <w:p>
      <w:pPr>
        <w:spacing w:after="0" w:line="18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Company sold 6,376 medium-duty commercial vehicles, including 1,092 buses, in the first nine months of 2013, a 19.7% increase compared to 5,325 medium-duty commercial vehicles, including 476 buses in the first nine months of 2012. A.C.T. Research estimates that unit sales of Class 4 through 7 commercial vehicles, including buses, in the U.S increased approximately 9.0% in the first nine months of 2013, compared to the first nine months of 2012.</w:t>
      </w:r>
    </w:p>
    <w:p>
      <w:pPr>
        <w:spacing w:after="0" w:line="187"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Company sold 1,444 light-duty commercial vehicles in the first nine months of 2013, a 46.9% increase compared to 983 light-duty commercial vehicles in the first nine months of 2012.</w:t>
      </w:r>
    </w:p>
    <w:p>
      <w:pPr>
        <w:spacing w:after="0" w:line="170"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Company sold 4,567 used commercial vehicles in the first nine months of 2013, a 23.3% increase compared to 3,705 used commercial vehicles in the first nine months of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54" w:right="599" w:bottom="1440" w:gutter="0" w:footer="0" w:header="0"/>
        </w:sectPr>
      </w:pPr>
    </w:p>
    <w:bookmarkStart w:id="21" w:name="page22"/>
    <w:bookmarkEnd w:id="21"/>
    <w:p>
      <w:pPr>
        <w:ind w:left="660"/>
        <w:spacing w:after="0"/>
        <w:rPr>
          <w:sz w:val="20"/>
          <w:szCs w:val="20"/>
          <w:color w:val="auto"/>
        </w:rPr>
      </w:pPr>
      <w:r>
        <w:rPr>
          <w:rFonts w:ascii="Arial" w:cs="Arial" w:eastAsia="Arial" w:hAnsi="Arial"/>
          <w:sz w:val="16"/>
          <w:szCs w:val="16"/>
          <w:color w:val="auto"/>
        </w:rPr>
        <w:t>Truck lease and rental revenues increased $21.1 million, or 28.8%, in the first nine months of 2013, compared to the first nine months of 2012.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increased $1.1 million, or 11.3%, in the first nine months of 2013, compared to the first nine months of 2012.</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Gross profit increased $38.7 million, or 10.1%, in the first nine months of 2013, compared to the first nine months of 2012. Gross profit as a percentage of sales increased to 17.1% in the first nine months of 2013, from 16.2% in the first nine months of 2012. This increase in gross profit as a percentage of sales is a result of a change in our product sales mix. Commercial vehicle sales, a lower margin revenue item, decreased as a percentage of total revenue to 65.6% in 2013, from 70.1% in 2012. Parts and service revenue, a higher margin revenue item, increased as a percentage of total revenue to 29.8% in 2013, from 26.1% in 2012.</w:t>
      </w:r>
    </w:p>
    <w:p>
      <w:pPr>
        <w:spacing w:after="0" w:line="188" w:lineRule="exact"/>
        <w:rPr>
          <w:sz w:val="20"/>
          <w:szCs w:val="20"/>
          <w:color w:val="auto"/>
        </w:rPr>
      </w:pPr>
    </w:p>
    <w:p>
      <w:pPr>
        <w:jc w:val="both"/>
        <w:ind w:right="40" w:firstLine="648"/>
        <w:spacing w:after="0" w:line="255" w:lineRule="auto"/>
        <w:rPr>
          <w:sz w:val="20"/>
          <w:szCs w:val="20"/>
          <w:color w:val="auto"/>
        </w:rPr>
      </w:pPr>
      <w:r>
        <w:rPr>
          <w:rFonts w:ascii="Arial" w:cs="Arial" w:eastAsia="Arial" w:hAnsi="Arial"/>
          <w:sz w:val="18"/>
          <w:szCs w:val="18"/>
          <w:color w:val="auto"/>
        </w:rPr>
        <w:t>Gross margins from the Company’s parts, service and body shop operations decreased to 37.2% in the first nine months of 2013, from 39.1% in the first nine months of 2012. Gross profit for the parts, service and body shop departments was $272.5 million in the first nine months of 2013, compared to $240.9 million in the first nine months of 2012. Gross profits from parts sales represented 55.5% of total gross profit for parts, service and body shop operations in the first nine months of 2013, compared to 53.1% in the first nine months of 2012. Service and body shop operations represented 44.5% of total gross profit for parts, service and body shop operations in the first nine months of 2013, compared to 46.9% in the first nine months of 2012.</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Class 8 truck sales slightly decreased to 6.9% in the first nine months of 2013, from 7.0% in the first nine months of 2012.</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medium-duty commercial vehicle sales increased to 5.3% in the first nine months of 2013, from 4.5% in the first nine months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9.8% in the first nine months of 2013, from 8.7% in the first nine months of 2012.</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remained unchanged at 16.1% in the first nine months of 2013 and in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SG&amp;A expenses increased $59.6 million, or 21.6%, in the first nine months of 2013, compared to the first nine months of 2012. SG&amp;A expenses as a percentage of sales was 13.6% in the first nine months of 2013 and 11.7% in the first nine months of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and amortization expense increased $3.7 million, or 20.1%, in the first nine months of 2013, compared to the first nine months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decreased $2.3 million, or 23.0%, in the first nine months of 2013, compared to the first nine months of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increased $22.4 million, or 28.4%, in the first nine months of 2013, compared to the first nine months of 2012.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54" w:right="59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Income taxes decreased $8.5 million, or 27.7% in the first nine months of 2013, compared to the first nine months of 2012. The Company provided for taxes at a 39.2% rate in the first nine months of 2013, compared to a rate of 38.8% in the first nine months of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short-term cash requirements are primarily for working capital, inventory financing, the improvement and expansion of existing facilities and the construction or purchase of new facilities. Historically, these cash requirements have been met through the retention of profits, borrowings under our floor plan arrangements and bank financings. As of September 30, 2013, the Company had working capital of approximately $226.7 million, including $166.3 million in cash available to fund our operations. The Company believes that these funds are sufficient to meet its operating requirements for at least the next twelve months.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a secured line of credit that provides for a maximum borrowing of $10.0 million. There were no advances outstanding under this secured line of credit at September 30, 2013, however, $8.0 million was pledged to secure various letters of credit related to self-insurance products, leaving $2.0 million available for future borrowings as of September 30, 2013.</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leverage ratio and the fixed charge coverage ratio and certain requirements for tangible net worth and GAAP net worth. As of September 30, 2013, the Company was in compliance with all debt covenants related to debt secured by real estate and lease and rental units and its floor plan credit agreement. The Company does not anticipate any breach of the covenants in the foreseeable future.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expects to purchase or lease trucks worth approximately $125.0 million for its leasing operations during 2013, depending on customer demand, all of which will be financed. The Company expects to make capital expenditures for recurring items such as computers, shop equipment and vehicles of approximately $2.0 to $5.0 million during the remainder of 2013.</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currently under contract to construct dealership facilities in Corpus Christi, Texas, at an estimated cost of $6.6 million, San Antonio, Texas, at an estimated cost of $12.0 million and Orlando, Florida, at an estimated cost of $4.1 million. The construction project in Corpus Christi is estimated to be completed in December 2013, the construction projects in San Antonio and Orlando are estimated to continue through the third quarter of 2014.</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currently anticipates funding its capital expenditures relating to the improvement and expansion of existing facilities and recurring expenses through its operating cash flow and the construction or purchase of new facilities through either its operating cash flow or financing 70% to 80% of the appraised value.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 2013, the Company’s Board of Directors approved a stock repurchase program authorizing the Company to repurchase, from time to time, up to an aggregate of $40.0 million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The stock repurchase program expires on January 31, 2014, and may be suspended or discontinued at any time. While the stock repurchase program does not obligate the Company to acquire any particular amount or class of common stock, the Company anticipates that it will be repurchasing primarily shares of its Class B common stock. As of September 30, 2013, the Company has purchased approximately $4.4 million of its Class B common stock under this repurchase program.</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no other material commitments for capital expenditures as of September 30, 2013, except that the Company will continue to purchase vehicles for its lease and rental division and authorize capital expenditures for improvement and expansion of its existing dealership facilities and construction or purchase of new facilities based on market opportunities.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27" w:right="5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Cash and cash equivalents decreased by $32.5 million during the nine months ended September 30, 2013, and increased by $22.5 million during the nine months ended September 30, 2012. The major components of these changes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Cash flows from operating activities include net income adjusted for non-cash items and the effects of changes in working capital. During the first nine months of 2013, operating activities resulted in net cash provided by operations of $77.8 million. Cash provided by operating activities was primarily impacted by the increase in accounts payable and draws on floor plan notes payable – trade, which was offset by the increase in inventories and accounts receivable and the decrease in accrued liabilities.</w:t>
      </w:r>
    </w:p>
    <w:p>
      <w:pPr>
        <w:spacing w:after="0" w:line="18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During the first nine months of 2012, operating activities resulted in net cash provided by operations of $89.0 million. Cash provided by operating activities was primarily impacted by increases in accounts payable and draws on floor plan notes payable – trade and decreases in accounts receivable and other current assets, which were offset by the increase in inventories and the decrease in accrued liabilities. The decrease in other current assets primarily related to the decrease in a receivable related to current federal income tax. The decrease in accrued liabilities primarily related to the decrease in customer deposits and payment of property taxes.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2012, the Company entered into a wholesale financing agreement with Ford Motor Credit Company that provides for the financing of, and is collateralized by, the Company’s Ford new vehicle inventory. This wholesale financing agreement bears interest at the prime rate plus 150 basis points minus certain incentives and rebates. The prime rate is defined to be a minimum of 3.75%. As of September 30, 2013, the interest rate on the wholesale financing agreement was 5.25% before considering the applicable incentives. As of September 30, 2013, the Company had an outstanding balance of $52.8 million under the Ford Motor Credit Company wholesale financing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Cash flows used in investing activities primarily consist of cash used for capital expenditures and business acquisitions. During the first nine months of 2013, cash used in investing activities was $189.0 million. Capital expenditures consisted of purchases of property and equipment and improvements to our existing dealership facilities of $123.0 million. Property and equipment purchases, during the first nine months of 2013, included $73.0 million for additional units for rental and leasing operations, which will be directly offset by borrowings of long-term debt. The Company expects to purchase or lease trucks worth approximately $125.0 million for its leasing operations in 2013, depending on customer demand, all of which will be financed. Cash used in business acquisitions was $63.2 million during the first nine months of 2013. See Note 10 of the Notes to Consolidated Financial Statements for a detailed discussion of the business acquisitions. The Company expects to make capital expenditures for recurring items such as computers, shop equipment and vehicles of approximately $2.0 to $5.0 million during the remainder of 2013.</w:t>
      </w:r>
    </w:p>
    <w:p>
      <w:pPr>
        <w:spacing w:after="0" w:line="220"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During the first nine months of 2012, cash used in investing activities was $129.7 million. Capital expenditures consisted of purchases of property and equipment and improvements to our existing dealership facilities of $130.1 million. Property and equipment purchases, during the first nine months of 2012, included $110.0 million for additional units for rental and leasing operations, which will be directly offset by borrowings of long-term debt.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 non-trade. Cash provided by financing activities was $78.7 million during the first nine months of 2013. The Company had borrowings of long-term debt of $112.4 million, primarily related to units for the lease and rental operations, and repayments of long-term debt and capital lease obligations of $75.1 million during the first nine months of 2013. The Company had net draws on floor plan notes payable – non-trade of $35.6 million during the first nine months of 2013. Cash flows from financing activities also included proceeds from the issuance of shares relating to equity award plans, excess tax benefits from stock-based compensation and common stock repurchased.</w:t>
      </w:r>
    </w:p>
    <w:p>
      <w:pPr>
        <w:spacing w:after="0" w:line="178"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Cash provided by financing activities was $63.2 million during the first nine months of 2012. The Company had borrowings of long-term debt of $102.7 million, primarily related to units for the lease and rental operations, and repayments of long-term debt and capital lease obligations of $63.2 million during the first nine months of 2012. The Company had net draws on floor plan notes payable – non-trade of $17.7 million during the first nine months of 2012. Cash flows from financing activities also included proceeds from the issuance of shares relating to equity award plans and excess tax benefits from stock-based compensation.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23" w:right="599" w:bottom="1440" w:gutter="0" w:footer="0" w:header="0"/>
        </w:sectPr>
      </w:pPr>
    </w:p>
    <w:bookmarkStart w:id="24" w:name="page25"/>
    <w:bookmarkEnd w:id="24"/>
    <w:p>
      <w:pPr>
        <w:jc w:val="both"/>
        <w:ind w:firstLine="648"/>
        <w:spacing w:after="0" w:line="286" w:lineRule="auto"/>
        <w:rPr>
          <w:sz w:val="20"/>
          <w:szCs w:val="20"/>
          <w:color w:val="auto"/>
        </w:rPr>
      </w:pPr>
      <w:r>
        <w:rPr>
          <w:rFonts w:ascii="Arial" w:cs="Arial" w:eastAsia="Arial" w:hAnsi="Arial"/>
          <w:sz w:val="16"/>
          <w:szCs w:val="16"/>
          <w:color w:val="auto"/>
        </w:rPr>
        <w:t>Substantially all of the Company’s commercial vehicle purchases are made on terms requiring payment to the manufacturer within 15 days or less from the date the commercial vehicles are invoiced from the factory. On July 11, 2013, the Company entered into the third amendment to its $600.0 million amended and restated credit agreement with GE Capital. The amendment increased the aggregate loan commitment to $750.0 million. Borrowings under the amended credit agreement will now bear interest per annum, payable monthly, at the three month LIBOR rate, determined on the last day of the prior month, plus 2.03%. In addition, the Company is required to pay the lenders a monthly working capital fee equal to 0.35% per annum multiplied by the amount of voluntary prepayments of new and used inventory loans. Loans under the credit agreement for the purchase of used inventory are limited to $150.0 million. Pursuant to the third amendment, the credit agreement expires July 11, 2016, although GE Capital has the right to terminate the credit agreement at any time upon 120 days written notice. The Company may terminate the credit agreement at any time, although if it does so it must pay the lenders a prepayment processing fee of (i) $15,000,000 if it terminates on or prior January 11, 2015, (ii) $7,500,000 if it terminates after January 11, 2015 but on or prior to July 11, 2015 and (iii) $300,000 if it terminates thereafter, subject in each case to specified limited exceptions. On September 30, 2013, the Company had approximately $535.6 million outstanding under its credit agreement with GE Capital. The average outstanding borrowings under the credit agreement with GE Capital during the third quarter of 2013 were $481.1 million. From time to time, the Company utilizes its excess cash on hand to pay down its outstanding borrowings under its credit agreement with GE Capital, and the resulting interest earned is recognized as an offset to the Company’s gross interest expense under the credit agreement.</w:t>
      </w:r>
    </w:p>
    <w:p>
      <w:pPr>
        <w:spacing w:after="0" w:line="17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Navistar Financial Corporation and Peterbilt offer trade terms that provide an interest free inventory stocking period for certain new commercial vehicles. If the commercial vehicle is not sold within the interest free period, the Company then finances the commercial vehicle under the GE Capital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right="40" w:firstLine="648"/>
        <w:spacing w:after="0" w:line="273" w:lineRule="auto"/>
        <w:rPr>
          <w:sz w:val="20"/>
          <w:szCs w:val="20"/>
          <w:color w:val="auto"/>
        </w:rPr>
      </w:pPr>
      <w:r>
        <w:rPr>
          <w:rFonts w:ascii="Arial" w:cs="Arial" w:eastAsia="Arial" w:hAnsi="Arial"/>
          <w:sz w:val="17"/>
          <w:szCs w:val="17"/>
          <w:color w:val="auto"/>
        </w:rPr>
        <w:t>On September 30, 2013, the Company’s backlog of commercial vehicle orders was approximately $666.5 million compared to a backlog of commercial vehicle orders of approximately $664.4 million on September 30, 2012. The Company includes only confirmed orders in its backlog. The delivery time for a custom-ordered commercial vehicle varies depending on the truck specifications and demand for the particular model ordered, however, the Company expects to fill the majority of its backlog orders in the next six months. The Company sells the majority of its new heavy-duty commercial vehicles by customer special order. The Company sells the majority of its medium- and light-duty commercial vehicles out of inventory. Orders from a number of the Company’s major fleet customers are included in the Company’s backlog as of September 30,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right="40"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For example,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operating leases, the Company does not have any obligation under any transaction, agreement or other contractual arrangement to which an entity unconsolidated with the Company is a party, that has or is reasonably likely to have a material effect on the Company's financial condition, changes in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81" w:right="59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operations involving the handling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we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2010, the EPA and the U.S. Department of Transportation (DOT) announced the first national standards to reduce greenhouse gas (GHG) emissions and improve fuel efficiency of heavy-duty trucks and buses beginning in model year 2014. The final rules, which were issued on September 15, 2011, begin to apply in 2014 and are fully implemented in model year 2017. It is not possible at this time to accurately predict how the foregoing standards, future legislation or other new regulations that may be adopted to address greenhouse gas emissions will impact our business.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60"/>
          </w:cols>
          <w:pgMar w:left="240" w:top="827" w:right="5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September 30, 2013, the Company had floor plan borrowings and variable interest rate real estate debt of approximately $666.6 million. Assuming an increase or decrease in LIBOR of 100 basis points, annual interest expense could correspondingly increase or decrease by approximately $6.7 million.</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The Company is exposed to some market risk through interest rate swaps on some of the Company’s variable interest rate real estate debt. As of September 30, 2013, the Company had interest rate swaps with a total notional amount of $39.2 million. The swaps were designed to provide a hedge against changes in interest rates on some of the Company’s variable interest rate real estate debt. The swaps are collateralized by the underlying real estate. These interest rate swaps qualify for cash flow hedge accounting treatment and are considered effective. For additional information about the effect of the Company’s derivative instruments on the accompanying consolidated financial statements, see Note 6 – Financial Instruments and Fair Value of the Notes to Consolidated Financial Statements.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$166.3 million on September 30, 2013.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$1.7 million.</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the Company invested in interest-bearing short-term investments consisting of investment-grade auction rate securities classified as available-for-sale.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As of September 30, 2013, the Company holds auction rate securities, with underlying tax-exempt municipal bonds that mature in 2030, that have a fair value of $6.6 million. Given the current market conditions in the auction rate securities market, if the Company determines that the fair value of these securities temporarily decreases by an additional 10%, the Company’s equity could correspondingly decrease by approximately $0.7 million. If it is determined that the fair value of these securities is other-than-temporarily impaired by 10%, the Company could record a loss on its Consolidated Statements of Operations of approximately $0.7 million. For further discussion of the risks related to our auction rate securities, see Note 6 – Financial Instruments and Fair Value of the 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September 30, 2013 to ensure that information required to be disclosed in the reports filed or submitted under the Securities Exchange Act of 1934 is</w:t>
      </w:r>
    </w:p>
    <w:p>
      <w:pPr>
        <w:spacing w:after="0" w:line="2"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recorded, processed, summarized and reported within the time periods specified in the Securities and Exchange Commission’s rules and forms, and</w:t>
      </w:r>
    </w:p>
    <w:p>
      <w:pPr>
        <w:spacing w:after="0" w:line="32" w:lineRule="exact"/>
        <w:rPr>
          <w:rFonts w:ascii="Arial" w:cs="Arial" w:eastAsia="Arial" w:hAnsi="Arial"/>
          <w:sz w:val="16"/>
          <w:szCs w:val="16"/>
          <w:color w:val="auto"/>
        </w:rPr>
      </w:pPr>
    </w:p>
    <w:p>
      <w:pPr>
        <w:ind w:right="20" w:firstLine="8"/>
        <w:spacing w:after="0" w:line="261" w:lineRule="auto"/>
        <w:tabs>
          <w:tab w:leader="none" w:pos="276"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accumulated and communicated to Company management, including the Chief Executive Officer and Chief Financial Officer, as appropriate, to allow timely decisions regarding required disclosure.</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There has been no change in the Company’s internal control over financial reporting that occurred during the three months ended September 30, 2013 that has materially affected, or is reasonably likely to materially affect, the Company’s internal control over financial reporting.</w:t>
      </w: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40"/>
          </w:cols>
          <w:pgMar w:left="240" w:top="823" w:right="6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60" w:firstLine="648"/>
        <w:spacing w:after="0" w:line="291" w:lineRule="auto"/>
        <w:rPr>
          <w:sz w:val="20"/>
          <w:szCs w:val="20"/>
          <w:color w:val="auto"/>
        </w:rPr>
      </w:pPr>
      <w:r>
        <w:rPr>
          <w:rFonts w:ascii="Arial" w:cs="Arial" w:eastAsia="Arial" w:hAnsi="Arial"/>
          <w:sz w:val="16"/>
          <w:szCs w:val="16"/>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2012 Annual Report on Form 10-K (the “2012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2012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repurchase activity for the Company’s third quarter of 2013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w:t>
            </w:r>
          </w:p>
        </w:tc>
        <w:tc>
          <w:tcPr>
            <w:tcW w:w="1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Shares that</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May</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as Part of</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Yet be</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Price Paid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w:t>
            </w:r>
          </w:p>
        </w:tc>
        <w:tc>
          <w:tcPr>
            <w:tcW w:w="10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Plans</w:t>
            </w:r>
          </w:p>
        </w:tc>
      </w:t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of Shares</w:t>
            </w:r>
          </w:p>
        </w:tc>
        <w:tc>
          <w:tcPr>
            <w:tcW w:w="1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or Programs</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or Programs</w:t>
            </w:r>
          </w:p>
        </w:tc>
      </w:t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(1)</w:t>
            </w:r>
          </w:p>
        </w:tc>
        <w:tc>
          <w:tcPr>
            <w:tcW w:w="16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Pr>
          <w:p>
            <w:pPr>
              <w:spacing w:after="0"/>
              <w:rPr>
                <w:sz w:val="20"/>
                <w:szCs w:val="20"/>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 – July 31, 2013</w:t>
            </w:r>
          </w:p>
        </w:tc>
        <w:tc>
          <w:tcPr>
            <w:tcW w:w="10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4"/>
              </w:rPr>
              <w:t>22.50</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147,821</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6"/>
              </w:rPr>
              <w:t>36,773,587</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August 1 – August 31, 2013</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28,623</w:t>
            </w:r>
          </w:p>
        </w:tc>
        <w:tc>
          <w:tcPr>
            <w:tcW w:w="160" w:type="dxa"/>
            <w:vAlign w:val="bottom"/>
          </w:tcPr>
          <w:p>
            <w:pPr>
              <w:spacing w:after="0"/>
              <w:rPr>
                <w:sz w:val="18"/>
                <w:szCs w:val="18"/>
                <w:color w:val="auto"/>
              </w:rPr>
            </w:pPr>
          </w:p>
        </w:tc>
        <w:tc>
          <w:tcPr>
            <w:tcW w:w="1300" w:type="dxa"/>
            <w:vAlign w:val="bottom"/>
            <w:gridSpan w:val="2"/>
          </w:tcPr>
          <w:p>
            <w:pPr>
              <w:ind w:left="680"/>
              <w:spacing w:after="0"/>
              <w:rPr>
                <w:sz w:val="20"/>
                <w:szCs w:val="20"/>
                <w:color w:val="auto"/>
              </w:rPr>
            </w:pPr>
            <w:r>
              <w:rPr>
                <w:rFonts w:ascii="Arial" w:cs="Arial" w:eastAsia="Arial" w:hAnsi="Arial"/>
                <w:sz w:val="18"/>
                <w:szCs w:val="18"/>
                <w:color w:val="auto"/>
              </w:rPr>
              <w:t>21.83</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176,444</w:t>
            </w: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w w:val="97"/>
              </w:rPr>
              <w:t>36,148,805</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2013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22.90</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199,392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35,623,343</w:t>
            </w:r>
          </w:p>
        </w:tc>
      </w:tr>
      <w:tr>
        <w:trPr>
          <w:trHeight w:val="210"/>
        </w:trPr>
        <w:tc>
          <w:tcPr>
            <w:tcW w:w="4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199,392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35,623,343</w:t>
            </w: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00" w:hanging="592"/>
        <w:spacing w:after="0" w:line="258"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spacing w:after="0" w:line="1" w:lineRule="exact"/>
        <w:rPr>
          <w:rFonts w:ascii="Arial" w:cs="Arial" w:eastAsia="Arial" w:hAnsi="Arial"/>
          <w:sz w:val="18"/>
          <w:szCs w:val="18"/>
          <w:color w:val="auto"/>
        </w:rPr>
      </w:pPr>
    </w:p>
    <w:p>
      <w:pPr>
        <w:ind w:left="600" w:hanging="59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represent Class B common stock repurchased by the Company.</w:t>
      </w:r>
    </w:p>
    <w:p>
      <w:pPr>
        <w:spacing w:after="0" w:line="9" w:lineRule="exact"/>
        <w:rPr>
          <w:rFonts w:ascii="Arial" w:cs="Arial" w:eastAsia="Arial" w:hAnsi="Arial"/>
          <w:sz w:val="18"/>
          <w:szCs w:val="18"/>
          <w:color w:val="auto"/>
        </w:rPr>
      </w:pPr>
    </w:p>
    <w:p>
      <w:pPr>
        <w:ind w:left="600" w:right="220" w:hanging="592"/>
        <w:spacing w:after="0" w:line="255"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repurchased shares under a program announced on February 1, 2013, which authorized the repurchase of up to $40.0 million of its shares of Class A common stock, $.01 par value per share, and/or Class B common stock, $.01 par value per share. The stock repurchase program expires on January 31, 2014 and may be suspended or discontinued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850" w:right="279" w:bottom="734"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7"/>
              </w:rPr>
              <w:t>ITEM 6. Exhibits.</w:t>
            </w:r>
          </w:p>
        </w:tc>
        <w:tc>
          <w:tcPr>
            <w:tcW w:w="160" w:type="dxa"/>
            <w:vAlign w:val="bottom"/>
          </w:tcPr>
          <w:p>
            <w:pPr>
              <w:spacing w:after="0"/>
              <w:rPr>
                <w:sz w:val="20"/>
                <w:szCs w:val="20"/>
                <w:color w:val="auto"/>
              </w:rPr>
            </w:pPr>
          </w:p>
        </w:tc>
        <w:tc>
          <w:tcPr>
            <w:tcW w:w="970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Exhibit</w:t>
            </w:r>
          </w:p>
        </w:tc>
        <w:tc>
          <w:tcPr>
            <w:tcW w:w="16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98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Restated Articles of Incorporation of Rush Enterprises, Inc. (incorporated herein by reference to Exhibit 3.1 of the Company’s</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Quarterly Report on Form 10-Q (File No. 000-20797) for the quarter ended June 30, 2008)</w:t>
            </w:r>
          </w:p>
        </w:tc>
      </w:tr>
      <w:tr>
        <w:trPr>
          <w:trHeight w:val="418"/>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80" w:type="dxa"/>
            <w:vAlign w:val="bottom"/>
          </w:tcPr>
          <w:p>
            <w:pPr>
              <w:spacing w:after="0"/>
              <w:rPr>
                <w:sz w:val="24"/>
                <w:szCs w:val="24"/>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4"/>
              </w:rPr>
              <w:t>Rush Enterprises, Inc. Amended and Restated Bylaws (incorporated herein by reference to Exhibit 3.1 of the Company’s Current</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Report on Form 8-K (File No. 000-20797) filed May 21,2013)</w:t>
            </w:r>
          </w:p>
        </w:tc>
      </w:tr>
      <w:tr>
        <w:trPr>
          <w:trHeight w:val="418"/>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80" w:type="dxa"/>
            <w:vAlign w:val="bottom"/>
          </w:tcPr>
          <w:p>
            <w:pPr>
              <w:spacing w:after="0"/>
              <w:rPr>
                <w:sz w:val="24"/>
                <w:szCs w:val="24"/>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3"/>
              </w:rPr>
              <w:t>Third Amendment to Credit Agreement, dated July 11, 2013, among Rush Truck Centers of Alabama, Inc., Rush Truck Centers of</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5"/>
              </w:rPr>
              <w:t>Arizona, Inc., Rush Truck Centers of California, Inc., Rush Medium Duty Truck Centers of Colorado, Inc., Rush Truck Centers of</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3"/>
              </w:rPr>
              <w:t>Colorado, Inc., Rush Truck Centers of Florida, Inc., Rush Truck Centers of Georgia, Inc., Rush Truck Centers of New Mexico, Inc.,</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3"/>
              </w:rPr>
              <w:t>Rush Truck Centers of Oklahoma, Inc., Rush Truck Centers of Tennessee, Inc., Rush Truck Centers of North Carolina, Inc., Rush</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4"/>
              </w:rPr>
              <w:t>Truck Centers of Idaho, Inc., Rush Truck Centers of Utah, Inc., Rush Truck Centers of Oregon, Inc., Rush Truck Centers of Ohio,</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1"/>
              </w:rPr>
              <w:t>Inc., Rush Truck Centers of Kansas, Inc., Rush Truck Centers of Missouri, Inc., Rush Truck Centers of Texas, L.P., Rush Enterprises,</w:t>
            </w: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2"/>
              </w:rPr>
              <w:t>Inc., the Lenders party thereto, and GE Capital Commercial Inc. (incorporated herein by reference to Exhibit 10.1 of the Company’s</w:t>
            </w: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Current Report on Form 8-K (File No. 000-20797) filed July 16, 2013)</w:t>
            </w: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5"/>
              </w:rPr>
              <w:t>31.1*</w:t>
            </w:r>
          </w:p>
        </w:tc>
        <w:tc>
          <w:tcPr>
            <w:tcW w:w="180" w:type="dxa"/>
            <w:vAlign w:val="bottom"/>
          </w:tcPr>
          <w:p>
            <w:pPr>
              <w:spacing w:after="0"/>
              <w:rPr>
                <w:sz w:val="24"/>
                <w:szCs w:val="24"/>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Sarbanes-Oxley Act of 2002.</w:t>
            </w: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5"/>
              </w:rPr>
              <w:t>31.2*</w:t>
            </w:r>
          </w:p>
        </w:tc>
        <w:tc>
          <w:tcPr>
            <w:tcW w:w="180" w:type="dxa"/>
            <w:vAlign w:val="bottom"/>
          </w:tcPr>
          <w:p>
            <w:pPr>
              <w:spacing w:after="0"/>
              <w:rPr>
                <w:sz w:val="24"/>
                <w:szCs w:val="24"/>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1"/>
              </w:rPr>
              <w:t>Certification of CFO pursuant to Rules 13a-14(a) and 15d-14(a) adopted pursuant to Section 302 of the Sarbanes-Oxley Act of 2002.</w:t>
            </w: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4"/>
              </w:rPr>
              <w:t>Certification of CEO pursuant to 18 U.S.C. Section 1350 as adopted pursuant to Section 906 of the Sarbanes-Oxley Act of 2002.</w:t>
            </w:r>
          </w:p>
        </w:tc>
      </w:tr>
      <w:tr>
        <w:trPr>
          <w:trHeight w:val="432"/>
        </w:trPr>
        <w:tc>
          <w:tcPr>
            <w:tcW w:w="1380" w:type="dxa"/>
            <w:vAlign w:val="bottom"/>
            <w:gridSpan w:val="2"/>
          </w:tcPr>
          <w:p>
            <w:pPr>
              <w:jc w:val="cente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w w:val="94"/>
              </w:rPr>
              <w:t>Certification of CFO pursuant to 18 U.S.C. Section 1350 as adopted pursuant to Section 906 of the Sarbanes-Oxley Act of 2002.</w:t>
            </w:r>
          </w:p>
        </w:tc>
      </w:tr>
      <w:tr>
        <w:trPr>
          <w:trHeight w:val="432"/>
        </w:trPr>
        <w:tc>
          <w:tcPr>
            <w:tcW w:w="2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101.INS</w:t>
            </w: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XBRL Instance Document.</w:t>
            </w:r>
          </w:p>
        </w:tc>
      </w:tr>
      <w:tr>
        <w:trPr>
          <w:trHeight w:val="432"/>
        </w:trPr>
        <w:tc>
          <w:tcPr>
            <w:tcW w:w="2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101.CAL</w:t>
            </w: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2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8"/>
              </w:rPr>
              <w:t>101.LAB</w:t>
            </w: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20" w:type="dxa"/>
            <w:vAlign w:val="bottom"/>
          </w:tcPr>
          <w:p>
            <w:pPr>
              <w:spacing w:after="0"/>
              <w:rPr>
                <w:sz w:val="24"/>
                <w:szCs w:val="2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101.PRE</w:t>
            </w:r>
          </w:p>
        </w:tc>
        <w:tc>
          <w:tcPr>
            <w:tcW w:w="986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RUSH ENTERPRISES,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November 8, 2013</w:t>
      </w:r>
      <w:r>
        <w:rPr>
          <w:sz w:val="20"/>
          <w:szCs w:val="20"/>
          <w:color w:val="auto"/>
        </w:rPr>
        <w:tab/>
      </w:r>
      <w:r>
        <w:rPr>
          <w:rFonts w:ascii="Arial" w:cs="Arial" w:eastAsia="Arial" w:hAnsi="Arial"/>
          <w:sz w:val="18"/>
          <w:szCs w:val="18"/>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tabs>
          <w:tab w:leader="none" w:pos="640" w:val="left"/>
          <w:tab w:leader="none" w:pos="5700" w:val="left"/>
        </w:tabs>
        <w:rPr>
          <w:sz w:val="20"/>
          <w:szCs w:val="20"/>
          <w:color w:val="auto"/>
        </w:rPr>
      </w:pPr>
      <w:r>
        <w:rPr>
          <w:rFonts w:ascii="Arial" w:cs="Arial" w:eastAsia="Arial" w:hAnsi="Arial"/>
          <w:sz w:val="18"/>
          <w:szCs w:val="18"/>
          <w:color w:val="auto"/>
        </w:rPr>
        <w:t>Date:</w:t>
        <w:tab/>
        <w:t>November 8, 2013</w:t>
      </w:r>
      <w:r>
        <w:rPr>
          <w:sz w:val="20"/>
          <w:szCs w:val="20"/>
          <w:color w:val="auto"/>
        </w:rPr>
        <w:tab/>
      </w:r>
      <w:r>
        <w:rPr>
          <w:rFonts w:ascii="Arial" w:cs="Arial" w:eastAsia="Arial" w:hAnsi="Arial"/>
          <w:sz w:val="17"/>
          <w:szCs w:val="17"/>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KELLER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20"/>
          </w:cols>
          <w:pgMar w:left="240" w:top="823" w:right="6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8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846"/>
        </w:trPr>
        <w:tc>
          <w:tcPr>
            <w:tcW w:w="2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103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20" w:type="dxa"/>
            <w:vAlign w:val="bottom"/>
          </w:tcPr>
          <w:p>
            <w:pPr>
              <w:spacing w:after="0"/>
              <w:rPr>
                <w:sz w:val="16"/>
                <w:szCs w:val="16"/>
                <w:color w:val="auto"/>
              </w:rPr>
            </w:pPr>
          </w:p>
        </w:tc>
        <w:tc>
          <w:tcPr>
            <w:tcW w:w="920" w:type="dxa"/>
            <w:vAlign w:val="bottom"/>
          </w:tcPr>
          <w:p>
            <w:pPr>
              <w:jc w:val="right"/>
              <w:ind w:right="270"/>
              <w:spacing w:after="0" w:line="195"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10380" w:type="dxa"/>
            <w:vAlign w:val="bottom"/>
          </w:tcPr>
          <w:p>
            <w:pPr>
              <w:spacing w:after="0" w:line="195" w:lineRule="exact"/>
              <w:rPr>
                <w:sz w:val="20"/>
                <w:szCs w:val="20"/>
                <w:color w:val="auto"/>
              </w:rPr>
            </w:pPr>
            <w:r>
              <w:rPr>
                <w:rFonts w:ascii="Arial" w:cs="Arial" w:eastAsia="Arial" w:hAnsi="Arial"/>
                <w:sz w:val="18"/>
                <w:szCs w:val="18"/>
                <w:color w:val="auto"/>
                <w:w w:val="98"/>
              </w:rPr>
              <w:t>Certification of CEO pursuant to Rules 13a-14(a) and 15d-14(a) adopted pursuant to Section 302 of the Sarbanes-Oxley Act of 2002.</w:t>
            </w:r>
          </w:p>
        </w:tc>
      </w:tr>
      <w:tr>
        <w:trPr>
          <w:trHeight w:val="216"/>
        </w:trPr>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Certification of CFO pursuant to Rules 13a-14(a) and 15d-14(a) adopted pursuant to Section 302 of the Sarbanes-Oxley Act of 2002.</w:t>
            </w:r>
          </w:p>
        </w:tc>
      </w:tr>
      <w:tr>
        <w:trPr>
          <w:trHeight w:val="216"/>
        </w:trPr>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CEO pursuant to 18 U.S.C. Section 1350 as adopted pursuant to Section 906 of the Sarbanes-Oxley Act of 2002.</w:t>
            </w:r>
          </w:p>
        </w:tc>
      </w:tr>
      <w:tr>
        <w:trPr>
          <w:trHeight w:val="216"/>
        </w:trPr>
        <w:tc>
          <w:tcPr>
            <w:tcW w:w="940" w:type="dxa"/>
            <w:vAlign w:val="bottom"/>
            <w:gridSpan w:val="2"/>
          </w:tcPr>
          <w:p>
            <w:pPr>
              <w:jc w:val="right"/>
              <w:ind w:right="27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Certification of CFO pursuant to 18 U.S.C. Section 1350 as adopted pursuant to Section 906 of the Sarbanes-Oxley Act of 2002.</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5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11"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9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600" w:val="left"/>
          <w:tab w:leader="none" w:pos="5700" w:val="left"/>
        </w:tabs>
        <w:rPr>
          <w:sz w:val="20"/>
          <w:szCs w:val="20"/>
          <w:color w:val="auto"/>
        </w:rPr>
      </w:pPr>
      <w:r>
        <w:rPr>
          <w:rFonts w:ascii="Arial" w:cs="Arial" w:eastAsia="Arial" w:hAnsi="Arial"/>
          <w:sz w:val="18"/>
          <w:szCs w:val="18"/>
          <w:color w:val="auto"/>
        </w:rPr>
        <w:t>Date:</w:t>
        <w:tab/>
        <w:t>November 8, 2013</w:t>
      </w:r>
      <w:r>
        <w:rPr>
          <w:sz w:val="20"/>
          <w:szCs w:val="20"/>
          <w:color w:val="auto"/>
        </w:rPr>
        <w:tab/>
      </w:r>
      <w:r>
        <w:rPr>
          <w:rFonts w:ascii="Arial" w:cs="Arial" w:eastAsia="Arial" w:hAnsi="Arial"/>
          <w:sz w:val="17"/>
          <w:szCs w:val="17"/>
          <w:color w:val="auto"/>
        </w:rPr>
        <w:t>By: /s/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W.M. “Rusty” Rush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40"/>
          </w:cols>
          <w:pgMar w:left="240" w:top="125" w:right="61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jc w:val="both"/>
        <w:ind w:right="20" w:firstLine="8"/>
        <w:spacing w:after="0" w:line="342" w:lineRule="auto"/>
        <w:tabs>
          <w:tab w:leader="none" w:pos="391"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 w:firstLine="8"/>
        <w:spacing w:after="0" w:line="277" w:lineRule="auto"/>
        <w:tabs>
          <w:tab w:leader="none" w:pos="3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3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2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10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308" w:lineRule="auto"/>
        <w:tabs>
          <w:tab w:leader="none" w:pos="1172"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16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39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121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1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600" w:val="left"/>
          <w:tab w:leader="none" w:pos="5700" w:val="left"/>
        </w:tabs>
        <w:rPr>
          <w:sz w:val="20"/>
          <w:szCs w:val="20"/>
          <w:color w:val="auto"/>
        </w:rPr>
      </w:pPr>
      <w:r>
        <w:rPr>
          <w:rFonts w:ascii="Arial" w:cs="Arial" w:eastAsia="Arial" w:hAnsi="Arial"/>
          <w:sz w:val="18"/>
          <w:szCs w:val="18"/>
          <w:color w:val="auto"/>
        </w:rPr>
        <w:t>Date:</w:t>
        <w:tab/>
        <w:t>November 8, 2013</w:t>
      </w:r>
      <w:r>
        <w:rPr>
          <w:sz w:val="20"/>
          <w:szCs w:val="20"/>
          <w:color w:val="auto"/>
        </w:rPr>
        <w:tab/>
      </w:r>
      <w:r>
        <w:rPr>
          <w:rFonts w:ascii="Arial" w:cs="Arial" w:eastAsia="Arial" w:hAnsi="Arial"/>
          <w:sz w:val="17"/>
          <w:szCs w:val="17"/>
          <w:color w:val="auto"/>
        </w:rPr>
        <w:t>By: /s/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L. Keller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40"/>
          </w:cols>
          <w:pgMar w:left="240" w:top="125" w:right="61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September 30, 2013,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20"/>
        <w:spacing w:after="0"/>
        <w:tabs>
          <w:tab w:leader="none" w:pos="6100" w:val="left"/>
        </w:tabs>
        <w:rPr>
          <w:sz w:val="20"/>
          <w:szCs w:val="20"/>
          <w:color w:val="auto"/>
        </w:rPr>
      </w:pPr>
      <w:r>
        <w:rPr>
          <w:rFonts w:ascii="Arial" w:cs="Arial" w:eastAsia="Arial" w:hAnsi="Arial"/>
          <w:sz w:val="18"/>
          <w:szCs w:val="18"/>
          <w:color w:val="auto"/>
        </w:rPr>
        <w:t>By:</w:t>
        <w:tab/>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51269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Name:W.M. “Rusty” Rush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Chairman, President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November 8, 2013</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40"/>
          </w:cols>
          <w:pgMar w:left="240" w:top="125" w:right="61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2013,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56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23495</wp:posOffset>
            </wp:positionV>
            <wp:extent cx="25044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Steven L. Keller</w:t>
      </w:r>
    </w:p>
    <w:p>
      <w:pPr>
        <w:spacing w:after="0" w:line="23" w:lineRule="exact"/>
        <w:rPr>
          <w:sz w:val="20"/>
          <w:szCs w:val="20"/>
          <w:color w:val="auto"/>
        </w:rPr>
      </w:pPr>
    </w:p>
    <w:p>
      <w:pPr>
        <w:ind w:left="5560"/>
        <w:spacing w:after="0"/>
        <w:tabs>
          <w:tab w:leader="none" w:pos="612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9" w:lineRule="exact"/>
        <w:rPr>
          <w:sz w:val="20"/>
          <w:szCs w:val="20"/>
          <w:color w:val="auto"/>
        </w:rPr>
      </w:pPr>
    </w:p>
    <w:p>
      <w:pPr>
        <w:ind w:left="5560"/>
        <w:spacing w:after="0"/>
        <w:tabs>
          <w:tab w:leader="none" w:pos="6120" w:val="left"/>
        </w:tabs>
        <w:rPr>
          <w:sz w:val="20"/>
          <w:szCs w:val="20"/>
          <w:color w:val="auto"/>
        </w:rPr>
      </w:pPr>
      <w:r>
        <w:rPr>
          <w:rFonts w:ascii="Arial" w:cs="Arial" w:eastAsia="Arial" w:hAnsi="Arial"/>
          <w:sz w:val="18"/>
          <w:szCs w:val="18"/>
          <w:color w:val="auto"/>
        </w:rPr>
        <w:t>Date:</w:t>
        <w:tab/>
        <w:t>November 8, 2013</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40"/>
      </w:cols>
      <w:pgMar w:left="240" w:top="12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endash "/>
      <w:numFmt w:val="bullet"/>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2019-12-06T15:22:42Z</dcterms:created>
  <dcterms:modified xsi:type="dcterms:W3CDTF">2019-12-06T15:22:42Z</dcterms:modified>
</cp:coreProperties>
</file>